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rwk21qd7dpcf" w:id="0"/>
      <w:bookmarkEnd w:id="0"/>
      <w:r w:rsidDel="00000000" w:rsidR="00000000" w:rsidRPr="00000000">
        <w:rPr>
          <w:b w:val="1"/>
          <w:color w:val="1b1c1d"/>
          <w:sz w:val="46"/>
          <w:szCs w:val="46"/>
          <w:rtl w:val="0"/>
        </w:rPr>
        <w:t xml:space="preserve">A Comprehensive Review of Oxysterol-Binding Proteins and Key Oxysterol-Responsive Nuclear Receptors: Functions, Molecular Mechanisms, and Interacting Molecules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dcxoby3qpcw" w:id="1"/>
      <w:bookmarkEnd w:id="1"/>
      <w:r w:rsidDel="00000000" w:rsidR="00000000" w:rsidRPr="00000000">
        <w:rPr>
          <w:b w:val="1"/>
          <w:color w:val="1b1c1d"/>
          <w:sz w:val="34"/>
          <w:szCs w:val="34"/>
          <w:rtl w:val="0"/>
        </w:rPr>
        <w:t xml:space="preserve">I. Foundational Principles: The Pleiotropic Roles of Sterol Metabolism and Ligand-Mediated Signaling</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qnbz2mme7bm" w:id="2"/>
      <w:bookmarkEnd w:id="2"/>
      <w:r w:rsidDel="00000000" w:rsidR="00000000" w:rsidRPr="00000000">
        <w:rPr>
          <w:b w:val="1"/>
          <w:color w:val="1b1c1d"/>
          <w:sz w:val="26"/>
          <w:szCs w:val="26"/>
          <w:rtl w:val="0"/>
        </w:rPr>
        <w:t xml:space="preserve">1.1. Introduction to the Superfamilies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cellular homeostasis, development, and disease is intricately linked to sterol and oxysterol signaling. This complex regulatory network involves two primary protein superfamilies: the nuclear receptors (NRs) and the oxysterol-binding protein (OSBP/ORP) family.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Nuclear receptors are a vast family of ligand-activated transcription factors, with 48 members in humans, which mediate the transcriptional effects of small, lipophilic molecules such as steroid hormones, retinoids, and vitamin 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significant subset of these are classified as "orphan nuclear receptors" because their endogenous ligands were unknown at the time of their discovery.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identification of these ligands, including oxysterols and other lipids, has been a central focus of research, providing crucial insights into how upstream metabolic pathways control gene expression and cellular function.</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OSBP/ORP family, on the other hand, consists of a group of lipid-binding proteins that act as key regulators of lipid metabolism, non-vesicular sterol transport, and cell signaling.</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review will provide an in-depth analysis of key members of both superfamilies, highlighting their specific functions, molecular interactions, and the complex interplay that orchestrates a unified signaling network.</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u2bu1p7gi67" w:id="3"/>
      <w:bookmarkEnd w:id="3"/>
      <w:r w:rsidDel="00000000" w:rsidR="00000000" w:rsidRPr="00000000">
        <w:rPr>
          <w:b w:val="1"/>
          <w:color w:val="1b1c1d"/>
          <w:sz w:val="26"/>
          <w:szCs w:val="26"/>
          <w:rtl w:val="0"/>
        </w:rPr>
        <w:t xml:space="preserve">1.2. The Molecular Architecture of Nuclear Receptors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nuclear receptor superfamily is defined by a highly conserved structural blueprint.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typical NR is comprised of five functional regions </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N-terminal A/B region, which contains the activation function-1 (AF-1) domain. This domain is largely unstructured and its molecular basis is not yet fully understood.</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central C region, which contains the DNA-binding domain (DBD). This is the most conserved region of the superfamily and is composed of two C4 zinc finger motifs.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DBD is responsible for recognizing and binding to specific DNA sequences known as hormone response elements (HREs) in the promoters of target genes.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DBD contains a proximal "P-box" and a distal "D-box" which determine the half-site recognition and dimerization, respectively.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D hinge region, which provides a flexible link between the DBD and the LBD.</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C-terminal E region, which houses the ligand-binding domain (LBD). The LBD plays a critical role in ligand-mediated activity, forming a pocket that accommodates small, lipophilic molecules.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activation function-2 (AF-2) domain, which is located within the LBD. The conformational flexibility of the AF-2 helix allows the receptor to sense the presence of a bound ligand, which in turn determines whether it recruits coactivators or corepressors, ultimately regulating the transcriptional output.</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binding of a ligand to the LBD induces a conformational change that is essential for the receptor's activity.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the absence of a ligand, some NRs form complexes with corepressors, which actively suppress gene expression.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Upon ligand binding, this conformation shifts, leading to the dissociation of corepressor complexes and the recruitment of coactivator proteins. This process results in the assembly of the transcriptional machinery and the initiation of target gene expression.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omvnzczyqon" w:id="4"/>
      <w:bookmarkEnd w:id="4"/>
      <w:r w:rsidDel="00000000" w:rsidR="00000000" w:rsidRPr="00000000">
        <w:rPr>
          <w:b w:val="1"/>
          <w:color w:val="1b1c1d"/>
          <w:sz w:val="26"/>
          <w:szCs w:val="26"/>
          <w:rtl w:val="0"/>
        </w:rPr>
        <w:t xml:space="preserve">1.3. The Structural Basis of Ligand and Cofactor Interactions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mechanism of ligand-induced activation in nuclear receptors is often described by the "mousetrap" model.</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this model, the ligand is drawn into the hydrophobic pocket of the LBD, which then undergoes a conformational change that traps the ligand. This structural shift stabilizes the LBD and, crucially, positions the AF-2 helix to form a charge clamp pocket. This pocket is a key feature for the recruitment of coactivator proteins.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Nuclear receptor coactivators, such as the p160 steroid receptor coactivator (SRC) family members NCOA1, NCOA2, and NCOA3, are essential intermediaries in this process.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They contain multiple LXXLL motifs (where L is leucine and X is any amino acid) that are designed to interact with the LBD of a ligand-bound nuclear receptor.</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NCOA2, also known as SRC-2, GRIP1, or TIF2, is a well-characterized example. It functions as a transcriptional coactivator for a wide range of NRs, including steroid, thyroid, retinoid, and vitamin D receptors.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NCOA2's domain architecture includes a basic helix-loop-helix-PAS domain at the N-terminus, a serine/threonine-rich domain, a nuclear receptor interaction domain with the characteristic LXXLL motifs, and two C-terminal transactivation domains.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Beyond its role with nuclear receptors, NCOA2 can also interact with other transcription factors and is implicated in a variety of physiological and pathological processes, including endocrine regulation, metabolism, and tumorigenesis.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9lomt5oy459" w:id="5"/>
      <w:bookmarkEnd w:id="5"/>
      <w:r w:rsidDel="00000000" w:rsidR="00000000" w:rsidRPr="00000000">
        <w:rPr>
          <w:b w:val="1"/>
          <w:color w:val="1b1c1d"/>
          <w:sz w:val="26"/>
          <w:szCs w:val="26"/>
          <w:rtl w:val="0"/>
        </w:rPr>
        <w:t xml:space="preserve">1.4. The Role of Oxysterols as Signaling Molecules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Oxysterols are oxygenated cholesterol derivatives that are produced enzymatically or non-enzymatically and act as potent, but short-lived, signaling molecules.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They are a critical link between lipid metabolism and gene expression.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hypothesis that oxysterols serve as physiological ligands for nuclear receptors is supported by evidence that they exist at concentrations in tissues (such as the liver, brain, and placenta) that are sufficient to activate these receptors.</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For example, 25-hydroxycholesterol (25HC) is known to sustain inflammatory cytokine production in macrophages, demonstrating that oxysterols can broadly affect downstream signaling pathways.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Oxysterols serve as key intermediates in crucial metabolic pathways, including steroid hormone biosynthesis, bile acid synthesis, and the conversion of lanosterol to cholesterol.</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dual function highlights their central role in cellular communication: they not only act as products of metabolism but also as signals that autoregulate these very processes through transcription factors like the Liver X Receptors (LXRs) and the RAR-related orphan receptors (RORs).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mechanism establishes oxysterols as central regulators that bridge changes in the cellular lipidome with the transcriptional machinery.</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7xkk8wysvc3" w:id="6"/>
      <w:bookmarkEnd w:id="6"/>
      <w:r w:rsidDel="00000000" w:rsidR="00000000" w:rsidRPr="00000000">
        <w:rPr>
          <w:b w:val="1"/>
          <w:color w:val="1b1c1d"/>
          <w:sz w:val="34"/>
          <w:szCs w:val="34"/>
          <w:rtl w:val="0"/>
        </w:rPr>
        <w:t xml:space="preserve">II. The Oxysterol-Binding Protein (OSBP/ORP) Family: Lipid Sensors and Shuttles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9ny88itl6gk" w:id="7"/>
      <w:bookmarkEnd w:id="7"/>
      <w:r w:rsidDel="00000000" w:rsidR="00000000" w:rsidRPr="00000000">
        <w:rPr>
          <w:b w:val="1"/>
          <w:color w:val="1b1c1d"/>
          <w:sz w:val="26"/>
          <w:szCs w:val="26"/>
          <w:rtl w:val="0"/>
        </w:rPr>
        <w:t xml:space="preserve">2.1. General Family Characteristics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OSBP/ORP family comprises a group of intracellular lipid-binding and transfer proteins that are conserved across eukaryotes, from yeast to humans.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They are characterized by a conserved C-terminal OSBP-related domain (ORD) that contains a hydrophobic pocket capable of binding various lipids, including cholesterol, oxysterols, and phospholipids.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A hallmark of this protein family is their function in non-vesicular lipid transport, which occurs at membrane contact sites (MCSs)—regions where the membranes of two organelles are in close apposition.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mechanism allows for the direct exchange of lipids between membranes, thereby regulating organelle lipid composition and influencing downstream signaling and metabolic pathways.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In mammals, the OSBP/ORP family consists of 12 members, with four additional protein products resulting from splicing variations.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ukdg63ad5zy" w:id="8"/>
      <w:bookmarkEnd w:id="8"/>
      <w:r w:rsidDel="00000000" w:rsidR="00000000" w:rsidRPr="00000000">
        <w:rPr>
          <w:b w:val="1"/>
          <w:color w:val="1b1c1d"/>
          <w:sz w:val="26"/>
          <w:szCs w:val="26"/>
          <w:rtl w:val="0"/>
        </w:rPr>
        <w:t xml:space="preserve">2.2. Detailed Profile: Oxysterol-binding protein 1 (OSBP1)</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jtyypxha5rc" w:id="9"/>
      <w:bookmarkEnd w:id="9"/>
      <w:r w:rsidDel="00000000" w:rsidR="00000000" w:rsidRPr="00000000">
        <w:rPr>
          <w:b w:val="1"/>
          <w:color w:val="1b1c1d"/>
          <w:sz w:val="22"/>
          <w:szCs w:val="22"/>
          <w:rtl w:val="0"/>
        </w:rPr>
        <w:t xml:space="preserve">Primary Function &amp; Localization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OSBP1, the founding member of the family, is a multifunctional sterol sensing molecule implicated in lipid transport and cell signaling.</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Its activity and localization are regulated by the relative concentrations of its ligands, particularly cholesterol and 25-hydroxycholesterol.</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OSBP1 is localized at membrane contact sites between the endoplasmic reticulum (ER) and the Golgi apparatus.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Its subcellular localization is mediated by two key domains: an ER-targeting two phenylalanines in an acidic tract (FFAT) motif that binds to vesicle-associated membrane protein (VAP) in the ER, and a Golgi-targeting pleckstrin homology (PH) domain that interacts with phosphatidylinositol-4-phosphate (PI4P) in the Golgi.</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ru4iglkm7iz" w:id="10"/>
      <w:bookmarkEnd w:id="10"/>
      <w:r w:rsidDel="00000000" w:rsidR="00000000" w:rsidRPr="00000000">
        <w:rPr>
          <w:b w:val="1"/>
          <w:color w:val="1b1c1d"/>
          <w:sz w:val="22"/>
          <w:szCs w:val="22"/>
          <w:rtl w:val="0"/>
        </w:rPr>
        <w:t xml:space="preserve">Molecular Interactions and Mechanisms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OSBP1's central function is to regulate Golgi cholesterol levels, which are essential for various Golgi functions.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When OSBP1 is depleted, it causes the mislocalization of intra-Golgi v-SNAREs (GS28 and GS15) and reduces the abundance of the Golgi enzyme mannosidase II (Man II).</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This suggests that OSBP1's control of cholesterol at the Golgi is critical for proper COP-I vesicle transport, a process necessary for v-SNARE localization.</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function of OSBP1 is its role in the processing and trafficking of Amyloid Precursor Protein (APP), a protein centrally involved in Alzheimer's disease (AD) pathogenesis.</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Overexpression of OSBP1 has been shown to downregulate the amyloidogenic processing of APP, while silencing OSBP1 has the opposite effect, increasing amyloid-beta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Aβ) production.</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OSBP1 alters the trafficking of APP-Notch2 dimers, causing them to accumulate in the Golgi.</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effect can be reversed by treating cells with 25-hydroxycholesterol, an OSBP1 ligand, highlighting a direct link between cholesterol metabolism, OSBP1 activity, and APP trafficking.</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The mechanism is thought to involve OSBP1's ability to trigger ceramide transport activity at the Golgi, which increases sphingomyelin (SM) synthesis and consequently reduces ceramide levels, thereby affecting APP processing and A$\beta$ aggregation.</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between OSBP1 and the LXR signaling pathway presents a complex, non-linear regulatory mechanism.</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While LXR is a known transcriptional activator of the cholesterol efflux protein ABCA1, studies have shown that OSBP1 acts in opposition to this pathway at the protein level.</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Suppression of OSBP1 results in an increase in ABCA1 protein expression and cholesterol efflux activity, but this effect is not mediated by changes in LXR activity or ABCA1 mRNA levels.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Instead, OSBP1 negatively regulates ABCA1 protein stability in the cytoplasm in a manner dependent on its sterol-binding domain.</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discovery reveals a sophisticated layer of post-transcriptional regulation where OSBP1 counteracts LXR's function by degrading a key target protein, demonstrating a form of molecular crosstalk that extends beyond simple gene transcription.</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n7341j74s86" w:id="11"/>
      <w:bookmarkEnd w:id="11"/>
      <w:r w:rsidDel="00000000" w:rsidR="00000000" w:rsidRPr="00000000">
        <w:rPr>
          <w:b w:val="1"/>
          <w:color w:val="1b1c1d"/>
          <w:sz w:val="26"/>
          <w:szCs w:val="26"/>
          <w:rtl w:val="0"/>
        </w:rPr>
        <w:t xml:space="preserve">2.3. Detailed Profile: Oxysterol-binding protein homolog 4 (OSBPL4/ORP4)</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hfjqmb5m880" w:id="12"/>
      <w:bookmarkEnd w:id="12"/>
      <w:r w:rsidDel="00000000" w:rsidR="00000000" w:rsidRPr="00000000">
        <w:rPr>
          <w:b w:val="1"/>
          <w:color w:val="1b1c1d"/>
          <w:sz w:val="22"/>
          <w:szCs w:val="22"/>
          <w:rtl w:val="0"/>
        </w:rPr>
        <w:t xml:space="preserve">Primary Function &amp; Molecular Interactions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ORP4, a close paralog of OSBP, is uniquely essential for the proliferation and survival of immortalized and transformed cells.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Its silencing triggers growth arrest and apoptosis, which can be suppressed by oncogenic H-Ras, suggesting a role in cancer cell survival.</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ORP4 binds similar ligands as other ORPs, including 25-hydroxycholesterol and phosphatidylinositol 4-phosphate (PI4P).</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The protein contains two conserved histidine residues that are essential for PI4P binding but not sterol binding.</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ORP4 also physically interacts with vimentin, a component of the cytoskeleton, and can cause the vimentin network to collapse when overexpressed.</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The functional significance of this interaction remains a subject of ongoing research.</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ORP4 is a known receptor for a family of natural products called ORPphilins (e.g., cephalostatin 1, OSW-1), which potently inhibit cancer cell growth, making ORP4 a potential therapeutic target.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kzbo5gqb04x" w:id="13"/>
      <w:bookmarkEnd w:id="13"/>
      <w:r w:rsidDel="00000000" w:rsidR="00000000" w:rsidRPr="00000000">
        <w:rPr>
          <w:b w:val="1"/>
          <w:color w:val="1b1c1d"/>
          <w:sz w:val="26"/>
          <w:szCs w:val="26"/>
          <w:rtl w:val="0"/>
        </w:rPr>
        <w:t xml:space="preserve">2.4. Detailed Profile: Oxysterol-binding protein-related protein 1 (ORP1)</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ORP1 has two primary isoforms, ORP1L (long) and ORP1S (short), which exhibit opposing cholesterol transport activities.</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ORP1L is the full-length protein that transports cholesterol from the late endosomes/lysosomes (LEL) to the endoplasmic reticulum (ER).</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function is mediated by its localization at ER-endosome membrane contact sites through a tripartite protein complex.</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Specifically, ORP1L's N-terminal ankyrin domain binds to the GTP-bound form of the LE GTPase Rab7, and its FFAT motif binds to the ER-resident protein VAP.</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This association is critical for the non-vesicular transport of LDL-derived cholesterol from the LEL to the ER.</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the truncated ORP1S isoform transports cholesterol in the opposite direction, from the LEL to the plasma membrane (PM).</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ORP1S lacks the discrete membrane-targeting motifs of ORP1L and is primarily found in the cytoplasm and nucleus.</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Its transport activity appears to be independent of phosphoinositides and is primarily mediated by its C-terminal lipid binding domain (ORD).</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The opposing functions of these two isoforms, both encoded by the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OSBPL1</w:t>
      </w:r>
      <w:r w:rsidDel="00000000" w:rsidR="00000000" w:rsidRPr="00000000">
        <w:rPr>
          <w:color w:val="1b1c1d"/>
          <w:rtl w:val="0"/>
        </w:rPr>
        <w:t xml:space="preserve"> gene, illustrate how a single gene can produce distinct protein variants with complementary or antagonistic roles in cellular lipid homeostasis.</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hn9la97eudn" w:id="14"/>
      <w:bookmarkEnd w:id="14"/>
      <w:r w:rsidDel="00000000" w:rsidR="00000000" w:rsidRPr="00000000">
        <w:rPr>
          <w:b w:val="1"/>
          <w:color w:val="1b1c1d"/>
          <w:sz w:val="26"/>
          <w:szCs w:val="26"/>
          <w:rtl w:val="0"/>
        </w:rPr>
        <w:t xml:space="preserve">2.5. Detailed Profile: Oxysterol-binding protein-related protein 2 (ORP2)</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ORP2 is a ubiquitously expressed cytosolic protein that plays a role in regulating cholesterol efflux and glucocorticoid biosynthesis.</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It is particularly abundant in the brain.</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ORP2's ligands include a variety of oxysterols and cholesterol, with its highest affinity ligand being 22(R)-hydroxycholesterol.</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It also binds to phosphoinositides, such as phosphatidylinositol-4,5-bisphosphate (PI(4,5)P$_2$).</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Mutations in ORP2 are linked to non-syndromic sensorineural hearing loss, known as DFNA67.</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ORP2 is functionally linked to the LXR pathway. It interacts directly with LXR and is necessary for its nuclear expression.</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ORP2 is also recruited, along with LXR, to the promoter of the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CYP11B1</w:t>
      </w:r>
      <w:r w:rsidDel="00000000" w:rsidR="00000000" w:rsidRPr="00000000">
        <w:rPr>
          <w:color w:val="1b1c1d"/>
          <w:rtl w:val="0"/>
        </w:rPr>
        <w:t xml:space="preserve"> gene in response to cAMP signaling.</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This indicates a collaborative role between ORP2 and LXR in regulating steroidogenesis and cholesterol homeostasis in the adrenal cortex.</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wetagi6pxcv" w:id="15"/>
      <w:bookmarkEnd w:id="15"/>
      <w:r w:rsidDel="00000000" w:rsidR="00000000" w:rsidRPr="00000000">
        <w:rPr>
          <w:b w:val="1"/>
          <w:color w:val="1b1c1d"/>
          <w:sz w:val="26"/>
          <w:szCs w:val="26"/>
          <w:rtl w:val="0"/>
        </w:rPr>
        <w:t xml:space="preserve">2.6. Detailed Profile: Oxysterol-binding protein-related protein 3A (ORP3A)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ORP3A, a member of the OSBP family, contains a putative oxysterol-binding domain.</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It is differentially expressed in hematopoietic stem cells, with expression levels being higher in more primitive, undifferentiated cell populations.</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Its expression is downregulated as hematopoietic cells proliferate and differentiate, suggesting a possible role in mediating the effects of oxysterols on hematopoiesis.</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A separate study, conducted in ornamental kale, speculates that ORP3A might be involved in the deposition of cuticular wax.</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n2royuduhf3" w:id="16"/>
      <w:bookmarkEnd w:id="16"/>
      <w:r w:rsidDel="00000000" w:rsidR="00000000" w:rsidRPr="00000000">
        <w:rPr>
          <w:b w:val="1"/>
          <w:color w:val="1b1c1d"/>
          <w:sz w:val="26"/>
          <w:szCs w:val="26"/>
          <w:rtl w:val="0"/>
        </w:rPr>
        <w:t xml:space="preserve">2.7. Detailed Profiles: Oxysterol-binding protein-related protein 9 (ORP9) and 11 (ORP11)</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ORP9 and ORP11 are two members of the OSBP/ORP family that form a heterodimer essential for sphingomyelin synthesis.</w:t>
      </w:r>
      <w:r w:rsidDel="00000000" w:rsidR="00000000" w:rsidRPr="00000000">
        <w:rPr>
          <w:color w:val="575b5f"/>
          <w:sz w:val="40"/>
          <w:szCs w:val="40"/>
          <w:highlight w:val="white"/>
          <w:vertAlign w:val="superscript"/>
          <w:rtl w:val="0"/>
        </w:rPr>
        <w:t xml:space="preserve">45</w:t>
      </w:r>
      <w:r w:rsidDel="00000000" w:rsidR="00000000" w:rsidRPr="00000000">
        <w:rPr>
          <w:color w:val="1b1c1d"/>
          <w:rtl w:val="0"/>
        </w:rPr>
        <w:t xml:space="preserve"> ORP9 is also a known cholesterol transfer protein.</w:t>
      </w:r>
      <w:r w:rsidDel="00000000" w:rsidR="00000000" w:rsidRPr="00000000">
        <w:rPr>
          <w:color w:val="575b5f"/>
          <w:sz w:val="40"/>
          <w:szCs w:val="40"/>
          <w:highlight w:val="white"/>
          <w:vertAlign w:val="superscript"/>
          <w:rtl w:val="0"/>
        </w:rPr>
        <w:t xml:space="preserve">47</w:t>
      </w:r>
      <w:r w:rsidDel="00000000" w:rsidR="00000000" w:rsidRPr="00000000">
        <w:rPr>
          <w:color w:val="1b1c1d"/>
          <w:rtl w:val="0"/>
        </w:rPr>
        <w:t xml:space="preserve"> The dimerization of ORP9 and ORP11, which occurs through their coiled-coil domains, is critical for their function and cellular localization at ER-trans-Golgi membrane contact sites.</w:t>
      </w:r>
      <w:r w:rsidDel="00000000" w:rsidR="00000000" w:rsidRPr="00000000">
        <w:rPr>
          <w:color w:val="575b5f"/>
          <w:sz w:val="40"/>
          <w:szCs w:val="40"/>
          <w:highlight w:val="white"/>
          <w:vertAlign w:val="superscript"/>
          <w:rtl w:val="0"/>
        </w:rPr>
        <w:t xml:space="preserve">46</w:t>
      </w:r>
      <w:r w:rsidDel="00000000" w:rsidR="00000000" w:rsidRPr="00000000">
        <w:rPr>
          <w:color w:val="1b1c1d"/>
          <w:rtl w:val="0"/>
        </w:rPr>
        <w:t xml:space="preserve"> While ORP9 possesses an FFAT motif that enables it to interact with the ER-resident proteins VAPA and VAPB, ORP11 lacks this motif.</w:t>
      </w:r>
      <w:r w:rsidDel="00000000" w:rsidR="00000000" w:rsidRPr="00000000">
        <w:rPr>
          <w:color w:val="575b5f"/>
          <w:sz w:val="40"/>
          <w:szCs w:val="40"/>
          <w:highlight w:val="white"/>
          <w:vertAlign w:val="superscript"/>
          <w:rtl w:val="0"/>
        </w:rPr>
        <w:t xml:space="preserve">46</w:t>
      </w:r>
      <w:r w:rsidDel="00000000" w:rsidR="00000000" w:rsidRPr="00000000">
        <w:rPr>
          <w:color w:val="1b1c1d"/>
          <w:rtl w:val="0"/>
        </w:rPr>
        <w:t xml:space="preserve"> The heterodimerization allows ORP11 to indirectly associate with the ER, as its interaction with VAPA is significantly reduced without ORP9.</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At the ER-trans-Golgi contact site, the ORP9-ORP11 heterodimer facilitates a counter-directional lipid exchange.</w:t>
      </w:r>
      <w:r w:rsidDel="00000000" w:rsidR="00000000" w:rsidRPr="00000000">
        <w:rPr>
          <w:color w:val="575b5f"/>
          <w:sz w:val="40"/>
          <w:szCs w:val="40"/>
          <w:highlight w:val="white"/>
          <w:vertAlign w:val="superscript"/>
          <w:rtl w:val="0"/>
        </w:rPr>
        <w:t xml:space="preserve">45</w:t>
      </w:r>
      <w:r w:rsidDel="00000000" w:rsidR="00000000" w:rsidRPr="00000000">
        <w:rPr>
          <w:color w:val="1b1c1d"/>
          <w:rtl w:val="0"/>
        </w:rPr>
        <w:t xml:space="preserve"> The dimer transfers phosphatidylserine (PS) from the ER to the Golgi while simultaneously transferring phosphatidylinositol-4-phosphate (PI4P) from the Golgi to the ER.</w:t>
      </w:r>
      <w:r w:rsidDel="00000000" w:rsidR="00000000" w:rsidRPr="00000000">
        <w:rPr>
          <w:color w:val="575b5f"/>
          <w:sz w:val="40"/>
          <w:szCs w:val="40"/>
          <w:highlight w:val="white"/>
          <w:vertAlign w:val="superscript"/>
          <w:rtl w:val="0"/>
        </w:rPr>
        <w:t xml:space="preserve">46</w:t>
      </w:r>
      <w:r w:rsidDel="00000000" w:rsidR="00000000" w:rsidRPr="00000000">
        <w:rPr>
          <w:color w:val="1b1c1d"/>
          <w:rtl w:val="0"/>
        </w:rPr>
        <w:t xml:space="preserve"> This specific PS/PI4P exchange is a prerequisite for sphingomyelin synthesis in the Golgi apparatus.</w:t>
      </w:r>
      <w:r w:rsidDel="00000000" w:rsidR="00000000" w:rsidRPr="00000000">
        <w:rPr>
          <w:color w:val="575b5f"/>
          <w:sz w:val="40"/>
          <w:szCs w:val="40"/>
          <w:highlight w:val="white"/>
          <w:vertAlign w:val="superscript"/>
          <w:rtl w:val="0"/>
        </w:rPr>
        <w:t xml:space="preserve">45</w:t>
      </w:r>
      <w:r w:rsidDel="00000000" w:rsidR="00000000" w:rsidRPr="00000000">
        <w:rPr>
          <w:color w:val="1b1c1d"/>
          <w:rtl w:val="0"/>
        </w:rPr>
        <w:t xml:space="preserve"> Consequently, the loss of either ORP9 or ORP11 disrupts the phospholipid balance in the Golgi and lowers its capacity to synthesize sphingomyelin, demonstrating a clear causal relationship between this lipid exchange mechanism and a key sphingolipid metabolic pathway.</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5ew4i8cdd6g" w:id="17"/>
      <w:bookmarkEnd w:id="17"/>
      <w:r w:rsidDel="00000000" w:rsidR="00000000" w:rsidRPr="00000000">
        <w:rPr>
          <w:b w:val="1"/>
          <w:color w:val="1b1c1d"/>
          <w:sz w:val="34"/>
          <w:szCs w:val="34"/>
          <w:rtl w:val="0"/>
        </w:rPr>
        <w:t xml:space="preserve">III. Nuclear Receptors as Sterol Sensors and Transcriptional Regulators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hem2ed9y34z" w:id="18"/>
      <w:bookmarkEnd w:id="18"/>
      <w:r w:rsidDel="00000000" w:rsidR="00000000" w:rsidRPr="00000000">
        <w:rPr>
          <w:b w:val="1"/>
          <w:color w:val="1b1c1d"/>
          <w:sz w:val="26"/>
          <w:szCs w:val="26"/>
          <w:rtl w:val="0"/>
        </w:rPr>
        <w:t xml:space="preserve">3.1. General Family Characteristics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Nuclear receptors (NRs) function as ligand-inducible transcription factors that respond to a wide array of chemical signals to regulate gene expression.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Many NRs, including LXR and ROR family members, form permissive heterodimers with the retinoid X receptor (RXR) to bind to specific DNA response elements in the promoters of target genes.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permissive nature allows for activation by ligands for either the NR or its RXR partner.</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In the absence of a ligand, these NR-RXR complexes typically bind to corepressors, such as silencing mediator of retinoic acid and thyroid hormone receptor (SMRT) or nuclear receptor co-repressor (NCoR), which actively represses target gene transcription.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Ligand binding to the NR triggers a conformational change that causes the release of these corepressors and the recruitment of coactivators, thereby activating gene expression.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oaotok8a7u" w:id="19"/>
      <w:bookmarkEnd w:id="19"/>
      <w:r w:rsidDel="00000000" w:rsidR="00000000" w:rsidRPr="00000000">
        <w:rPr>
          <w:b w:val="1"/>
          <w:color w:val="1b1c1d"/>
          <w:sz w:val="26"/>
          <w:szCs w:val="26"/>
          <w:rtl w:val="0"/>
        </w:rPr>
        <w:t xml:space="preserve">3.2. Detailed Profile: Oxysterols Receptor LXR-alpha (LXRα)</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zt7bqrb9fq8" w:id="20"/>
      <w:bookmarkEnd w:id="20"/>
      <w:r w:rsidDel="00000000" w:rsidR="00000000" w:rsidRPr="00000000">
        <w:rPr>
          <w:b w:val="1"/>
          <w:color w:val="1b1c1d"/>
          <w:sz w:val="22"/>
          <w:szCs w:val="22"/>
          <w:rtl w:val="0"/>
        </w:rPr>
        <w:t xml:space="preserve">Primary Function &amp; Molecular Interactions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LXRα is a master regulator of cholesterol and lipid metabolism, with high expression in metabolically active tissues such as the liver, intestine, and macrophages.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Its main function is to sense cholesterol overload and stimulate pathways for cholesterol removal, including its efflux, transport, and conversion to bile acids.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LXRα is activated by a range of endogenous oxysterols, which are considered its physiological ligands.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These include 22(R)-hydroxycholesterol, 24(S)-hydroxycholesterol, 27-hydroxycholesterol, and 24(S),25-epoxycholesterol, all of which are potent transcriptional activators of the receptor.</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In addition, LXRα can be activated by specific medium-chain fatty acids (C10 and C12) and various synthetic agonists, such as T0901317 and GW3965, which are used in research to modulate the pathway.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Upon activation, LXRα forms an obligate heterodimer with RXR to bind to DR4 response elements in DNA and regulate the expression of target genes.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Key LXRα target genes include those involved in cholesterol efflux, such as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ABCA1</w:t>
      </w:r>
      <w:r w:rsidDel="00000000" w:rsidR="00000000" w:rsidRPr="00000000">
        <w:rPr>
          <w:color w:val="1b1c1d"/>
          <w:rtl w:val="0"/>
        </w:rPr>
        <w:t xml:space="preserve"> and </w:t>
      </w:r>
      <w:r w:rsidDel="00000000" w:rsidR="00000000" w:rsidRPr="00000000">
        <w:rPr>
          <w:i w:val="1"/>
          <w:color w:val="1b1c1d"/>
          <w:rtl w:val="0"/>
        </w:rPr>
        <w:t xml:space="preserve">ABCG1</w:t>
      </w:r>
      <w:r w:rsidDel="00000000" w:rsidR="00000000" w:rsidRPr="00000000">
        <w:rPr>
          <w:color w:val="1b1c1d"/>
          <w:rtl w:val="0"/>
        </w:rPr>
        <w:t xml:space="preserve">, and the enzyme that catalyzes the rate-limiting step in bile acid synthesis, </w:t>
      </w:r>
      <w:r w:rsidDel="00000000" w:rsidR="00000000" w:rsidRPr="00000000">
        <w:rPr>
          <w:i w:val="1"/>
          <w:color w:val="1b1c1d"/>
          <w:rtl w:val="0"/>
        </w:rPr>
        <w:t xml:space="preserve">Cyp7a1</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9hmnald3g0c" w:id="21"/>
      <w:bookmarkEnd w:id="21"/>
      <w:r w:rsidDel="00000000" w:rsidR="00000000" w:rsidRPr="00000000">
        <w:rPr>
          <w:b w:val="1"/>
          <w:color w:val="1b1c1d"/>
          <w:sz w:val="26"/>
          <w:szCs w:val="26"/>
          <w:rtl w:val="0"/>
        </w:rPr>
        <w:t xml:space="preserve">3.3. Detailed Profile: Oxysterols Receptor LXR-beta (LXRβ)</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t505m4do5ne" w:id="22"/>
      <w:bookmarkEnd w:id="22"/>
      <w:r w:rsidDel="00000000" w:rsidR="00000000" w:rsidRPr="00000000">
        <w:rPr>
          <w:b w:val="1"/>
          <w:color w:val="1b1c1d"/>
          <w:sz w:val="22"/>
          <w:szCs w:val="22"/>
          <w:rtl w:val="0"/>
        </w:rPr>
        <w:t xml:space="preserve">Primary Function &amp; Molecular Interactions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LXRβ is a second LXR isoform that is ubiquitously expressed in all tissues, unlike the more restricted LXRα.</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While it responds to the same range of endogenous and synthetic ligands as LXRα and also forms a heterodimer with RXR, its physiological roles are distinct.</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LXRβ plays a crucial role in maintaining the health of dopaminergic neurons, motor neurons, and retinal ganglion cells, with its neuroprotective effects likely originating from its expression in glial cells.</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Furthermore, LXRβ is a major regulator of glucose homeostasis and energy utilization, and LXRβ-deficient mice are resistant to high-fat-diet-induced obesity but become insulin-resistant.</w:t>
      </w:r>
      <w:r w:rsidDel="00000000" w:rsidR="00000000" w:rsidRPr="00000000">
        <w:rPr>
          <w:color w:val="575b5f"/>
          <w:sz w:val="40"/>
          <w:szCs w:val="40"/>
          <w:highlight w:val="white"/>
          <w:vertAlign w:val="superscript"/>
          <w:rtl w:val="0"/>
        </w:rPr>
        <w:t xml:space="preserve">51</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specialization of LXRα and LXRβ, despite their structural similarity and shared ligands, underscores the importance of factors beyond simple ligand binding.</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 study comparing their nuclear localization revealed a significant difference: unliganded LXRα is retained in the nucleus, whereas unliganded LXRβ is partially exported.</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This differential localization, along with the differential effects of mutations in their nuclear localization sequences on transcriptional activation, provides a clear explanation for how two receptors with the same ligand can mediate divergent biological outcomes. This demonstrates that the specific physiological context, including tissue-specific expression patterns and unique protein-level regulation, can be as important as ligand-binding affinity in determining a receptor's overall function.</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ipbt89vc2fh" w:id="23"/>
      <w:bookmarkEnd w:id="23"/>
      <w:r w:rsidDel="00000000" w:rsidR="00000000" w:rsidRPr="00000000">
        <w:rPr>
          <w:b w:val="1"/>
          <w:color w:val="1b1c1d"/>
          <w:sz w:val="34"/>
          <w:szCs w:val="34"/>
          <w:rtl w:val="0"/>
        </w:rPr>
        <w:t xml:space="preserve">IV. The ROR Family: Immunological and Metabolic Integrators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isq6auteo26" w:id="24"/>
      <w:bookmarkEnd w:id="24"/>
      <w:r w:rsidDel="00000000" w:rsidR="00000000" w:rsidRPr="00000000">
        <w:rPr>
          <w:b w:val="1"/>
          <w:color w:val="1b1c1d"/>
          <w:sz w:val="26"/>
          <w:szCs w:val="26"/>
          <w:rtl w:val="0"/>
        </w:rPr>
        <w:t xml:space="preserve">4.1. General Family Characteristics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ROR family consists of three members: RORα, RORβ, and RORγ.</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These are orphan nuclear receptors that function as ligand-dependent transcription factors and are centrally involved in inflammation, autoimmune diseases, metabolism, and circadian rhythms.</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Unlike most other NRs, RORs typically bind to their specific DNA response elements (ROREs) as monomers.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They have been shown to possess intrinsic constitutive transcriptional activity, meaning they can recruit coactivators and activate transcription even in the absence of a known ligand.</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Ligands that bind to RORs, therefore, often function as "inverse agonists," which bind to the LBD and repress this basal constitutive activity.</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s1nlvkkjnoc" w:id="25"/>
      <w:bookmarkEnd w:id="25"/>
      <w:r w:rsidDel="00000000" w:rsidR="00000000" w:rsidRPr="00000000">
        <w:rPr>
          <w:b w:val="1"/>
          <w:color w:val="1b1c1d"/>
          <w:sz w:val="26"/>
          <w:szCs w:val="26"/>
          <w:rtl w:val="0"/>
        </w:rPr>
        <w:t xml:space="preserve">4.2. Detailed Profile: ROR-alpha (RORα) and ROR-gamma (RORγ)</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6sfgt6vj2d4" w:id="26"/>
      <w:bookmarkEnd w:id="26"/>
      <w:r w:rsidDel="00000000" w:rsidR="00000000" w:rsidRPr="00000000">
        <w:rPr>
          <w:b w:val="1"/>
          <w:color w:val="1b1c1d"/>
          <w:sz w:val="22"/>
          <w:szCs w:val="22"/>
          <w:rtl w:val="0"/>
        </w:rPr>
        <w:t xml:space="preserve">Primary Function &amp; Molecular Interactions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RORα and RORγ are recognized as master regulators of the immune system, particularly in controlling the differentiation and maintenance of T helper 17 (Th17) cells.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Th17 cells are implicated in various autoimmune and chronic inflammatory diseases.</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The co-expression of RORα and RORγ synergistically promotes Th17 cell differentiation, and the double deficiency of both receptors completely impairs Th17 generation and protects mice from experimental autoimmune encephalomyelitis (EAE).</w:t>
      </w:r>
      <w:r w:rsidDel="00000000" w:rsidR="00000000" w:rsidRPr="00000000">
        <w:rPr>
          <w:color w:val="575b5f"/>
          <w:sz w:val="40"/>
          <w:szCs w:val="40"/>
          <w:highlight w:val="white"/>
          <w:vertAlign w:val="superscript"/>
          <w:rtl w:val="0"/>
        </w:rPr>
        <w:t xml:space="preserve">55</w:t>
      </w:r>
      <w:r w:rsidDel="00000000" w:rsidR="00000000" w:rsidRPr="00000000">
        <w:rPr>
          <w:color w:val="1b1c1d"/>
          <w:rtl w:val="0"/>
        </w:rPr>
        <w:t xml:space="preserve"> RORα also reinforces the RORγt transcriptional program by binding cooperatively to a cis-regulatory element within the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Rorc</w:t>
      </w:r>
      <w:r w:rsidDel="00000000" w:rsidR="00000000" w:rsidRPr="00000000">
        <w:rPr>
          <w:color w:val="1b1c1d"/>
          <w:rtl w:val="0"/>
        </w:rPr>
        <w:t xml:space="preserve"> gene, demonstrating a non-redundant role in maintaining the Th17 lineage.</w:t>
      </w:r>
      <w:r w:rsidDel="00000000" w:rsidR="00000000" w:rsidRPr="00000000">
        <w:rPr>
          <w:color w:val="575b5f"/>
          <w:sz w:val="40"/>
          <w:szCs w:val="40"/>
          <w:highlight w:val="white"/>
          <w:vertAlign w:val="superscript"/>
          <w:rtl w:val="0"/>
        </w:rPr>
        <w:t xml:space="preserve">57</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pivotal discovery in the field was the identification of 7-oxygenated sterols as high-affinity ligands for both RORα and RORγ.</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These oxysterols, such as 7α-hydroxycholesterol (7α-OHC), directly bind to the receptors' ligand-binding domains and act as inverse agonists, suppressing their transcriptional activity.</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finding established RORs as ligand-regulated members of the NR superfamily and suggested that they function as sensors for 7-oxygenated sterols.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Additionally, the coactivator NCOA2 has been identified as an interacting partner for RORα.</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cross-reactivity of ligands is also evident, as the synthetic LXR agonist T0901317 also functions as a dual RORα and RORγ inverse agonist, underscoring the potential for single molecules to modulate multiple, seemingly distinct, signaling pathways.</w:t>
      </w:r>
      <w:r w:rsidDel="00000000" w:rsidR="00000000" w:rsidRPr="00000000">
        <w:rPr>
          <w:color w:val="575b5f"/>
          <w:sz w:val="40"/>
          <w:szCs w:val="40"/>
          <w:highlight w:val="white"/>
          <w:vertAlign w:val="superscript"/>
          <w:rtl w:val="0"/>
        </w:rPr>
        <w:t xml:space="preserve">54</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31ndfumv6mc" w:id="27"/>
      <w:bookmarkEnd w:id="27"/>
      <w:r w:rsidDel="00000000" w:rsidR="00000000" w:rsidRPr="00000000">
        <w:rPr>
          <w:b w:val="1"/>
          <w:color w:val="1b1c1d"/>
          <w:sz w:val="26"/>
          <w:szCs w:val="26"/>
          <w:rtl w:val="0"/>
        </w:rPr>
        <w:t xml:space="preserve">4.3. Insights from </w:t>
      </w:r>
      <w:r w:rsidDel="00000000" w:rsidR="00000000" w:rsidRPr="00000000">
        <w:rPr>
          <w:b w:val="1"/>
          <w:i w:val="1"/>
          <w:color w:val="1b1c1d"/>
          <w:sz w:val="26"/>
          <w:szCs w:val="26"/>
          <w:rtl w:val="0"/>
        </w:rPr>
        <w:t xml:space="preserve">C. elegans</w:t>
      </w:r>
      <w:r w:rsidDel="00000000" w:rsidR="00000000" w:rsidRPr="00000000">
        <w:rPr>
          <w:b w:val="1"/>
          <w:color w:val="1b1c1d"/>
          <w:sz w:val="26"/>
          <w:szCs w:val="26"/>
          <w:rtl w:val="0"/>
        </w:rPr>
        <w:t xml:space="preserve"> Orthologs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Studies of the </w:t>
      </w:r>
      <w:r w:rsidDel="00000000" w:rsidR="00000000" w:rsidRPr="00000000">
        <w:rPr>
          <w:i w:val="1"/>
          <w:color w:val="1b1c1d"/>
          <w:rtl w:val="0"/>
        </w:rPr>
        <w:t xml:space="preserve">C. elegans</w:t>
      </w:r>
      <w:r w:rsidDel="00000000" w:rsidR="00000000" w:rsidRPr="00000000">
        <w:rPr>
          <w:color w:val="1b1c1d"/>
          <w:rtl w:val="0"/>
        </w:rPr>
        <w:t xml:space="preserve"> nuclear receptors NHR-6 and NHR-23 provide valuable insights into the conserved functions of their mammalian orthologs, NR4A and RORα, respectively. NHR-6 is an essential regulator of spermatheca organogenesis, required for both cell proliferation and differentiation.</w:t>
      </w:r>
      <w:r w:rsidDel="00000000" w:rsidR="00000000" w:rsidRPr="00000000">
        <w:rPr>
          <w:color w:val="575b5f"/>
          <w:sz w:val="40"/>
          <w:szCs w:val="40"/>
          <w:highlight w:val="white"/>
          <w:vertAlign w:val="superscript"/>
          <w:rtl w:val="0"/>
        </w:rPr>
        <w:t xml:space="preserve">60</w:t>
      </w:r>
      <w:r w:rsidDel="00000000" w:rsidR="00000000" w:rsidRPr="00000000">
        <w:rPr>
          <w:color w:val="1b1c1d"/>
          <w:rtl w:val="0"/>
        </w:rPr>
        <w:t xml:space="preserve"> A functional and physical interaction between NHR-6 and the Jun transcription factor homolog JUN-1 has been demonstrated, with the two proteins working together to regulate the development of the spermatheca.</w:t>
      </w:r>
      <w:r w:rsidDel="00000000" w:rsidR="00000000" w:rsidRPr="00000000">
        <w:rPr>
          <w:color w:val="575b5f"/>
          <w:sz w:val="40"/>
          <w:szCs w:val="40"/>
          <w:highlight w:val="white"/>
          <w:vertAlign w:val="superscript"/>
          <w:rtl w:val="0"/>
        </w:rPr>
        <w:t xml:space="preserve">61</w:t>
      </w:r>
      <w:r w:rsidDel="00000000" w:rsidR="00000000" w:rsidRPr="00000000">
        <w:rPr>
          <w:color w:val="1b1c1d"/>
          <w:rtl w:val="0"/>
        </w:rPr>
        <w:t xml:space="preserve"> This provides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in vivo</w:t>
      </w:r>
      <w:r w:rsidDel="00000000" w:rsidR="00000000" w:rsidRPr="00000000">
        <w:rPr>
          <w:color w:val="1b1c1d"/>
          <w:rtl w:val="0"/>
        </w:rPr>
        <w:t xml:space="preserve"> evidence for a conserved interaction between NR4A nuclear receptors and Jun transcription factors in regulating metazoan development.</w:t>
      </w:r>
      <w:r w:rsidDel="00000000" w:rsidR="00000000" w:rsidRPr="00000000">
        <w:rPr>
          <w:color w:val="575b5f"/>
          <w:sz w:val="40"/>
          <w:szCs w:val="40"/>
          <w:highlight w:val="white"/>
          <w:vertAlign w:val="superscript"/>
          <w:rtl w:val="0"/>
        </w:rPr>
        <w:t xml:space="preserve">61</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NHR-23, the </w:t>
      </w:r>
      <w:r w:rsidDel="00000000" w:rsidR="00000000" w:rsidRPr="00000000">
        <w:rPr>
          <w:i w:val="1"/>
          <w:color w:val="1b1c1d"/>
          <w:rtl w:val="0"/>
        </w:rPr>
        <w:t xml:space="preserve">C. elegans</w:t>
      </w:r>
      <w:r w:rsidDel="00000000" w:rsidR="00000000" w:rsidRPr="00000000">
        <w:rPr>
          <w:color w:val="1b1c1d"/>
          <w:rtl w:val="0"/>
        </w:rPr>
        <w:t xml:space="preserve"> ortholog of mammalian RORα and insect DHR3, is a key regulator of larval molting and spermatogenesis.</w:t>
      </w:r>
      <w:r w:rsidDel="00000000" w:rsidR="00000000" w:rsidRPr="00000000">
        <w:rPr>
          <w:color w:val="575b5f"/>
          <w:sz w:val="40"/>
          <w:szCs w:val="40"/>
          <w:highlight w:val="white"/>
          <w:vertAlign w:val="superscript"/>
          <w:rtl w:val="0"/>
        </w:rPr>
        <w:t xml:space="preserve">62</w:t>
      </w:r>
      <w:r w:rsidDel="00000000" w:rsidR="00000000" w:rsidRPr="00000000">
        <w:rPr>
          <w:color w:val="1b1c1d"/>
          <w:rtl w:val="0"/>
        </w:rPr>
        <w:t xml:space="preserve"> Its protein levels oscillate over the course of each larval stage, peaking mid-stage and decreasing at the time of the molt.</w:t>
      </w:r>
      <w:r w:rsidDel="00000000" w:rsidR="00000000" w:rsidRPr="00000000">
        <w:rPr>
          <w:color w:val="575b5f"/>
          <w:sz w:val="40"/>
          <w:szCs w:val="40"/>
          <w:highlight w:val="white"/>
          <w:vertAlign w:val="superscript"/>
          <w:rtl w:val="0"/>
        </w:rPr>
        <w:t xml:space="preserve">62</w:t>
      </w:r>
      <w:r w:rsidDel="00000000" w:rsidR="00000000" w:rsidRPr="00000000">
        <w:rPr>
          <w:color w:val="1b1c1d"/>
          <w:rtl w:val="0"/>
        </w:rPr>
        <w:t xml:space="preserve"> NHR-23 coordinates the expression of factors involved in molting, lipid transport, and the remodeling of the apical extracellular matrix.</w:t>
      </w:r>
      <w:r w:rsidDel="00000000" w:rsidR="00000000" w:rsidRPr="00000000">
        <w:rPr>
          <w:color w:val="575b5f"/>
          <w:sz w:val="40"/>
          <w:szCs w:val="40"/>
          <w:highlight w:val="white"/>
          <w:vertAlign w:val="superscript"/>
          <w:rtl w:val="0"/>
        </w:rPr>
        <w:t xml:space="preserve">62</w:t>
      </w:r>
      <w:r w:rsidDel="00000000" w:rsidR="00000000" w:rsidRPr="00000000">
        <w:rPr>
          <w:color w:val="1b1c1d"/>
          <w:rtl w:val="0"/>
        </w:rPr>
        <w:t xml:space="preserve"> It regulates microRNAs like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let-7</w:t>
      </w:r>
      <w:r w:rsidDel="00000000" w:rsidR="00000000" w:rsidRPr="00000000">
        <w:rPr>
          <w:color w:val="1b1c1d"/>
          <w:rtl w:val="0"/>
        </w:rPr>
        <w:t xml:space="preserve"> and </w:t>
      </w:r>
      <w:r w:rsidDel="00000000" w:rsidR="00000000" w:rsidRPr="00000000">
        <w:rPr>
          <w:i w:val="1"/>
          <w:color w:val="1b1c1d"/>
          <w:rtl w:val="0"/>
        </w:rPr>
        <w:t xml:space="preserve">lin-4</w:t>
      </w:r>
      <w:r w:rsidDel="00000000" w:rsidR="00000000" w:rsidRPr="00000000">
        <w:rPr>
          <w:color w:val="1b1c1d"/>
          <w:rtl w:val="0"/>
        </w:rPr>
        <w:t xml:space="preserve"> and affects the localization and expression of cuticle collagens like ROL-6 and BLI-1.</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q811y4x17w" w:id="28"/>
      <w:bookmarkEnd w:id="28"/>
      <w:r w:rsidDel="00000000" w:rsidR="00000000" w:rsidRPr="00000000">
        <w:rPr>
          <w:b w:val="1"/>
          <w:color w:val="1b1c1d"/>
          <w:sz w:val="34"/>
          <w:szCs w:val="34"/>
          <w:rtl w:val="0"/>
        </w:rPr>
        <w:t xml:space="preserve">V. The PXR and COUP-TFs: Xenobiotic and Developmental Regulators</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sz07twi5bhl" w:id="29"/>
      <w:bookmarkEnd w:id="29"/>
      <w:r w:rsidDel="00000000" w:rsidR="00000000" w:rsidRPr="00000000">
        <w:rPr>
          <w:b w:val="1"/>
          <w:color w:val="1b1c1d"/>
          <w:sz w:val="26"/>
          <w:szCs w:val="26"/>
          <w:rtl w:val="0"/>
        </w:rPr>
        <w:t xml:space="preserve">5.1. Detailed Profile: Pregnane X Receptor (PXR)</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d1vyifm03lk" w:id="30"/>
      <w:bookmarkEnd w:id="30"/>
      <w:r w:rsidDel="00000000" w:rsidR="00000000" w:rsidRPr="00000000">
        <w:rPr>
          <w:b w:val="1"/>
          <w:color w:val="1b1c1d"/>
          <w:sz w:val="22"/>
          <w:szCs w:val="22"/>
          <w:rtl w:val="0"/>
        </w:rPr>
        <w:t xml:space="preserve">Primary Function &amp; Molecular Interactions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Pregnane X Receptor (PXR), or NR1I2, is a central component of the body’s adaptive defense system against toxic substances.</w:t>
      </w:r>
      <w:r w:rsidDel="00000000" w:rsidR="00000000" w:rsidRPr="00000000">
        <w:rPr>
          <w:color w:val="575b5f"/>
          <w:sz w:val="40"/>
          <w:szCs w:val="40"/>
          <w:highlight w:val="white"/>
          <w:vertAlign w:val="superscript"/>
          <w:rtl w:val="0"/>
        </w:rPr>
        <w:t xml:space="preserve">66</w:t>
      </w:r>
      <w:r w:rsidDel="00000000" w:rsidR="00000000" w:rsidRPr="00000000">
        <w:rPr>
          <w:color w:val="1b1c1d"/>
          <w:rtl w:val="0"/>
        </w:rPr>
        <w:t xml:space="preserve"> PXR is often described as a "promiscuous xenobiotic receptor" due to its ability to be activated by a vast array of structurally diverse compounds.</w:t>
      </w:r>
      <w:r w:rsidDel="00000000" w:rsidR="00000000" w:rsidRPr="00000000">
        <w:rPr>
          <w:color w:val="575b5f"/>
          <w:sz w:val="40"/>
          <w:szCs w:val="40"/>
          <w:highlight w:val="white"/>
          <w:vertAlign w:val="superscript"/>
          <w:rtl w:val="0"/>
        </w:rPr>
        <w:t xml:space="preserve">66</w:t>
      </w:r>
      <w:r w:rsidDel="00000000" w:rsidR="00000000" w:rsidRPr="00000000">
        <w:rPr>
          <w:color w:val="1b1c1d"/>
          <w:rtl w:val="0"/>
        </w:rPr>
        <w:t xml:space="preserve"> Its large and flexible ligand-binding pocket allows it to accommodate a wide range of molecules, including steroids (e.g., pregnanes, dexamethasone), antibiotics (e.g., rifampicin), antimycotics (e.g., clotrimazole), and herbal components (e.g., St. John's wort).</w:t>
      </w:r>
      <w:r w:rsidDel="00000000" w:rsidR="00000000" w:rsidRPr="00000000">
        <w:rPr>
          <w:color w:val="575b5f"/>
          <w:sz w:val="40"/>
          <w:szCs w:val="40"/>
          <w:highlight w:val="white"/>
          <w:vertAlign w:val="superscript"/>
          <w:rtl w:val="0"/>
        </w:rPr>
        <w:t xml:space="preserve">66</w:t>
      </w:r>
      <w:r w:rsidDel="00000000" w:rsidR="00000000" w:rsidRPr="00000000">
        <w:rPr>
          <w:color w:val="1b1c1d"/>
          <w:rtl w:val="0"/>
        </w:rPr>
        <w:t xml:space="preserve"> PXR is highly expressed in the liver and small intestine, where it functions as a ligand-activated transcription factor to regulate the metabolism and elimination of both exogenous (xenobiotics) and endogenous substances.</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PXR forms a heterodimer with RXR, and this complex binds to specific DNA response elements in the regulatory regions of target genes.</w:t>
      </w:r>
      <w:r w:rsidDel="00000000" w:rsidR="00000000" w:rsidRPr="00000000">
        <w:rPr>
          <w:color w:val="575b5f"/>
          <w:sz w:val="40"/>
          <w:szCs w:val="40"/>
          <w:highlight w:val="white"/>
          <w:vertAlign w:val="superscript"/>
          <w:rtl w:val="0"/>
        </w:rPr>
        <w:t xml:space="preserve">66</w:t>
      </w:r>
      <w:r w:rsidDel="00000000" w:rsidR="00000000" w:rsidRPr="00000000">
        <w:rPr>
          <w:color w:val="1b1c1d"/>
          <w:rtl w:val="0"/>
        </w:rPr>
        <w:t xml:space="preserve"> Its most critical function is the transcriptional induction of cytochrome P450 3A (CYP3A) genes, particularly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CYP3A4</w:t>
      </w:r>
      <w:r w:rsidDel="00000000" w:rsidR="00000000" w:rsidRPr="00000000">
        <w:rPr>
          <w:color w:val="1b1c1d"/>
          <w:rtl w:val="0"/>
        </w:rPr>
        <w:t xml:space="preserve">, which metabolizes an estimated 60% of all clinically used drugs.</w:t>
      </w:r>
      <w:r w:rsidDel="00000000" w:rsidR="00000000" w:rsidRPr="00000000">
        <w:rPr>
          <w:color w:val="575b5f"/>
          <w:sz w:val="40"/>
          <w:szCs w:val="40"/>
          <w:highlight w:val="white"/>
          <w:vertAlign w:val="superscript"/>
          <w:rtl w:val="0"/>
        </w:rPr>
        <w:t xml:space="preserve">67</w:t>
      </w:r>
      <w:r w:rsidDel="00000000" w:rsidR="00000000" w:rsidRPr="00000000">
        <w:rPr>
          <w:color w:val="1b1c1d"/>
          <w:rtl w:val="0"/>
        </w:rPr>
        <w:t xml:space="preserve"> This PXR-mediated induction is the molecular basis for a major class of dangerous drug-drug interactions, where one drug accelerates the metabolism of another, leading to a loss of therapeutic effect.</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 of PXR is a dual-edged sword in pharmacology.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While its activation accelerates the metabolism of toxicants, thereby providing a protective effect, it also accelerates the metabolism of therapeutic drugs, which can lead to reduced efficacy and dangerous drug-drug interactions.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duality makes PXR a key target for drug-screening assays to identify and eliminate potential inducers early in the drug discovery process.</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x0o8jo2z1xm" w:id="31"/>
      <w:bookmarkEnd w:id="31"/>
      <w:r w:rsidDel="00000000" w:rsidR="00000000" w:rsidRPr="00000000">
        <w:rPr>
          <w:b w:val="1"/>
          <w:color w:val="1b1c1d"/>
          <w:sz w:val="26"/>
          <w:szCs w:val="26"/>
          <w:rtl w:val="0"/>
        </w:rPr>
        <w:t xml:space="preserve">5.2. Detailed Profile: Chicken Ovalbumin Upstream Promoter-Transcription Factors (COUP-TFs)</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zy5p3dv20l8" w:id="32"/>
      <w:bookmarkEnd w:id="32"/>
      <w:r w:rsidDel="00000000" w:rsidR="00000000" w:rsidRPr="00000000">
        <w:rPr>
          <w:b w:val="1"/>
          <w:color w:val="1b1c1d"/>
          <w:sz w:val="22"/>
          <w:szCs w:val="22"/>
          <w:rtl w:val="0"/>
        </w:rPr>
        <w:t xml:space="preserve">Primary Function &amp; Molecular Interactions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COUP-TFs, specifically COUP-TFI (NR2F1) and COUP-TFII (NR2F2), are orphan nuclear receptors that are essential for embryonic development and organogenesis, particularly in the central nervous system and heart.</w:t>
      </w:r>
      <w:r w:rsidDel="00000000" w:rsidR="00000000" w:rsidRPr="00000000">
        <w:rPr>
          <w:color w:val="575b5f"/>
          <w:sz w:val="40"/>
          <w:szCs w:val="40"/>
          <w:highlight w:val="white"/>
          <w:vertAlign w:val="superscript"/>
          <w:rtl w:val="0"/>
        </w:rPr>
        <w:t xml:space="preserve">74</w:t>
      </w:r>
      <w:r w:rsidDel="00000000" w:rsidR="00000000" w:rsidRPr="00000000">
        <w:rPr>
          <w:color w:val="1b1c1d"/>
          <w:rtl w:val="0"/>
        </w:rPr>
        <w:t xml:space="preserve"> COUP-TFI is predominantly expressed in the central nervous system, while COUP-TFII is primarily found in the mesenchyme of developing organs.</w:t>
      </w:r>
      <w:r w:rsidDel="00000000" w:rsidR="00000000" w:rsidRPr="00000000">
        <w:rPr>
          <w:color w:val="575b5f"/>
          <w:sz w:val="40"/>
          <w:szCs w:val="40"/>
          <w:highlight w:val="white"/>
          <w:vertAlign w:val="superscript"/>
          <w:rtl w:val="0"/>
        </w:rPr>
        <w:t xml:space="preserve">74</w:t>
      </w:r>
      <w:r w:rsidDel="00000000" w:rsidR="00000000" w:rsidRPr="00000000">
        <w:rPr>
          <w:color w:val="1b1c1d"/>
          <w:rtl w:val="0"/>
        </w:rPr>
        <w:t xml:space="preserve"> Despite being considered orphan receptors, COUP-TFII can be activated by unphysiological micromolar concentrations of retinoic acids, suggesting a ligand-regulated mechanism, even if the native ligand remains elusive.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COUP-TFs can act as repressors of other nuclear receptors, such as the vitamin D receptor (VDR), thyroid hormone receptor (TR), and retinoid acid receptor (RAR).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repression is achieved through two main mechanisms: direct competition for DNA binding sites or by sequestering the common heterodimerization partner, RXR, thereby reducing its availability for other receptors.</w:t>
      </w:r>
      <w:r w:rsidDel="00000000" w:rsidR="00000000" w:rsidRPr="00000000">
        <w:rPr>
          <w:color w:val="575b5f"/>
          <w:sz w:val="40"/>
          <w:szCs w:val="40"/>
          <w:highlight w:val="white"/>
          <w:vertAlign w:val="superscript"/>
          <w:rtl w:val="0"/>
        </w:rPr>
        <w:t xml:space="preserve">77</w:t>
      </w:r>
      <w:r w:rsidDel="00000000" w:rsidR="00000000" w:rsidRPr="00000000">
        <w:rPr>
          <w:color w:val="1b1c1d"/>
          <w:rtl w:val="0"/>
        </w:rPr>
        <w:t xml:space="preserve"> They also interact with other transcription factors like Sp1 to regulate gene expression.</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importance of these receptors is underscored by their role in human disease. Haploinsufficiency of the human </w:t>
      </w:r>
      <w:r w:rsidDel="00000000" w:rsidR="00000000" w:rsidRPr="00000000">
        <w:rPr>
          <w:i w:val="1"/>
          <w:color w:val="1b1c1d"/>
          <w:rtl w:val="0"/>
        </w:rPr>
        <w:t xml:space="preserve">NR2F1</w:t>
      </w:r>
      <w:r w:rsidDel="00000000" w:rsidR="00000000" w:rsidRPr="00000000">
        <w:rPr>
          <w:color w:val="1b1c1d"/>
          <w:rtl w:val="0"/>
        </w:rPr>
        <w:t xml:space="preserve"> gene (COUP-TFI) is the genetic cause of Bosch-Boonstra-Schaaf optic atrophy syndrome (BBSOAS), a rare condition characterized by visual impairment, intellectual disability, and developmental delay.</w:t>
      </w:r>
      <w:r w:rsidDel="00000000" w:rsidR="00000000" w:rsidRPr="00000000">
        <w:rPr>
          <w:color w:val="575b5f"/>
          <w:sz w:val="40"/>
          <w:szCs w:val="40"/>
          <w:highlight w:val="white"/>
          <w:vertAlign w:val="superscript"/>
          <w:rtl w:val="0"/>
        </w:rPr>
        <w:t xml:space="preserve">75</w:t>
      </w:r>
      <w:r w:rsidDel="00000000" w:rsidR="00000000" w:rsidRPr="00000000">
        <w:rPr>
          <w:color w:val="1b1c1d"/>
          <w:rtl w:val="0"/>
        </w:rPr>
        <w:t xml:space="preserve"> Mouse models with</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Nr2f1</w:t>
      </w:r>
      <w:r w:rsidDel="00000000" w:rsidR="00000000" w:rsidRPr="00000000">
        <w:rPr>
          <w:color w:val="1b1c1d"/>
          <w:rtl w:val="0"/>
        </w:rPr>
        <w:t xml:space="preserve"> haploinsufficiency recapitulate the key features of the syndrome, including optic nerve atrophy and impaired hippocampal synaptic plasticity.</w:t>
      </w:r>
      <w:r w:rsidDel="00000000" w:rsidR="00000000" w:rsidRPr="00000000">
        <w:rPr>
          <w:color w:val="575b5f"/>
          <w:sz w:val="40"/>
          <w:szCs w:val="40"/>
          <w:highlight w:val="white"/>
          <w:vertAlign w:val="superscript"/>
          <w:rtl w:val="0"/>
        </w:rPr>
        <w:t xml:space="preserve">75</w:t>
      </w:r>
      <w:r w:rsidDel="00000000" w:rsidR="00000000" w:rsidRPr="00000000">
        <w:rPr>
          <w:color w:val="1b1c1d"/>
          <w:rtl w:val="0"/>
        </w:rPr>
        <w:t xml:space="preserve"> This provides a direct mechanistic link between a reduction in protein levels and the etiology of a human disease.</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luvct4q0ssu" w:id="33"/>
      <w:bookmarkEnd w:id="33"/>
      <w:r w:rsidDel="00000000" w:rsidR="00000000" w:rsidRPr="00000000">
        <w:rPr>
          <w:b w:val="1"/>
          <w:color w:val="1b1c1d"/>
          <w:sz w:val="34"/>
          <w:szCs w:val="34"/>
          <w:rtl w:val="0"/>
        </w:rPr>
        <w:t xml:space="preserve">VI. Synthesis and Interconnectivity of Pathways: A Unified Signaling Network</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hd5vpltnuog" w:id="34"/>
      <w:bookmarkEnd w:id="34"/>
      <w:r w:rsidDel="00000000" w:rsidR="00000000" w:rsidRPr="00000000">
        <w:rPr>
          <w:b w:val="1"/>
          <w:color w:val="1b1c1d"/>
          <w:sz w:val="26"/>
          <w:szCs w:val="26"/>
          <w:rtl w:val="0"/>
        </w:rPr>
        <w:t xml:space="preserve">6.1. The Lipidome-Gene Expression Axis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OSBP/ORP family and the nuclear receptor family are not isolated components but rather parts of a deeply interconnected signaling network. The OSBPs/ORPs serve as the initial sensors and transporters of lipids at membrane contact sites, directly influencing the local lipid composition of organelles.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These changes in lipid distribution, in turn, affect the availability of key small-molecule ligands, such as oxysterols, which can then activate nuclear receptors like LXRs, RORs, and PXR.</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This establishes a sequential causal chain:</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Changes in metabolic status or the presence of xenobiotics lead to the production of specific oxysterols.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OSBP/ORP proteins bind to and shuttle these oxysterols between organelles, influencing local membrane composition and protein activity.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These oxysterols can then enter the nucleus, where they bind to their cognate nuclear receptors.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ligand-receptor binding event modifies the recruitment of coactivators (e.g., NCOA2) or corepressors, resulting in a shift in the expression of target genes.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resulting new gene expression profile (e.g., increased cholesterol efflux or an anti-inflammatory response) contributes to the re-establishment of cellular homeostasis.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v737l43eng1" w:id="35"/>
      <w:bookmarkEnd w:id="35"/>
      <w:r w:rsidDel="00000000" w:rsidR="00000000" w:rsidRPr="00000000">
        <w:rPr>
          <w:b w:val="1"/>
          <w:color w:val="1b1c1d"/>
          <w:sz w:val="26"/>
          <w:szCs w:val="26"/>
          <w:rtl w:val="0"/>
        </w:rPr>
        <w:t xml:space="preserve">6.2. Cross-Pathway Interactions and Shared Molecules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intricate network features significant molecular crosstalk and shared components. The coactivator NCOA2, for instance, functions as a central hub by interacting with a diverse range of nuclear receptors, including RORα, glucocorticoid receptor (GR), and retinoid X receptor (RXR), among others.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positions it as a key integrator of multiple NR-mediated signaling pathways.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Additionally, some molecules exhibit pleiotropic effects by modulating different pathways simultaneously. A prime example is T0901317, a synthetic LXR agonist that, at the same time, acts as an inverse agonist for RORs.</w:t>
      </w:r>
      <w:r w:rsidDel="00000000" w:rsidR="00000000" w:rsidRPr="00000000">
        <w:rPr>
          <w:color w:val="575b5f"/>
          <w:sz w:val="40"/>
          <w:szCs w:val="40"/>
          <w:highlight w:val="white"/>
          <w:vertAlign w:val="superscript"/>
          <w:rtl w:val="0"/>
        </w:rPr>
        <w:t xml:space="preserve">54</w:t>
      </w:r>
      <w:r w:rsidDel="00000000" w:rsidR="00000000" w:rsidRPr="00000000">
        <w:rPr>
          <w:color w:val="1b1c1d"/>
          <w:rtl w:val="0"/>
        </w:rPr>
        <w:t xml:space="preserve"> This dual action highlights the challenge and opportunity for drug design, where a single compound can have distinct and sometimes opposing effects on different signaling cascades. The direct interaction and collaborative function between ORP2 and LXR in regulating cholesterol homeostasis and steroid biosynthesis further exemplify this interconnectedness.</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t7e6dw4c5bp" w:id="36"/>
      <w:bookmarkEnd w:id="36"/>
      <w:r w:rsidDel="00000000" w:rsidR="00000000" w:rsidRPr="00000000">
        <w:rPr>
          <w:b w:val="1"/>
          <w:color w:val="1b1c1d"/>
          <w:sz w:val="26"/>
          <w:szCs w:val="26"/>
          <w:rtl w:val="0"/>
        </w:rPr>
        <w:t xml:space="preserve">6.3. Table: A Comprehensive Molecular Interaction Map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967213114754"/>
        <w:gridCol w:w="1340.0655737704917"/>
        <w:gridCol w:w="1677.639344262295"/>
        <w:gridCol w:w="1237.7704918032787"/>
        <w:gridCol w:w="1831.0819672131147"/>
        <w:gridCol w:w="1749.2459016393443"/>
        <w:tblGridChange w:id="0">
          <w:tblGrid>
            <w:gridCol w:w="1524.1967213114754"/>
            <w:gridCol w:w="1340.0655737704917"/>
            <w:gridCol w:w="1677.639344262295"/>
            <w:gridCol w:w="1237.7704918032787"/>
            <w:gridCol w:w="1831.0819672131147"/>
            <w:gridCol w:w="1749.2459016393443"/>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Protein/Receptor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Key Ligands (Reactants)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Interacting Proteins/Co-factors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Key Target Genes/Proteins (Products)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Associated Processes/Diseases</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Oxysterol-binding protein 1 (OSBP1)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Non-vesicular lipid transport, lipid sensing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25-hydroxycholesterol, cholesterol, PI4P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VAP, Golgi v-SNAREs (GS28, GS15), Man II, APP-Notch2 dimers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ABCA1 (post-transcriptional stability), Sphingomyelin, Aβ</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Alzheimer's disease, Lipid metabolism, Golgi function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Oxysterol-binding protein homolog 4 (OSBPL4/ORP4)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Cell proliferation and survival, lipid 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25-hydroxycholesterol, PI4P, ORPphilins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Vimentin, VAP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Cancer, Apoptosis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Oxysterol-binding protein-related protein 1 (ORP1)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Non-vesicular cholesterol 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Sterols, Phosphoinositides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Rab7, RILP, VAP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Cholesterol homeostasis, Organelle membrane dynamics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Oxysterol-binding protein-related protein 2 (ORP2)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Cholesterol efflux, steroid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22(R)-hydroxycholesterol, 25-hydroxycholesterol, PI(4,5)P$_2$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LXR, SF1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i w:val="1"/>
                <w:color w:val="1b1c1d"/>
                <w:rtl w:val="0"/>
              </w:rPr>
              <w:t xml:space="preserve">CYP11B1</w:t>
            </w:r>
            <w:r w:rsidDel="00000000" w:rsidR="00000000" w:rsidRPr="00000000">
              <w:rPr>
                <w:color w:val="1b1c1d"/>
                <w:rtl w:val="0"/>
              </w:rPr>
              <w:t xml:space="preserve">, </w:t>
            </w:r>
            <w:r w:rsidDel="00000000" w:rsidR="00000000" w:rsidRPr="00000000">
              <w:rPr>
                <w:i w:val="1"/>
                <w:color w:val="1b1c1d"/>
                <w:rtl w:val="0"/>
              </w:rPr>
              <w:t xml:space="preserve">ABCA1</w:t>
            </w:r>
            <w:r w:rsidDel="00000000" w:rsidR="00000000" w:rsidRPr="00000000">
              <w:rPr>
                <w:color w:val="1b1c1d"/>
                <w:rtl w:val="0"/>
              </w:rPr>
              <w:t xml:space="preserve">, </w:t>
            </w:r>
            <w:r w:rsidDel="00000000" w:rsidR="00000000" w:rsidRPr="00000000">
              <w:rPr>
                <w:i w:val="1"/>
                <w:color w:val="1b1c1d"/>
                <w:rtl w:val="0"/>
              </w:rPr>
              <w:t xml:space="preserve">LDLR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Cortisol biosynthesis, Hearing loss (DFNA67)</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color w:val="1b1c1d"/>
                <w:rtl w:val="0"/>
              </w:rPr>
              <w:t xml:space="preserve">Oxysterol-binding protein-related protein 3A (ORP3A)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Regulation of hematopoiesis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Oxysterols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Hematopoiesis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Oxysterol-binding protein-related protein 9 (ORP9)</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Phospholipid exchange, Sphingomyelin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Phosphatidylserine (PS), PI4P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ORP11 (forms heterodimer), VAPA, VAPB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Sphingomyelin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Sphingolipid metabolism, Golgi function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b w:val="1"/>
                <w:color w:val="1b1c1d"/>
                <w:rtl w:val="0"/>
              </w:rPr>
              <w:t xml:space="preserve">Oxysterol-binding protein-related protein 11 (ORP11)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Phospholipid exchange, Sphingomyelin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Phosphatidylserine (PS), PI4P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ORP9 (forms heterodimer), VAPA, VAPB (indirect)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Sphingomyelin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Sphingolipid metabolism, Golgi function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b w:val="1"/>
                <w:color w:val="1b1c1d"/>
                <w:rtl w:val="0"/>
              </w:rPr>
              <w:t xml:space="preserve">Oxysterols receptor LXR-alpha (LXRα)</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Transcriptional regulation of cholesterol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22(R)-HC, 24(S)-HC, 27-HC, 24(S),25-EC, fatty acids, T0901317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RXR, SMRT, NCoR, p300, NCOA6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i w:val="1"/>
                <w:color w:val="1b1c1d"/>
                <w:rtl w:val="0"/>
              </w:rPr>
              <w:t xml:space="preserve">Cyp7a1</w:t>
            </w:r>
            <w:r w:rsidDel="00000000" w:rsidR="00000000" w:rsidRPr="00000000">
              <w:rPr>
                <w:color w:val="1b1c1d"/>
                <w:rtl w:val="0"/>
              </w:rPr>
              <w:t xml:space="preserve">, </w:t>
            </w:r>
            <w:r w:rsidDel="00000000" w:rsidR="00000000" w:rsidRPr="00000000">
              <w:rPr>
                <w:i w:val="1"/>
                <w:color w:val="1b1c1d"/>
                <w:rtl w:val="0"/>
              </w:rPr>
              <w:t xml:space="preserve">ApoE</w:t>
            </w:r>
            <w:r w:rsidDel="00000000" w:rsidR="00000000" w:rsidRPr="00000000">
              <w:rPr>
                <w:color w:val="1b1c1d"/>
                <w:rtl w:val="0"/>
              </w:rPr>
              <w:t xml:space="preserve">, </w:t>
            </w:r>
            <w:r w:rsidDel="00000000" w:rsidR="00000000" w:rsidRPr="00000000">
              <w:rPr>
                <w:i w:val="1"/>
                <w:color w:val="1b1c1d"/>
                <w:rtl w:val="0"/>
              </w:rPr>
              <w:t xml:space="preserve">ABCA1</w:t>
            </w:r>
            <w:r w:rsidDel="00000000" w:rsidR="00000000" w:rsidRPr="00000000">
              <w:rPr>
                <w:color w:val="1b1c1d"/>
                <w:rtl w:val="0"/>
              </w:rPr>
              <w:t xml:space="preserve">, </w:t>
            </w:r>
            <w:r w:rsidDel="00000000" w:rsidR="00000000" w:rsidRPr="00000000">
              <w:rPr>
                <w:i w:val="1"/>
                <w:color w:val="1b1c1d"/>
                <w:rtl w:val="0"/>
              </w:rPr>
              <w:t xml:space="preserve">ABCG1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Cholesterol homeostasis, Atherosclerosis, Liver disease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b w:val="1"/>
                <w:color w:val="1b1c1d"/>
                <w:rtl w:val="0"/>
              </w:rPr>
              <w:t xml:space="preserve">Oxysterols receptor LXR-beta (LXRβ)</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Transcriptional regulation of glucose/lipid metabolism, neuronal health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22(R)-HC, 24(S)-HC, 27-HC, 24(S),25-EC, T0901317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RXR, SMRT, NCoR, p300, NCOA6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i w:val="1"/>
                <w:color w:val="1b1c1d"/>
                <w:rtl w:val="0"/>
              </w:rPr>
              <w:t xml:space="preserve">Ucp1</w:t>
            </w:r>
            <w:r w:rsidDel="00000000" w:rsidR="00000000" w:rsidRPr="00000000">
              <w:rPr>
                <w:color w:val="1b1c1d"/>
                <w:rtl w:val="0"/>
              </w:rPr>
              <w:t xml:space="preserve">, </w:t>
            </w:r>
            <w:r w:rsidDel="00000000" w:rsidR="00000000" w:rsidRPr="00000000">
              <w:rPr>
                <w:i w:val="1"/>
                <w:color w:val="1b1c1d"/>
                <w:rtl w:val="0"/>
              </w:rPr>
              <w:t xml:space="preserve">Dio2</w:t>
            </w:r>
            <w:r w:rsidDel="00000000" w:rsidR="00000000" w:rsidRPr="00000000">
              <w:rPr>
                <w:color w:val="1b1c1d"/>
                <w:rtl w:val="0"/>
              </w:rPr>
              <w:t xml:space="preserve">, Myelin genes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Glucose homeostasis, Obesity, Neurodegenerative diseases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b w:val="1"/>
                <w:color w:val="1b1c1d"/>
                <w:rtl w:val="0"/>
              </w:rPr>
              <w:t xml:space="preserve">RAR-related orphan receptor α (RORα)</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Th17 cell differentiation, circadian rhythm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7-oxygenated sterols, T0901317, Nobiletin, SR1078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RORγt, NCOA2, REV-ERBα</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i w:val="1"/>
                <w:color w:val="1b1c1d"/>
                <w:rtl w:val="0"/>
              </w:rPr>
              <w:t xml:space="preserve">Rorc</w:t>
            </w:r>
            <w:r w:rsidDel="00000000" w:rsidR="00000000" w:rsidRPr="00000000">
              <w:rPr>
                <w:color w:val="1b1c1d"/>
                <w:rtl w:val="0"/>
              </w:rPr>
              <w:t xml:space="preserve">, </w:t>
            </w:r>
            <w:r w:rsidDel="00000000" w:rsidR="00000000" w:rsidRPr="00000000">
              <w:rPr>
                <w:i w:val="1"/>
                <w:color w:val="1b1c1d"/>
                <w:rtl w:val="0"/>
              </w:rPr>
              <w:t xml:space="preserve">Bmal1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Autoimmune diseases (EAE), Circadian rhythm disorders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b w:val="1"/>
                <w:color w:val="1b1c1d"/>
                <w:rtl w:val="0"/>
              </w:rPr>
              <w:t xml:space="preserve">RAR-related orphan receptor γ (RORγ)</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Th17 cell differentiation, immune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color w:val="1b1c1d"/>
                <w:rtl w:val="0"/>
              </w:rPr>
              <w:t xml:space="preserve">7-oxygenated sterols, 3-Oxo-5β-cholanoic acid, T0901317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RORα, NCOA2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i w:val="1"/>
                <w:color w:val="1b1c1d"/>
                <w:rtl w:val="0"/>
              </w:rPr>
              <w:t xml:space="preserve">Glc-6-Pase</w:t>
            </w:r>
            <w:r w:rsidDel="00000000" w:rsidR="00000000" w:rsidRPr="00000000">
              <w:rPr>
                <w:color w:val="1b1c1d"/>
                <w:rtl w:val="0"/>
              </w:rPr>
              <w:t xml:space="preserve">, </w:t>
            </w:r>
            <w:r w:rsidDel="00000000" w:rsidR="00000000" w:rsidRPr="00000000">
              <w:rPr>
                <w:i w:val="1"/>
                <w:color w:val="1b1c1d"/>
                <w:rtl w:val="0"/>
              </w:rPr>
              <w:t xml:space="preserve">phosphoenolpyruvate carboxykinase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color w:val="1b1c1d"/>
                <w:rtl w:val="0"/>
              </w:rPr>
              <w:t xml:space="preserve">Autoimmune diseases (EAE), Chronic inflammation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b w:val="1"/>
                <w:color w:val="1b1c1d"/>
                <w:rtl w:val="0"/>
              </w:rPr>
              <w:t xml:space="preserve">Pregnane X receptor (PXR)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color w:val="1b1c1d"/>
                <w:rtl w:val="0"/>
              </w:rPr>
              <w:t xml:space="preserve">Xenobiotic metabolism, detoxification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color w:val="1b1c1d"/>
                <w:rtl w:val="0"/>
              </w:rPr>
              <w:t xml:space="preserve">Dexamethasone, Rifampicin, Lovastatin, St. John's wort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rPr>
            </w:pPr>
            <w:r w:rsidDel="00000000" w:rsidR="00000000" w:rsidRPr="00000000">
              <w:rPr>
                <w:color w:val="1b1c1d"/>
                <w:rtl w:val="0"/>
              </w:rPr>
              <w:t xml:space="preserve">RXR, SRC-1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i w:val="1"/>
                <w:color w:val="1b1c1d"/>
                <w:rtl w:val="0"/>
              </w:rPr>
              <w:t xml:space="preserve">CYP3A4</w:t>
            </w:r>
            <w:r w:rsidDel="00000000" w:rsidR="00000000" w:rsidRPr="00000000">
              <w:rPr>
                <w:color w:val="1b1c1d"/>
                <w:rtl w:val="0"/>
              </w:rPr>
              <w:t xml:space="preserve">, </w:t>
            </w:r>
            <w:r w:rsidDel="00000000" w:rsidR="00000000" w:rsidRPr="00000000">
              <w:rPr>
                <w:i w:val="1"/>
                <w:color w:val="1b1c1d"/>
                <w:rtl w:val="0"/>
              </w:rPr>
              <w:t xml:space="preserve">GST</w:t>
            </w:r>
            <w:r w:rsidDel="00000000" w:rsidR="00000000" w:rsidRPr="00000000">
              <w:rPr>
                <w:color w:val="1b1c1d"/>
                <w:rtl w:val="0"/>
              </w:rPr>
              <w:t xml:space="preserve">, </w:t>
            </w:r>
            <w:r w:rsidDel="00000000" w:rsidR="00000000" w:rsidRPr="00000000">
              <w:rPr>
                <w:i w:val="1"/>
                <w:color w:val="1b1c1d"/>
                <w:rtl w:val="0"/>
              </w:rPr>
              <w:t xml:space="preserve">MDR1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rPr>
            </w:pPr>
            <w:r w:rsidDel="00000000" w:rsidR="00000000" w:rsidRPr="00000000">
              <w:rPr>
                <w:color w:val="1b1c1d"/>
                <w:rtl w:val="0"/>
              </w:rPr>
              <w:t xml:space="preserve">Drug-drug interactions, Metabolic diseases, Cancer</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b1c1d"/>
              </w:rPr>
            </w:pPr>
            <w:r w:rsidDel="00000000" w:rsidR="00000000" w:rsidRPr="00000000">
              <w:rPr>
                <w:b w:val="1"/>
                <w:color w:val="1b1c1d"/>
                <w:rtl w:val="0"/>
              </w:rPr>
              <w:t xml:space="preserve">COUP-Transcription Factor I (COUP-TFI)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color w:val="1b1c1d"/>
                <w:rtl w:val="0"/>
              </w:rPr>
              <w:t xml:space="preserve">Embryonic development, neurogenesis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color w:val="1b1c1d"/>
                <w:rtl w:val="0"/>
              </w:rPr>
              <w:t xml:space="preserve">Retinoic acids (at high conc.)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rPr>
            </w:pPr>
            <w:r w:rsidDel="00000000" w:rsidR="00000000" w:rsidRPr="00000000">
              <w:rPr>
                <w:color w:val="1b1c1d"/>
                <w:rtl w:val="0"/>
              </w:rPr>
              <w:t xml:space="preserve">Sp1, HNF4, RXR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i w:val="1"/>
                <w:color w:val="1b1c1d"/>
                <w:rtl w:val="0"/>
              </w:rPr>
              <w:t xml:space="preserve">Rnd2</w:t>
            </w:r>
            <w:r w:rsidDel="00000000" w:rsidR="00000000" w:rsidRPr="00000000">
              <w:rPr>
                <w:color w:val="1b1c1d"/>
                <w:rtl w:val="0"/>
              </w:rPr>
              <w:t xml:space="preserve">, </w:t>
            </w:r>
            <w:r w:rsidDel="00000000" w:rsidR="00000000" w:rsidRPr="00000000">
              <w:rPr>
                <w:i w:val="1"/>
                <w:color w:val="1b1c1d"/>
                <w:rtl w:val="0"/>
              </w:rPr>
              <w:t xml:space="preserve">Pax6</w:t>
            </w:r>
            <w:r w:rsidDel="00000000" w:rsidR="00000000" w:rsidRPr="00000000">
              <w:rPr>
                <w:color w:val="1b1c1d"/>
                <w:rtl w:val="0"/>
              </w:rPr>
              <w:t xml:space="preserve">, </w:t>
            </w:r>
            <w:r w:rsidDel="00000000" w:rsidR="00000000" w:rsidRPr="00000000">
              <w:rPr>
                <w:i w:val="1"/>
                <w:color w:val="1b1c1d"/>
                <w:rtl w:val="0"/>
              </w:rPr>
              <w:t xml:space="preserve">Sox9</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rPr>
            </w:pPr>
            <w:r w:rsidDel="00000000" w:rsidR="00000000" w:rsidRPr="00000000">
              <w:rPr>
                <w:color w:val="1b1c1d"/>
                <w:rtl w:val="0"/>
              </w:rPr>
              <w:t xml:space="preserve">Bosch-Boonstra-Schaaf optic atrophy syndrome, CNS malformations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b w:val="1"/>
                <w:color w:val="1b1c1d"/>
                <w:rtl w:val="0"/>
              </w:rPr>
              <w:t xml:space="preserve">COUP-Transcription Factor II (COUP-TFII)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color w:val="1b1c1d"/>
                <w:rtl w:val="0"/>
              </w:rPr>
              <w:t xml:space="preserve">Embryonic development, organogenesis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color w:val="1b1c1d"/>
                <w:rtl w:val="0"/>
              </w:rPr>
              <w:t xml:space="preserve">Retinoic acids (at high conc.)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Sp1, RXR, E2F1, BCL11B, CREBBP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i w:val="1"/>
                <w:color w:val="1b1c1d"/>
                <w:rtl w:val="0"/>
              </w:rPr>
              <w:t xml:space="preserve">E2F1</w:t>
            </w:r>
            <w:r w:rsidDel="00000000" w:rsidR="00000000" w:rsidRPr="00000000">
              <w:rPr>
                <w:color w:val="1b1c1d"/>
                <w:rtl w:val="0"/>
              </w:rPr>
              <w:t xml:space="preserve">, </w:t>
            </w:r>
            <w:r w:rsidDel="00000000" w:rsidR="00000000" w:rsidRPr="00000000">
              <w:rPr>
                <w:i w:val="1"/>
                <w:color w:val="1b1c1d"/>
                <w:rtl w:val="0"/>
              </w:rPr>
              <w:t xml:space="preserve">EphrinB2</w:t>
            </w:r>
            <w:r w:rsidDel="00000000" w:rsidR="00000000" w:rsidRPr="00000000">
              <w:rPr>
                <w:color w:val="1b1c1d"/>
                <w:rtl w:val="0"/>
              </w:rPr>
              <w:t xml:space="preserve">, </w:t>
            </w:r>
            <w:r w:rsidDel="00000000" w:rsidR="00000000" w:rsidRPr="00000000">
              <w:rPr>
                <w:i w:val="1"/>
                <w:color w:val="1b1c1d"/>
                <w:rtl w:val="0"/>
              </w:rPr>
              <w:t xml:space="preserve">VEGFR1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color w:val="1b1c1d"/>
                <w:rtl w:val="0"/>
              </w:rPr>
              <w:t xml:space="preserve">Angiogenesis, Heart defects, Infertility</w:t>
            </w:r>
          </w:p>
        </w:tc>
      </w:tr>
    </w:tbl>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1cigh5y1kdb" w:id="37"/>
      <w:bookmarkEnd w:id="37"/>
      <w:r w:rsidDel="00000000" w:rsidR="00000000" w:rsidRPr="00000000">
        <w:rPr>
          <w:b w:val="1"/>
          <w:color w:val="1b1c1d"/>
          <w:sz w:val="34"/>
          <w:szCs w:val="34"/>
          <w:rtl w:val="0"/>
        </w:rPr>
        <w:t xml:space="preserve">VII. Conclusions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oxysterol-binding proteins and key oxysterol-responsive nuclear receptors reveals a sophisticated and highly integrated signaling network that governs cellular homeostasis, metabolism, and development. The OSBP/ORP family acts as a primary tier of lipid sensors and transporters, translating changes in the cellular lipidome into specific signals through non-vesicular transport at membrane contact sites. The nuclear receptors, a second tier of regulation, act as transcriptional integrators, directly translating these lipid signals into changes in gene expression.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conclusion is that molecular function cannot be determined by ligand-binding affinity alone. For example, the LXRα and LXRβ isoforms, despite binding the same ligands, have distinct physiological roles due to their unique tissue-specific expression patterns and differential regulation of nuclear localization. Similarly, the opposing functions of ORP1L and ORP1S, both encoded by a single gene, demonstrate a strategy for achieving fine-tuned control over opposing metabolic pathways.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direct molecular crosstalk, as exemplified by the coactivator NCOA2 or the pleiotropic effects of a single molecule like T0901317, highlights the challenge of pharmacological intervention. A drug designed to activate one pathway may have unintended effects on another, making a holistic understanding of these networks critical for drug discovery. The identification of these proteins' roles in diseases, from Bosch-Boonstra-Schaaf optic atrophy syndrome to Alzheimer’s and cancer, underscores their potential as therapeutic targets. The information presented, particularly the detailed mechanistic interactions and causal relationships, provides a robust foundation for building an accurate knowledge graph to support advanced AI models for future biomedical research and drug development.</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