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g02lxtv1f8cq" w:id="0"/>
      <w:bookmarkEnd w:id="0"/>
      <w:r w:rsidDel="00000000" w:rsidR="00000000" w:rsidRPr="00000000">
        <w:rPr>
          <w:b w:val="1"/>
          <w:color w:val="1b1c1d"/>
          <w:sz w:val="46"/>
          <w:szCs w:val="46"/>
          <w:rtl w:val="0"/>
        </w:rPr>
        <w:t xml:space="preserve">A Comprehensive Review of Select ATP-Binding Cassette (ABC) Transporters and Related Enzymes: Physiological Function, Pathological Mechanisms, and Clinical Relevance</w:t>
      </w:r>
    </w:p>
    <w:p w:rsidR="00000000" w:rsidDel="00000000" w:rsidP="00000000" w:rsidRDefault="00000000" w:rsidRPr="00000000" w14:paraId="00000002">
      <w:pPr>
        <w:pBdr>
          <w:top w:color="auto" w:space="0" w:sz="0" w:val="none"/>
          <w:bottom w:color="auto" w:space="0" w:sz="0" w:val="none"/>
          <w:between w:color="auto" w:space="0" w:sz="0" w:val="none"/>
        </w:pBdr>
        <w:spacing w:after="240" w:lineRule="auto"/>
        <w:rPr/>
      </w:pPr>
      <w:r w:rsidDel="00000000" w:rsidR="00000000" w:rsidRPr="00000000">
        <w:rPr>
          <w:rtl w:val="0"/>
        </w:rPr>
        <w:t xml:space="preserve">Executive Summary</w:t>
      </w:r>
    </w:p>
    <w:p w:rsidR="00000000" w:rsidDel="00000000" w:rsidP="00000000" w:rsidRDefault="00000000" w:rsidRPr="00000000" w14:paraId="00000003">
      <w:pPr>
        <w:pBdr>
          <w:top w:color="auto" w:space="0" w:sz="0" w:val="none"/>
          <w:bottom w:color="auto" w:space="0" w:sz="0" w:val="none"/>
          <w:between w:color="auto" w:space="0" w:sz="0" w:val="none"/>
        </w:pBdr>
        <w:spacing w:after="240" w:lineRule="auto"/>
        <w:rPr/>
      </w:pPr>
      <w:r w:rsidDel="00000000" w:rsidR="00000000" w:rsidRPr="00000000">
        <w:rPr>
          <w:rtl w:val="0"/>
        </w:rPr>
        <w:t xml:space="preserve">This report provides a detailed examination of the intricate roles of select ATP-binding cassette (ABC) transporters and key metabolic enzymes. The analysis highlights their essential, and often interconnected, functions in maintaining cellular and systemic homeostasis. It delves into the multifaceted nature of ABCA8, a member of the ABCA subfamily, whose function is defined not only by its primary role in lipid transport and myelination but also by its diverse, context-dependent signaling pathways in various cancers. The report also scrutinizes the critical functions of HSD3B enzymes, particularly HSD3B1 and HSD3B2, which are central to steroidogenesis, and illustrates how a single genetic polymorphism in HSD3B1 can significantly impact prostate cancer progression and therapeutic response. Furthermore, it explores the host-microbiome collaboration in bile acid metabolism, demonstrating how enzymes like HSD3B7 and bacterial hydroxysteroid dehydrogenases work in concert to regulate lipid absorption and metabolic signaling. The report synthesizes these complex relationships, emphasizing how a deep understanding of these molecular players can lead to the development of personalized therapeutic strategies for a range of human diseases, from neurodegenerative disorders to cancer.</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tk4n5v53h108" w:id="1"/>
      <w:bookmarkEnd w:id="1"/>
      <w:r w:rsidDel="00000000" w:rsidR="00000000" w:rsidRPr="00000000">
        <w:rPr>
          <w:b w:val="1"/>
          <w:color w:val="1b1c1d"/>
          <w:sz w:val="34"/>
          <w:szCs w:val="34"/>
          <w:rtl w:val="0"/>
        </w:rPr>
        <w:t xml:space="preserve">1. The ATP-Binding Cassette (ABC) Transporter Superfamily: Structure, Function, and Human Health</w:t>
      </w:r>
    </w:p>
    <w:p w:rsidR="00000000" w:rsidDel="00000000" w:rsidP="00000000" w:rsidRDefault="00000000" w:rsidRPr="00000000" w14:paraId="0000000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upxixi5rgr6x" w:id="2"/>
      <w:bookmarkEnd w:id="2"/>
      <w:r w:rsidDel="00000000" w:rsidR="00000000" w:rsidRPr="00000000">
        <w:rPr>
          <w:b w:val="1"/>
          <w:color w:val="1b1c1d"/>
          <w:sz w:val="26"/>
          <w:szCs w:val="26"/>
          <w:rtl w:val="0"/>
        </w:rPr>
        <w:t xml:space="preserve">1.1. Overview and Classification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ATP-binding cassette (ABC) transporter superfamily is a vast and ancient family of proteins, with representatives found across all known phyla, from prokaryotes to humans. These membrane-bound proteins are fundamentally responsible for using the energy derived from ATP binding and hydrolysis to translocate a wide variety of substrates across cellular membranes.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substrates include metabolic products, lipids, sterols, ions, and drugs, demonstrating their broad and essential roles in cellular physiology.</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Based on phylogenetic analysis and the sequence of their ATP-binding domains, the 48 known human ABC transporters are classified into seven distinct subfamilies, designated ABCA through ABCG.</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Two of these subfamilies, ABCE and ABCF, are not membrane-associated and are primarily implicated in non-transport functions, such as translational control.</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remaining five subfamilies contain numerous membrane proteins that are actively involved in transmembrane transport processes, showcasing the superfamily's functional diversity.</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qt2y2bkhvcc" w:id="3"/>
      <w:bookmarkEnd w:id="3"/>
      <w:r w:rsidDel="00000000" w:rsidR="00000000" w:rsidRPr="00000000">
        <w:rPr>
          <w:b w:val="1"/>
          <w:color w:val="1b1c1d"/>
          <w:sz w:val="26"/>
          <w:szCs w:val="26"/>
          <w:rtl w:val="0"/>
        </w:rPr>
        <w:t xml:space="preserve">1.2. Key Structural and Functional Features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All ABC transporters share a conserved structural architecture that minimally consists of two core domains: a transmembrane domain (TMD) and a nucleotide-binding domain (NBD).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TMDs, which are composed of 6 to 11 membrane-spanning alpha-helices, are responsible for recognizing and binding to the specific substrates.</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NBDs, located in the cytoplasm, are highly conserved in sequence and are the sites of ATP binding and hydrolysis, which powers the conformational changes required for transport.</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ABC transporters can be categorized into "full transporters" and "half transporters" based on their polypeptide structure.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Full transporters contain two TMDs and two NBDs on a single polypeptide chain. Conversely, half transporters, such as members of the ABCG subfamily, contain only one TMD and one NBD and must form either homodimers or heterodimers to create a functional transport unit.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The specific arrangement and composition of these domains, particularly the TMDs, dictate the substrate specificity of each transporter.</w:t>
      </w:r>
      <w:r w:rsidDel="00000000" w:rsidR="00000000" w:rsidRPr="00000000">
        <w:rPr>
          <w:color w:val="575b5f"/>
          <w:sz w:val="40"/>
          <w:szCs w:val="40"/>
          <w:highlight w:val="white"/>
          <w:vertAlign w:val="superscript"/>
          <w:rtl w:val="0"/>
        </w:rPr>
        <w:t xml:space="preserve">3</w:t>
      </w:r>
    </w:p>
    <w:p w:rsidR="00000000" w:rsidDel="00000000" w:rsidP="00000000" w:rsidRDefault="00000000" w:rsidRPr="00000000" w14:paraId="0000000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yb09m8wnuns" w:id="4"/>
      <w:bookmarkEnd w:id="4"/>
      <w:r w:rsidDel="00000000" w:rsidR="00000000" w:rsidRPr="00000000">
        <w:rPr>
          <w:b w:val="1"/>
          <w:color w:val="1b1c1d"/>
          <w:sz w:val="26"/>
          <w:szCs w:val="26"/>
          <w:rtl w:val="0"/>
        </w:rPr>
        <w:t xml:space="preserve">1.3. Role in Human Physiology and Disease</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profound importance of ABC transporters in human health is demonstrated by their involvement in a wide range of physiological processes and disease states. They are crucial for lipid metabolism, drug efflux, and the clearance of xenobiotics.</w:t>
      </w:r>
      <w:r w:rsidDel="00000000" w:rsidR="00000000" w:rsidRPr="00000000">
        <w:rPr>
          <w:color w:val="575b5f"/>
          <w:sz w:val="40"/>
          <w:szCs w:val="40"/>
          <w:highlight w:val="white"/>
          <w:vertAlign w:val="superscript"/>
          <w:rtl w:val="0"/>
        </w:rPr>
        <w:t xml:space="preserve">10</w:t>
      </w:r>
      <w:r w:rsidDel="00000000" w:rsidR="00000000" w:rsidRPr="00000000">
        <w:rPr>
          <w:color w:val="1b1c1d"/>
          <w:rtl w:val="0"/>
        </w:rPr>
        <w:t xml:space="preserve"> Genetic variations within these genes are a cause or contributing factor to numerous inherited disorders, including cystic fibrosis, neurological diseases, and defects in cholesterol and bile transport.</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particularly significant clinical role for many ABC transporters is their contribution to multidrug resistance (MDR) in cancer cells.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By functioning as energy-dependent efflux pumps, these transporters can expel structurally and mechanistically unrelated chemotherapeutic drugs from the cell, thereby reducing their intracellular concentration and rendering treatment ineffective.</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mechanism presents a major obstacle to successful cancer chemotherapy and underscores the critical need to understand the function of these proteins to overcome treatment resistance.</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or9e8vmt1zjb" w:id="5"/>
      <w:bookmarkEnd w:id="5"/>
      <w:r w:rsidDel="00000000" w:rsidR="00000000" w:rsidRPr="00000000">
        <w:rPr>
          <w:b w:val="1"/>
          <w:color w:val="1b1c1d"/>
          <w:sz w:val="34"/>
          <w:szCs w:val="34"/>
          <w:rtl w:val="0"/>
        </w:rPr>
        <w:t xml:space="preserve">2. ATP-Binding Cassette Subfamily A (ABCA) Members: A Focus on ABCA8</w:t>
      </w:r>
    </w:p>
    <w:p w:rsidR="00000000" w:rsidDel="00000000" w:rsidP="00000000" w:rsidRDefault="00000000" w:rsidRPr="00000000" w14:paraId="0000000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bfnzpaejsg6n" w:id="6"/>
      <w:bookmarkEnd w:id="6"/>
      <w:r w:rsidDel="00000000" w:rsidR="00000000" w:rsidRPr="00000000">
        <w:rPr>
          <w:b w:val="1"/>
          <w:color w:val="1b1c1d"/>
          <w:sz w:val="26"/>
          <w:szCs w:val="26"/>
          <w:rtl w:val="0"/>
        </w:rPr>
        <w:t xml:space="preserve">2.1. ABCA8: A Multifaceted Lipid Transporter and Modulator of Cellular Pathways</w:t>
      </w:r>
    </w:p>
    <w:p w:rsidR="00000000" w:rsidDel="00000000" w:rsidP="00000000" w:rsidRDefault="00000000" w:rsidRPr="00000000" w14:paraId="00000010">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8injnh1as4z8" w:id="7"/>
      <w:bookmarkEnd w:id="7"/>
      <w:r w:rsidDel="00000000" w:rsidR="00000000" w:rsidRPr="00000000">
        <w:rPr>
          <w:b w:val="1"/>
          <w:color w:val="1b1c1d"/>
          <w:sz w:val="22"/>
          <w:szCs w:val="22"/>
          <w:rtl w:val="0"/>
        </w:rPr>
        <w:t xml:space="preserve">2.1.1. Molecular Profile and Isoform Specificity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ABCA8, a member of the ABCA subfamily, is a protein with a classical full-transporter structure, predicted to have 14 membrane-spanning segments and two ATP-binding sites.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w:t>
      </w:r>
      <w:r w:rsidDel="00000000" w:rsidR="00000000" w:rsidRPr="00000000">
        <w:rPr>
          <w:color w:val="1b1c1d"/>
          <w:rtl w:val="0"/>
        </w:rPr>
        <w:t xml:space="preserve"> gene exhibits alternative splicing, which gives rise to multiple transcript variants and functionally distinct protein isoforms.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post-transcriptional regulation is a critical mechanism that diversifies the protein's function.</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functional differences between these isoforms are significant. For example, human ABCA8 isoform 1 has been shown to catalyze the ATP-dependent import of various organic anions, including taurocholate, estrone sulfate, and the mycotoxin ochratoxin A.</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In contrast, isoform 3 mediates the ATP-dependent efflux of substrates such as cholesterol and taurocholate.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existence of these two opposing transport functions within different isoforms of the same protein suggests a sophisticated cellular regulatory mechanism. A cell can precisely control its lipid and xenobiotic balance by modulating the expression of one isoform over the other. This dynamic control has significant implications for both cellular health and disease, for example, by influencing the effectiveness of drug delivery or by altering the cell's metabolic state in response to environmental cues. It has been noted that a "short-size" human ABCA8 isoform lacks one of the two ATP-binding domains, a structural feature that may explain its functional differences from the full-size protein.</w:t>
      </w:r>
      <w:r w:rsidDel="00000000" w:rsidR="00000000" w:rsidRPr="00000000">
        <w:rPr>
          <w:color w:val="575b5f"/>
          <w:sz w:val="40"/>
          <w:szCs w:val="40"/>
          <w:highlight w:val="white"/>
          <w:vertAlign w:val="superscript"/>
          <w:rtl w:val="0"/>
        </w:rPr>
        <w:t xml:space="preserve">9</w:t>
      </w:r>
      <w:r w:rsidDel="00000000" w:rsidR="00000000" w:rsidRPr="00000000">
        <w:rPr>
          <w:color w:val="1b1c1d"/>
          <w:rtl w:val="0"/>
        </w:rPr>
        <w:t xml:space="preserve"> This finding indicates that a complete, full-transporter architecture is not a prerequisite for all ABCA8 functions and that the unique roles of each isoform are a key area of study.</w:t>
      </w:r>
    </w:p>
    <w:p w:rsidR="00000000" w:rsidDel="00000000" w:rsidP="00000000" w:rsidRDefault="00000000" w:rsidRPr="00000000" w14:paraId="00000014">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jzq7q6owlbl" w:id="8"/>
      <w:bookmarkEnd w:id="8"/>
      <w:r w:rsidDel="00000000" w:rsidR="00000000" w:rsidRPr="00000000">
        <w:rPr>
          <w:b w:val="1"/>
          <w:color w:val="1b1c1d"/>
          <w:sz w:val="22"/>
          <w:szCs w:val="22"/>
          <w:rtl w:val="0"/>
        </w:rPr>
        <w:t xml:space="preserve">2.1.2. Role in Lipid Homeostasis and Myelination</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functions of ABCA8 extend into both systemic and central nervous system lipid homeostasis. The protein is a key player in cholesterol efflux, the process of removing excess cholesterol from cells, and its expression can influence plasma high-density lipoprotein cholesterol (HDLc) levels.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Overexpression of ABCA8 in mice has been shown to significantly increase plasma HDLc levels, while mutations in the gene are associated with a reduction in both the size and concentration of large HDL particles in humans.</w:t>
      </w:r>
      <w:r w:rsidDel="00000000" w:rsidR="00000000" w:rsidRPr="00000000">
        <w:rPr>
          <w:color w:val="575b5f"/>
          <w:sz w:val="40"/>
          <w:szCs w:val="40"/>
          <w:highlight w:val="white"/>
          <w:vertAlign w:val="superscript"/>
          <w:rtl w:val="0"/>
        </w:rPr>
        <w:t xml:space="preserve">21</w:t>
      </w:r>
      <w:r w:rsidDel="00000000" w:rsidR="00000000" w:rsidRPr="00000000">
        <w:rPr>
          <w:color w:val="1b1c1d"/>
          <w:rtl w:val="0"/>
        </w:rPr>
        <w:t xml:space="preserve"> This process is not solitary, as ABCA8 has been shown to co-localize and physically interact with ABCA1, a canonical cholesterol efflux protein, to further enhance cholesterol efflux to apolipoprotein A-I (ApoA-I).</w:t>
      </w:r>
      <w:r w:rsidDel="00000000" w:rsidR="00000000" w:rsidRPr="00000000">
        <w:rPr>
          <w:color w:val="575b5f"/>
          <w:sz w:val="40"/>
          <w:szCs w:val="40"/>
          <w:highlight w:val="white"/>
          <w:vertAlign w:val="superscript"/>
          <w:rtl w:val="0"/>
        </w:rPr>
        <w:t xml:space="preserve">21</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the central nervous system (CNS), ABCA8 is highly expressed in oligodendrocyte-enriched white matter regions of the brain.</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Its function here is tightly linked to myelin formation and maintenance. Research demonstrates that ABCA8 can significantly stimulate the expression of sphingomyelin synthase 1 (SGMS1) and subsequently increase sphingomyelin production.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Sphingomyelin is a crucial lipid component of the myelin sheath that insulates axons.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This direct link between ABCA8 expression and sphingomyelin production suggests it plays an important role in the integrity of the myelin sheath. A correlation between ABCA8 expression in the prefrontal cortex and age-associated myelination has also been observed, suggesting that ABCA8's function is a factor in maintaining myelin health throughout the lifespan.</w:t>
      </w:r>
      <w:r w:rsidDel="00000000" w:rsidR="00000000" w:rsidRPr="00000000">
        <w:rPr>
          <w:color w:val="575b5f"/>
          <w:sz w:val="40"/>
          <w:szCs w:val="40"/>
          <w:highlight w:val="white"/>
          <w:vertAlign w:val="superscript"/>
          <w:rtl w:val="0"/>
        </w:rPr>
        <w:t xml:space="preserve">26</w:t>
      </w:r>
      <w:r w:rsidDel="00000000" w:rsidR="00000000" w:rsidRPr="00000000">
        <w:rPr>
          <w:color w:val="1b1c1d"/>
          <w:rtl w:val="0"/>
        </w:rPr>
        <w:t xml:space="preserve"> Furthermore, its presence in human brain microvessels points to a potential role in maintaining the integrity of the blood-brain barrier.</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The ability of ABCA8 to function as both a systemic lipid regulator and a specialized neural lipid transporter demonstrates how a single protein can be adapted to serve highly specific, tissue-dependent needs.</w:t>
      </w:r>
    </w:p>
    <w:p w:rsidR="00000000" w:rsidDel="00000000" w:rsidP="00000000" w:rsidRDefault="00000000" w:rsidRPr="00000000" w14:paraId="0000001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t7le2kp095ah" w:id="9"/>
      <w:bookmarkEnd w:id="9"/>
      <w:r w:rsidDel="00000000" w:rsidR="00000000" w:rsidRPr="00000000">
        <w:rPr>
          <w:b w:val="1"/>
          <w:color w:val="1b1c1d"/>
          <w:sz w:val="22"/>
          <w:szCs w:val="22"/>
          <w:rtl w:val="0"/>
        </w:rPr>
        <w:t xml:space="preserve">2.1.3. ABCA8 in Pathophysiology</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Dysregulation of ABCA8 has been implicated in several pathologies, particularly those affecting myelin. Aberrant expression of ABCA8 has been linked to the early pathogenesis of Multiple System Atrophy (MSA), a fatal neurodegenerative disease characterized by the dysfunction and loss of CNS cells.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A study found that in the brains of individuals with MSA, ABCA8 expression was significantly increased in disease-affected gray and white matter regions, and this increase was associated with a corresponding increase in the expression of pathogenic proteins, α-synuclein and p25α.</w:t>
      </w:r>
      <w:r w:rsidDel="00000000" w:rsidR="00000000" w:rsidRPr="00000000">
        <w:rPr>
          <w:color w:val="575b5f"/>
          <w:sz w:val="40"/>
          <w:szCs w:val="40"/>
          <w:highlight w:val="white"/>
          <w:vertAlign w:val="superscript"/>
          <w:rtl w:val="0"/>
        </w:rPr>
        <w:t xml:space="preserve">28</w:t>
      </w:r>
      <w:r w:rsidDel="00000000" w:rsidR="00000000" w:rsidRPr="00000000">
        <w:rPr>
          <w:color w:val="1b1c1d"/>
          <w:rtl w:val="0"/>
        </w:rPr>
        <w:t xml:space="preserve"> Overexpression of ABCA8 in human oligodendrocytes led to a significant increase in the expression of both of these proteins, suggesting a direct relationship between ABCA8 levels and the precipitation of MSA pathology.</w:t>
      </w:r>
      <w:r w:rsidDel="00000000" w:rsidR="00000000" w:rsidRPr="00000000">
        <w:rPr>
          <w:color w:val="575b5f"/>
          <w:sz w:val="40"/>
          <w:szCs w:val="40"/>
          <w:highlight w:val="white"/>
          <w:vertAlign w:val="superscript"/>
          <w:rtl w:val="0"/>
        </w:rPr>
        <w:t xml:space="preserve">28</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Further evidence of ABCA8's role in myelin-related pathology comes from a study of its mouse ortholog, </w:t>
      </w:r>
      <w:r w:rsidDel="00000000" w:rsidR="00000000" w:rsidRPr="00000000">
        <w:rPr>
          <w:i w:val="1"/>
          <w:color w:val="1b1c1d"/>
          <w:rtl w:val="0"/>
        </w:rPr>
        <w:t xml:space="preserve">Abca8b</w:t>
      </w:r>
      <w:r w:rsidDel="00000000" w:rsidR="00000000" w:rsidRPr="00000000">
        <w:rPr>
          <w:color w:val="1b1c1d"/>
          <w:rtl w:val="0"/>
        </w:rPr>
        <w:t xml:space="preserve">. The two human orthologs in mice are </w:t>
      </w:r>
      <w:r w:rsidDel="00000000" w:rsidR="00000000" w:rsidRPr="00000000">
        <w:rPr>
          <w:i w:val="1"/>
          <w:color w:val="1b1c1d"/>
          <w:rtl w:val="0"/>
        </w:rPr>
        <w:t xml:space="preserve">Abca8a</w:t>
      </w:r>
      <w:r w:rsidDel="00000000" w:rsidR="00000000" w:rsidRPr="00000000">
        <w:rPr>
          <w:color w:val="1b1c1d"/>
          <w:rtl w:val="0"/>
        </w:rPr>
        <w:t xml:space="preserve"> and </w:t>
      </w:r>
      <w:r w:rsidDel="00000000" w:rsidR="00000000" w:rsidRPr="00000000">
        <w:rPr>
          <w:i w:val="1"/>
          <w:color w:val="1b1c1d"/>
          <w:rtl w:val="0"/>
        </w:rPr>
        <w:t xml:space="preserve">Abca8b</w:t>
      </w:r>
      <w:r w:rsidDel="00000000" w:rsidR="00000000" w:rsidRPr="00000000">
        <w:rPr>
          <w:color w:val="1b1c1d"/>
          <w:rtl w:val="0"/>
        </w:rPr>
        <w:t xml:space="preserve">, and </w:t>
      </w:r>
      <w:r w:rsidDel="00000000" w:rsidR="00000000" w:rsidRPr="00000000">
        <w:rPr>
          <w:i w:val="1"/>
          <w:color w:val="1b1c1d"/>
          <w:rtl w:val="0"/>
        </w:rPr>
        <w:t xml:space="preserve">Abca8b</w:t>
      </w:r>
      <w:r w:rsidDel="00000000" w:rsidR="00000000" w:rsidRPr="00000000">
        <w:rPr>
          <w:color w:val="1b1c1d"/>
          <w:rtl w:val="0"/>
        </w:rPr>
        <w:t xml:space="preserve"> shares a higher amino acid identity with human ABCA8.</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 mouse ortholog is most highly expressed in the cerebellum, specifically in oligodendroglia, and its expression increases during the postnatal myelination phase.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Deletion of</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Abca8b</w:t>
      </w:r>
      <w:r w:rsidDel="00000000" w:rsidR="00000000" w:rsidRPr="00000000">
        <w:rPr>
          <w:color w:val="1b1c1d"/>
          <w:rtl w:val="0"/>
        </w:rPr>
        <w:t xml:space="preserve"> in mice resulted in a phenotype of decreased numbers of cerebellar oligodendrocyte precursor cells (OPCs) and mature oligodendrocytes, leading to reduced myelination and disordered myelin ultrastructure.</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These changes culminated in impaired neurological function, including lower cerebellar conduction velocity and disturbed locomotion.</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A key molecular mechanism for this was identified as an interaction between ABCA8 and chondroitin sulfate proteoglycan 4 (CSPG4), a molecule essential for OPC proliferation and myelination.</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In the absence of</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Abca8b</w:t>
      </w:r>
      <w:r w:rsidDel="00000000" w:rsidR="00000000" w:rsidRPr="00000000">
        <w:rPr>
          <w:color w:val="1b1c1d"/>
          <w:rtl w:val="0"/>
        </w:rPr>
        <w:t xml:space="preserve">, the localization of CSPG4 to the plasma membrane was impaired, leading to its dysfunction and the observed hypomyelination.</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The observation that increased ABCA8 expression in human MSA patients is associated with pathology, while the loss of its function in mice leads to hypomyelination, points to a complex role for the protein in neurodegeneration. This could be a maladaptive cellular response that, rather than mitigating pathology, inadvertently contributes to it. Understanding this paradoxical relationship is a crucial step toward developing targeted therapies for myelin disorders.</w:t>
      </w:r>
    </w:p>
    <w:p w:rsidR="00000000" w:rsidDel="00000000" w:rsidP="00000000" w:rsidRDefault="00000000" w:rsidRPr="00000000" w14:paraId="0000001C">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w3pby37liqro" w:id="10"/>
      <w:bookmarkEnd w:id="10"/>
      <w:r w:rsidDel="00000000" w:rsidR="00000000" w:rsidRPr="00000000">
        <w:rPr>
          <w:b w:val="1"/>
          <w:color w:val="1b1c1d"/>
          <w:sz w:val="22"/>
          <w:szCs w:val="22"/>
          <w:rtl w:val="0"/>
        </w:rPr>
        <w:t xml:space="preserve">2.1.4. ABCA8 in Cancer Biology: A Tumor Suppressive Role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body of evidence positions ABCA8 as a tumor suppressor across multiple cancer types. Its expression is frequently down-regulated in hepatocellular carcinoma (HCC), breast cancer, colorectal cancer, and ovarian cancer, and this down-regulation is often correlated with enhanced tumor growth, metastasis, and poor patient prognosis.</w:t>
      </w:r>
      <w:r w:rsidDel="00000000" w:rsidR="00000000" w:rsidRPr="00000000">
        <w:rPr>
          <w:color w:val="575b5f"/>
          <w:sz w:val="40"/>
          <w:szCs w:val="40"/>
          <w:highlight w:val="white"/>
          <w:vertAlign w:val="superscript"/>
          <w:rtl w:val="0"/>
        </w:rPr>
        <w:t xml:space="preserve">14</w:t>
      </w:r>
      <w:r w:rsidDel="00000000" w:rsidR="00000000" w:rsidRPr="00000000">
        <w:rPr>
          <w:color w:val="1b1c1d"/>
          <w:rtl w:val="0"/>
        </w:rPr>
        <w:t xml:space="preserve"> This consistent pattern suggests a general role in suppressing malignant progression.</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mechanisms through which ABCA8 exerts its tumor-suppressive effects are diverse and highly dependent on the cellular context. In HCC, the down-regulation of ABCA8 is partially mediated by microRNA-374b-5p and leads to enhanced cell proliferation and metastasis through the activation of the ERK/ZEB1 signaling pathway.</w:t>
      </w:r>
      <w:r w:rsidDel="00000000" w:rsidR="00000000" w:rsidRPr="00000000">
        <w:rPr>
          <w:color w:val="575b5f"/>
          <w:sz w:val="40"/>
          <w:szCs w:val="40"/>
          <w:highlight w:val="white"/>
          <w:vertAlign w:val="superscript"/>
          <w:rtl w:val="0"/>
        </w:rPr>
        <w:t xml:space="preserve">11</w:t>
      </w:r>
      <w:r w:rsidDel="00000000" w:rsidR="00000000" w:rsidRPr="00000000">
        <w:rPr>
          <w:color w:val="1b1c1d"/>
          <w:rtl w:val="0"/>
        </w:rPr>
        <w:t xml:space="preserve"> Overexpression of ABCA8 in HCC cells effectively blocks this pathway and inhibits epithelial-mesenchymal transition (EMT), a key process in cancer metastasis.</w:t>
      </w:r>
      <w:r w:rsidDel="00000000" w:rsidR="00000000" w:rsidRPr="00000000">
        <w:rPr>
          <w:color w:val="575b5f"/>
          <w:sz w:val="40"/>
          <w:szCs w:val="40"/>
          <w:highlight w:val="white"/>
          <w:vertAlign w:val="superscript"/>
          <w:rtl w:val="0"/>
        </w:rPr>
        <w:t xml:space="preserve">35</w:t>
      </w:r>
      <w:r w:rsidDel="00000000" w:rsidR="00000000" w:rsidRPr="00000000">
        <w:rPr>
          <w:color w:val="1b1c1d"/>
          <w:rtl w:val="0"/>
        </w:rPr>
        <w:t xml:space="preserve"> In breast cancer, the overexpression of ABCA8 inhibits cell proliferation by modulating the AMP-activated protein kinase (AMPK)/mammalian target of rapamycin (mTOR) signaling pathway.</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Inhibition of this pathway reversed the suppressive effect of ABCA8 on cancer cell growth, confirming its mechanistic link.</w:t>
      </w:r>
      <w:r w:rsidDel="00000000" w:rsidR="00000000" w:rsidRPr="00000000">
        <w:rPr>
          <w:color w:val="575b5f"/>
          <w:sz w:val="40"/>
          <w:szCs w:val="40"/>
          <w:highlight w:val="white"/>
          <w:vertAlign w:val="superscript"/>
          <w:rtl w:val="0"/>
        </w:rPr>
        <w:t xml:space="preserve">32</w:t>
      </w:r>
      <w:r w:rsidDel="00000000" w:rsidR="00000000" w:rsidRPr="00000000">
        <w:rPr>
          <w:color w:val="1b1c1d"/>
          <w:rtl w:val="0"/>
        </w:rPr>
        <w:t xml:space="preserve"> In colorectal cancer, ABCA8 has been identified as a tumor suppressor that inhibits malignant progression by modulating the Wnt/β-catenin pathway.</w:t>
      </w:r>
      <w:r w:rsidDel="00000000" w:rsidR="00000000" w:rsidRPr="00000000">
        <w:rPr>
          <w:color w:val="575b5f"/>
          <w:sz w:val="40"/>
          <w:szCs w:val="40"/>
          <w:highlight w:val="white"/>
          <w:vertAlign w:val="superscript"/>
          <w:rtl w:val="0"/>
        </w:rPr>
        <w:t xml:space="preserve">14</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observation that a single protein can modulate three distinct, well-established oncogenic pathways in different cancer types demonstrates its pleiotropic nature. It is likely that ABCA8's core function in lipid homeostasis, such as regulating cholesterol efflux, impacts upstream signals that feed into these diverse pathways. For example, by controlling the availability of cellular lipids, ABCA8 could indirectly influence membrane-associated signaling molecules or limit the metabolic resources required for rapid proliferation. This suggests that ABCA8 may not have one specific tumor-suppressive target, but rather a general role in regulating a metabolic state that is unfavorable for cancer cell growth. The therapeutic implication is that strategies to restore ABCA8 expression or function could be effective across multiple cancer types, potentially by disrupting the metabolic dependencies of tumor cells.</w:t>
      </w:r>
    </w:p>
    <w:p w:rsidR="00000000" w:rsidDel="00000000" w:rsidP="00000000" w:rsidRDefault="00000000" w:rsidRPr="00000000" w14:paraId="0000002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hhvgr9z6q2tz" w:id="11"/>
      <w:bookmarkEnd w:id="11"/>
      <w:r w:rsidDel="00000000" w:rsidR="00000000" w:rsidRPr="00000000">
        <w:rPr>
          <w:b w:val="1"/>
          <w:color w:val="1b1c1d"/>
          <w:sz w:val="26"/>
          <w:szCs w:val="26"/>
          <w:rtl w:val="0"/>
        </w:rPr>
        <w:t xml:space="preserve">2.2. ABCA13 and ABCA17: Other ABCA Subfamily Members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ABCA subfamily includes other members with specialized functions. ABCA13 is notable as the largest ABC protein, and while its function is not fully understood, it is implicated in the internalization of cholesterol from the plasma membrane into intracellular vesicles via endocytic retrograde transport in neurons.</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Mutations in the</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i w:val="1"/>
          <w:color w:val="1b1c1d"/>
          <w:rtl w:val="0"/>
        </w:rPr>
        <w:t xml:space="preserve">ABCA13</w:t>
      </w:r>
      <w:r w:rsidDel="00000000" w:rsidR="00000000" w:rsidRPr="00000000">
        <w:rPr>
          <w:color w:val="1b1c1d"/>
          <w:rtl w:val="0"/>
        </w:rPr>
        <w:t xml:space="preserve"> gene have been linked to psychiatric disorders such as schizophrenia and bipolar disorder. These mutations are associated with a disruption of the protein's subcellular localization and impaired cholesterol trafficking, suggesting that the loss of this function may contribute to the pathophysiology of these conditions.</w:t>
      </w:r>
      <w:r w:rsidDel="00000000" w:rsidR="00000000" w:rsidRPr="00000000">
        <w:rPr>
          <w:color w:val="575b5f"/>
          <w:sz w:val="40"/>
          <w:szCs w:val="40"/>
          <w:highlight w:val="white"/>
          <w:vertAlign w:val="superscript"/>
          <w:rtl w:val="0"/>
        </w:rPr>
        <w:t xml:space="preserve">38</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contrast, ABCA17 is a protein coding gene in rodents that is involved in sterol efflux from spermatozoa plasma membranes and is essential for fertility.</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However, its human ortholog,</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ABCA17P</w:t>
      </w:r>
      <w:r w:rsidDel="00000000" w:rsidR="00000000" w:rsidRPr="00000000">
        <w:rPr>
          <w:color w:val="1b1c1d"/>
          <w:rtl w:val="0"/>
        </w:rPr>
        <w:t xml:space="preserve">, is a ubiquitously expressed pseudogene.</w:t>
      </w:r>
      <w:r w:rsidDel="00000000" w:rsidR="00000000" w:rsidRPr="00000000">
        <w:rPr>
          <w:color w:val="575b5f"/>
          <w:sz w:val="40"/>
          <w:szCs w:val="40"/>
          <w:highlight w:val="white"/>
          <w:vertAlign w:val="superscript"/>
          <w:rtl w:val="0"/>
        </w:rPr>
        <w:t xml:space="preserve">40</w:t>
      </w:r>
      <w:r w:rsidDel="00000000" w:rsidR="00000000" w:rsidRPr="00000000">
        <w:rPr>
          <w:color w:val="1b1c1d"/>
          <w:rtl w:val="0"/>
        </w:rPr>
        <w:t xml:space="preserve"> This indicates that the function of ABCA17 in sterol transport and fertility is not conserved in humans and highlights the species-specific evolution of ABC transporters.</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37hoz2qhfnzq" w:id="12"/>
      <w:bookmarkEnd w:id="12"/>
      <w:r w:rsidDel="00000000" w:rsidR="00000000" w:rsidRPr="00000000">
        <w:rPr>
          <w:b w:val="1"/>
          <w:color w:val="1b1c1d"/>
          <w:sz w:val="34"/>
          <w:szCs w:val="34"/>
          <w:rtl w:val="0"/>
        </w:rPr>
        <w:t xml:space="preserve">3. The Steroidogenesis and Bile Acid Synthesis Pathways</w:t>
      </w:r>
    </w:p>
    <w:p w:rsidR="00000000" w:rsidDel="00000000" w:rsidP="00000000" w:rsidRDefault="00000000" w:rsidRPr="00000000" w14:paraId="0000002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7ypi229vfan6" w:id="13"/>
      <w:bookmarkEnd w:id="13"/>
      <w:r w:rsidDel="00000000" w:rsidR="00000000" w:rsidRPr="00000000">
        <w:rPr>
          <w:b w:val="1"/>
          <w:color w:val="1b1c1d"/>
          <w:sz w:val="26"/>
          <w:szCs w:val="26"/>
          <w:rtl w:val="0"/>
        </w:rPr>
        <w:t xml:space="preserve">3.1. HSD3B Enzymes: Central Regulators of Steroid Hormone Production</w:t>
      </w:r>
    </w:p>
    <w:p w:rsidR="00000000" w:rsidDel="00000000" w:rsidP="00000000" w:rsidRDefault="00000000" w:rsidRPr="00000000" w14:paraId="0000002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fk0w8k9dzndh" w:id="14"/>
      <w:bookmarkEnd w:id="14"/>
      <w:r w:rsidDel="00000000" w:rsidR="00000000" w:rsidRPr="00000000">
        <w:rPr>
          <w:b w:val="1"/>
          <w:color w:val="1b1c1d"/>
          <w:sz w:val="22"/>
          <w:szCs w:val="22"/>
          <w:rtl w:val="0"/>
        </w:rPr>
        <w:t xml:space="preserve">3.1.1. HSD3B1 vs. HSD3B2</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HSD3B family comprises two human isoenzymes, HSD3B1 (Type I) and HSD3B2 (Type II), which are encoded by two highly homologous genes located on chromosome 1p13.1.</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Both enzymes are membrane-bound and localize to the endoplasmic reticulum and mitochondria.</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They catalyze the same crucial biochemical reactions: the oxidative conversion of Δ5-3β-hydroxysteroid precursors to Δ4-ketosteroids and the isomerization of the Δ5 double bond.</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These steps are essential for the biosynthesis of all classes of steroid hormones, including glucocorticoids, mineralocorticoids, androgens, and estrogens.</w:t>
      </w:r>
      <w:r w:rsidDel="00000000" w:rsidR="00000000" w:rsidRPr="00000000">
        <w:rPr>
          <w:color w:val="575b5f"/>
          <w:sz w:val="40"/>
          <w:szCs w:val="40"/>
          <w:highlight w:val="white"/>
          <w:vertAlign w:val="superscript"/>
          <w:rtl w:val="0"/>
        </w:rPr>
        <w:t xml:space="preserve">46</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Despite their nearly identical catalytic functions, the two isoenzymes exhibit distinct tissue-specific and non-redundant expression patterns. HSD3B1 is expressed in peripheral tissues such as the placenta, breast, skin, and prostate.</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Conversely, HSD3B2 is predominantly expressed in the adrenal gland, ovaries, and testes.</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This non-redundancy is critical, as mutations in the</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HSD3B2</w:t>
      </w:r>
      <w:r w:rsidDel="00000000" w:rsidR="00000000" w:rsidRPr="00000000">
        <w:rPr>
          <w:color w:val="1b1c1d"/>
          <w:rtl w:val="0"/>
        </w:rPr>
        <w:t xml:space="preserve"> gene cause a rare, autosomal recessive form of congenital adrenal hyperplasia (CAH).</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This condition, which impairs steroidogenesis in the adrenals and gonads, can result in ambiguous genitalia in males and severe, life-threatening salt wasting due to insufficient aldosterone production.</w:t>
      </w:r>
      <w:r w:rsidDel="00000000" w:rsidR="00000000" w:rsidRPr="00000000">
        <w:rPr>
          <w:color w:val="575b5f"/>
          <w:sz w:val="40"/>
          <w:szCs w:val="40"/>
          <w:highlight w:val="white"/>
          <w:vertAlign w:val="superscript"/>
          <w:rtl w:val="0"/>
        </w:rPr>
        <w:t xml:space="preserve">49</w:t>
      </w:r>
      <w:r w:rsidDel="00000000" w:rsidR="00000000" w:rsidRPr="00000000">
        <w:rPr>
          <w:color w:val="1b1c1d"/>
          <w:rtl w:val="0"/>
        </w:rPr>
        <w:t xml:space="preserve"> The severity of the disease is dependent on the degree of enzyme loss-of-function caused by the specific mutation.</w:t>
      </w:r>
      <w:r w:rsidDel="00000000" w:rsidR="00000000" w:rsidRPr="00000000">
        <w:rPr>
          <w:color w:val="575b5f"/>
          <w:sz w:val="40"/>
          <w:szCs w:val="40"/>
          <w:highlight w:val="white"/>
          <w:vertAlign w:val="superscript"/>
          <w:rtl w:val="0"/>
        </w:rPr>
        <w:t xml:space="preserve">46</w:t>
      </w:r>
      <w:r w:rsidDel="00000000" w:rsidR="00000000" w:rsidRPr="00000000">
        <w:rPr>
          <w:color w:val="1b1c1d"/>
          <w:rtl w:val="0"/>
        </w:rPr>
        <w:t xml:space="preserve"> Notably, no human condition has been definitively linked to a deficiency in the HSD3B1 enzyme.</w:t>
      </w:r>
      <w:r w:rsidDel="00000000" w:rsidR="00000000" w:rsidRPr="00000000">
        <w:rPr>
          <w:color w:val="575b5f"/>
          <w:sz w:val="40"/>
          <w:szCs w:val="40"/>
          <w:highlight w:val="white"/>
          <w:vertAlign w:val="superscript"/>
          <w:rtl w:val="0"/>
        </w:rPr>
        <w:t xml:space="preserve">43</w:t>
      </w:r>
      <w:r w:rsidDel="00000000" w:rsidR="00000000" w:rsidRPr="00000000">
        <w:rPr>
          <w:color w:val="1b1c1d"/>
          <w:rtl w:val="0"/>
        </w:rPr>
        <w:t xml:space="preserve"> The differential outcomes of these deficiencies emphasize the essential and non-interchangeable roles of each isoenzyme in human development and homeostasis.</w:t>
      </w:r>
    </w:p>
    <w:p w:rsidR="00000000" w:rsidDel="00000000" w:rsidP="00000000" w:rsidRDefault="00000000" w:rsidRPr="00000000" w14:paraId="0000002B">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0ru9oa8jv6r" w:id="15"/>
      <w:bookmarkEnd w:id="15"/>
      <w:r w:rsidDel="00000000" w:rsidR="00000000" w:rsidRPr="00000000">
        <w:rPr>
          <w:b w:val="1"/>
          <w:color w:val="1b1c1d"/>
          <w:sz w:val="22"/>
          <w:szCs w:val="22"/>
          <w:rtl w:val="0"/>
        </w:rPr>
        <w:t xml:space="preserve">3.1.2. HSD3B1 Genotype and Prostate Cancer Progression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w:t>
      </w:r>
      <w:r w:rsidDel="00000000" w:rsidR="00000000" w:rsidRPr="00000000">
        <w:rPr>
          <w:i w:val="1"/>
          <w:color w:val="1b1c1d"/>
          <w:rtl w:val="0"/>
        </w:rPr>
        <w:t xml:space="preserve">HSD3B1</w:t>
      </w:r>
      <w:r w:rsidDel="00000000" w:rsidR="00000000" w:rsidRPr="00000000">
        <w:rPr>
          <w:rFonts w:ascii="Arial Unicode MS" w:cs="Arial Unicode MS" w:eastAsia="Arial Unicode MS" w:hAnsi="Arial Unicode MS"/>
          <w:color w:val="1b1c1d"/>
          <w:rtl w:val="0"/>
        </w:rPr>
        <w:t xml:space="preserve"> gene is an important example of how a common genetic polymorphism can directly influence disease progression and treatment response. A single nucleotide polymorphism (SNP) at position 1245 (A→C, rs1047303) in the </w:t>
      </w:r>
      <w:r w:rsidDel="00000000" w:rsidR="00000000" w:rsidRPr="00000000">
        <w:rPr>
          <w:i w:val="1"/>
          <w:color w:val="1b1c1d"/>
          <w:rtl w:val="0"/>
        </w:rPr>
        <w:t xml:space="preserve">HSD3B1</w:t>
      </w:r>
      <w:r w:rsidDel="00000000" w:rsidR="00000000" w:rsidRPr="00000000">
        <w:rPr>
          <w:color w:val="1b1c1d"/>
          <w:rtl w:val="0"/>
        </w:rPr>
        <w:t xml:space="preserve"> gene results in the substitution of an asparagine residue with a threonine at amino acid 367, creating a variant protein, 3β-HSD1(367T).</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This altered protein is more stable and resistant to degradation mediated by the AMFR-proteasome pathway, leading to an increased and prolonged production of potent androgens from adrenal precursor steroids in peripheral tissues.</w:t>
      </w:r>
      <w:r w:rsidDel="00000000" w:rsidR="00000000" w:rsidRPr="00000000">
        <w:rPr>
          <w:color w:val="575b5f"/>
          <w:sz w:val="40"/>
          <w:szCs w:val="40"/>
          <w:highlight w:val="white"/>
          <w:vertAlign w:val="superscript"/>
          <w:rtl w:val="0"/>
        </w:rPr>
        <w:t xml:space="preserve">53</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"adrenal-permissive" HSD3B1(1245C) genotype has a significant impact on prostate cancer. It is associated with a more rapid development of castration-resistant prostate cancer (CRPC) in men receiving androgen deprivation therapy (ADT), which targets testicular androgen production.</w:t>
      </w:r>
      <w:r w:rsidDel="00000000" w:rsidR="00000000" w:rsidRPr="00000000">
        <w:rPr>
          <w:color w:val="575b5f"/>
          <w:sz w:val="40"/>
          <w:szCs w:val="40"/>
          <w:highlight w:val="white"/>
          <w:vertAlign w:val="superscript"/>
          <w:rtl w:val="0"/>
        </w:rPr>
        <w:t xml:space="preserve">44</w:t>
      </w:r>
      <w:r w:rsidDel="00000000" w:rsidR="00000000" w:rsidRPr="00000000">
        <w:rPr>
          <w:color w:val="1b1c1d"/>
          <w:rtl w:val="0"/>
        </w:rPr>
        <w:t xml:space="preserve"> The presence of this allele provides an alternative pathway for androgen synthesis, allowing the tumor to continue growing despite the primary treatment.</w:t>
      </w:r>
      <w:r w:rsidDel="00000000" w:rsidR="00000000" w:rsidRPr="00000000">
        <w:rPr>
          <w:color w:val="575b5f"/>
          <w:sz w:val="40"/>
          <w:szCs w:val="40"/>
          <w:highlight w:val="white"/>
          <w:vertAlign w:val="superscript"/>
          <w:rtl w:val="0"/>
        </w:rPr>
        <w:t xml:space="preserve">53</w:t>
      </w:r>
      <w:r w:rsidDel="00000000" w:rsidR="00000000" w:rsidRPr="00000000">
        <w:rPr>
          <w:color w:val="1b1c1d"/>
          <w:rtl w:val="0"/>
        </w:rPr>
        <w:t xml:space="preserve"> The HSD3B1(1245C) genotype has been identified as a predictive biomarker for inferior outcomes in patients on standard ADT.</w:t>
      </w:r>
      <w:r w:rsidDel="00000000" w:rsidR="00000000" w:rsidRPr="00000000">
        <w:rPr>
          <w:color w:val="575b5f"/>
          <w:sz w:val="40"/>
          <w:szCs w:val="40"/>
          <w:highlight w:val="white"/>
          <w:vertAlign w:val="superscript"/>
          <w:rtl w:val="0"/>
        </w:rPr>
        <w:t xml:space="preserve">54</w:t>
      </w:r>
      <w:r w:rsidDel="00000000" w:rsidR="00000000" w:rsidRPr="00000000">
        <w:rPr>
          <w:color w:val="1b1c1d"/>
          <w:rtl w:val="0"/>
        </w:rPr>
        <w:t xml:space="preserve"> However, this same genotype is also a predictive biomarker for increased sensitivity to drugs like CYP17A1 inhibitors, which specifically block the synthesis of adrenal androgens.</w:t>
      </w:r>
      <w:r w:rsidDel="00000000" w:rsidR="00000000" w:rsidRPr="00000000">
        <w:rPr>
          <w:color w:val="575b5f"/>
          <w:sz w:val="40"/>
          <w:szCs w:val="40"/>
          <w:highlight w:val="white"/>
          <w:vertAlign w:val="superscript"/>
          <w:rtl w:val="0"/>
        </w:rPr>
        <w:t xml:space="preserve">54</w:t>
      </w:r>
      <w:r w:rsidDel="00000000" w:rsidR="00000000" w:rsidRPr="00000000">
        <w:rPr>
          <w:color w:val="1b1c1d"/>
          <w:rtl w:val="0"/>
        </w:rPr>
        <w:t xml:space="preserve"> This connection between a specific genetic variant, its impact on protein stability, and a predictable therapeutic response exemplifies a key principle of personalized medicine, where a patient's genetic profile can be used to tailor a more effective treatment strategy.</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et4icsd17z1h" w:id="16"/>
      <w:bookmarkEnd w:id="16"/>
      <w:r w:rsidDel="00000000" w:rsidR="00000000" w:rsidRPr="00000000">
        <w:rPr>
          <w:b w:val="1"/>
          <w:color w:val="1b1c1d"/>
          <w:sz w:val="26"/>
          <w:szCs w:val="26"/>
          <w:rtl w:val="0"/>
        </w:rPr>
        <w:t xml:space="preserve">3.2. Cholesterol Reductases and Related Diseases</w:t>
      </w:r>
    </w:p>
    <w:p w:rsidR="00000000" w:rsidDel="00000000" w:rsidP="00000000" w:rsidRDefault="00000000" w:rsidRPr="00000000" w14:paraId="0000002F">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bn5hl1clksr" w:id="17"/>
      <w:bookmarkEnd w:id="17"/>
      <w:r w:rsidDel="00000000" w:rsidR="00000000" w:rsidRPr="00000000">
        <w:rPr>
          <w:b w:val="1"/>
          <w:color w:val="1b1c1d"/>
          <w:sz w:val="22"/>
          <w:szCs w:val="22"/>
          <w:rtl w:val="0"/>
        </w:rPr>
        <w:t xml:space="preserve">3.2.1. DHCR7: The Final Step in Cholesterol Synthesis and SLOS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7-dehydrocholesterol reductase (DHCR7) is the terminal enzyme in the Kandutsch-Russell pathway of cholesterol synthesis.</w:t>
      </w:r>
      <w:r w:rsidDel="00000000" w:rsidR="00000000" w:rsidRPr="00000000">
        <w:rPr>
          <w:color w:val="575b5f"/>
          <w:sz w:val="40"/>
          <w:szCs w:val="40"/>
          <w:highlight w:val="white"/>
          <w:vertAlign w:val="superscript"/>
          <w:rtl w:val="0"/>
        </w:rPr>
        <w:t xml:space="preserve">57</w:t>
      </w:r>
      <w:r w:rsidDel="00000000" w:rsidR="00000000" w:rsidRPr="00000000">
        <w:rPr>
          <w:color w:val="1b1c1d"/>
          <w:rtl w:val="0"/>
        </w:rPr>
        <w:t xml:space="preserve"> It catalyzes the crucial step of converting 7-dehydrocholesterol (7DHC) to cholesterol by reducing the C7-C8 double bond.</w:t>
      </w:r>
      <w:r w:rsidDel="00000000" w:rsidR="00000000" w:rsidRPr="00000000">
        <w:rPr>
          <w:color w:val="575b5f"/>
          <w:sz w:val="40"/>
          <w:szCs w:val="40"/>
          <w:highlight w:val="white"/>
          <w:vertAlign w:val="superscript"/>
          <w:rtl w:val="0"/>
        </w:rPr>
        <w:t xml:space="preserve">59</w:t>
      </w:r>
      <w:r w:rsidDel="00000000" w:rsidR="00000000" w:rsidRPr="00000000">
        <w:rPr>
          <w:color w:val="1b1c1d"/>
          <w:rtl w:val="0"/>
        </w:rPr>
        <w:t xml:space="preserve"> A deficiency of functional DHCR7 results in the severe developmental disorder, Smith-Lemli-Opitz syndrome (SLOS).</w:t>
      </w:r>
      <w:r w:rsidDel="00000000" w:rsidR="00000000" w:rsidRPr="00000000">
        <w:rPr>
          <w:color w:val="575b5f"/>
          <w:sz w:val="40"/>
          <w:szCs w:val="40"/>
          <w:highlight w:val="white"/>
          <w:vertAlign w:val="superscript"/>
          <w:rtl w:val="0"/>
        </w:rPr>
        <w:t xml:space="preserve">59</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SLOS is characterized biochemically by a deficit of cholesterol and a significant accumulation of its precursor, 7DHC, in developing tissues.</w:t>
      </w:r>
      <w:r w:rsidDel="00000000" w:rsidR="00000000" w:rsidRPr="00000000">
        <w:rPr>
          <w:color w:val="575b5f"/>
          <w:sz w:val="40"/>
          <w:szCs w:val="40"/>
          <w:highlight w:val="white"/>
          <w:vertAlign w:val="superscript"/>
          <w:rtl w:val="0"/>
        </w:rPr>
        <w:t xml:space="preserve">59</w:t>
      </w:r>
      <w:r w:rsidDel="00000000" w:rsidR="00000000" w:rsidRPr="00000000">
        <w:rPr>
          <w:color w:val="1b1c1d"/>
          <w:rtl w:val="0"/>
        </w:rPr>
        <w:t xml:space="preserve"> The clinical features of SLOS are a spectrum of congenital malformations, including microcephaly and polydactyly, as well as intellectual disability and behavioral problems.</w:t>
      </w:r>
      <w:r w:rsidDel="00000000" w:rsidR="00000000" w:rsidRPr="00000000">
        <w:rPr>
          <w:color w:val="575b5f"/>
          <w:sz w:val="40"/>
          <w:szCs w:val="40"/>
          <w:highlight w:val="white"/>
          <w:vertAlign w:val="superscript"/>
          <w:rtl w:val="0"/>
        </w:rPr>
        <w:t xml:space="preserve">59</w:t>
      </w:r>
      <w:r w:rsidDel="00000000" w:rsidR="00000000" w:rsidRPr="00000000">
        <w:rPr>
          <w:color w:val="1b1c1d"/>
          <w:rtl w:val="0"/>
        </w:rPr>
        <w:t xml:space="preserve"> The pathophysiology of SLOS is not a simple matter of cholesterol deficiency alone but rather a complex interplay between low cholesterol levels and the potential toxicity of the accumulating 7DHC.</w:t>
      </w:r>
      <w:r w:rsidDel="00000000" w:rsidR="00000000" w:rsidRPr="00000000">
        <w:rPr>
          <w:color w:val="575b5f"/>
          <w:sz w:val="40"/>
          <w:szCs w:val="40"/>
          <w:highlight w:val="white"/>
          <w:vertAlign w:val="superscript"/>
          <w:rtl w:val="0"/>
        </w:rPr>
        <w:t xml:space="preserve">61</w:t>
      </w:r>
      <w:r w:rsidDel="00000000" w:rsidR="00000000" w:rsidRPr="00000000">
        <w:rPr>
          <w:color w:val="1b1c1d"/>
          <w:rtl w:val="0"/>
        </w:rPr>
        <w:t xml:space="preserve"> An important molecular link in this pathology is the Sonic Hedgehog (SHH) signaling pathway, which is critical for proper organogenesis and limb development.</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A deficiency of cholesterol, rather than the accumulation of 7DHC, impairs the activation of the Smoothened (SMO) signaling receptor, which is an upstream component of the SHH pathway.</w:t>
      </w:r>
      <w:r w:rsidDel="00000000" w:rsidR="00000000" w:rsidRPr="00000000">
        <w:rPr>
          <w:color w:val="575b5f"/>
          <w:sz w:val="40"/>
          <w:szCs w:val="40"/>
          <w:highlight w:val="white"/>
          <w:vertAlign w:val="superscript"/>
          <w:rtl w:val="0"/>
        </w:rPr>
        <w:t xml:space="preserve">60</w:t>
      </w:r>
      <w:r w:rsidDel="00000000" w:rsidR="00000000" w:rsidRPr="00000000">
        <w:rPr>
          <w:color w:val="1b1c1d"/>
          <w:rtl w:val="0"/>
        </w:rPr>
        <w:t xml:space="preserve"> This establishes a clear mechanistic connection between a metabolic defect and the severe congenital abnormalities observed in SLOS patients.</w:t>
      </w:r>
    </w:p>
    <w:p w:rsidR="00000000" w:rsidDel="00000000" w:rsidP="00000000" w:rsidRDefault="00000000" w:rsidRPr="00000000" w14:paraId="0000003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gw56mmd5quey" w:id="18"/>
      <w:bookmarkEnd w:id="18"/>
      <w:r w:rsidDel="00000000" w:rsidR="00000000" w:rsidRPr="00000000">
        <w:rPr>
          <w:b w:val="1"/>
          <w:color w:val="1b1c1d"/>
          <w:sz w:val="22"/>
          <w:szCs w:val="22"/>
          <w:rtl w:val="0"/>
        </w:rPr>
        <w:t xml:space="preserve">3.2.2. NSDHL and CHILD Syndrome</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Congenital hemidysplasia with ichthyosiform erythroderma and limb defects (CHILD) syndrome is another rare, X-linked dominant disorder caused by a mutation in the </w:t>
      </w:r>
      <w:r w:rsidDel="00000000" w:rsidR="00000000" w:rsidRPr="00000000">
        <w:rPr>
          <w:i w:val="1"/>
          <w:color w:val="1b1c1d"/>
          <w:rtl w:val="0"/>
        </w:rPr>
        <w:t xml:space="preserve">NSDHL</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NSDHL</w:t>
      </w:r>
      <w:r w:rsidDel="00000000" w:rsidR="00000000" w:rsidRPr="00000000">
        <w:rPr>
          <w:color w:val="1b1c1d"/>
          <w:rtl w:val="0"/>
        </w:rPr>
        <w:t xml:space="preserve"> gene encodes an enzyme that functions as a 3β-hydroxysterol dehydrogenase, which is an important component of the cholesterol biosynthetic pathway.</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 mutation of this enzyme disrupts cholesterol production, which in turn impairs the SHH signaling pathway that is vital for organogenesis.</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The condition presents with striking unilateral manifestations, including hemidysplasia (underdevelopment of one side of the body), ichthyosiform erythroderma (red, scaly skin patches), and limb defects.</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This unilateral presentation is not believed to be caused by the mutation itself but rather by the pattern of X-chromosome inactivation, in which one X chromosome is randomly silenced in each cell.</w:t>
      </w:r>
      <w:r w:rsidDel="00000000" w:rsidR="00000000" w:rsidRPr="00000000">
        <w:rPr>
          <w:color w:val="575b5f"/>
          <w:sz w:val="40"/>
          <w:szCs w:val="40"/>
          <w:highlight w:val="white"/>
          <w:vertAlign w:val="superscript"/>
          <w:rtl w:val="0"/>
        </w:rPr>
        <w:t xml:space="preserve">42</w:t>
      </w:r>
      <w:r w:rsidDel="00000000" w:rsidR="00000000" w:rsidRPr="00000000">
        <w:rPr>
          <w:color w:val="1b1c1d"/>
          <w:rtl w:val="0"/>
        </w:rPr>
        <w:t xml:space="preserve"> This mechanism provides a classic example of how a fundamental genetic process can manifest in a highly specific, asymmetric clinical phenotype. The convergent pathology of both DHCR7 and NSDHL deficiencies in disrupting cholesterol metabolism and the downstream SHH/SMO signaling cascade underscores the central role of cholesterol as a critical signaling molecule for proper embryonic development.</w:t>
      </w:r>
    </w:p>
    <w:p w:rsidR="00000000" w:rsidDel="00000000" w:rsidP="00000000" w:rsidRDefault="00000000" w:rsidRPr="00000000" w14:paraId="0000003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2re13iabklzn" w:id="19"/>
      <w:bookmarkEnd w:id="19"/>
      <w:r w:rsidDel="00000000" w:rsidR="00000000" w:rsidRPr="00000000">
        <w:rPr>
          <w:b w:val="1"/>
          <w:color w:val="1b1c1d"/>
          <w:sz w:val="26"/>
          <w:szCs w:val="26"/>
          <w:rtl w:val="0"/>
        </w:rPr>
        <w:t xml:space="preserve">3.3. Bile Acid Metabolism: A Host-Microbiome Collaboration</w:t>
      </w:r>
    </w:p>
    <w:p w:rsidR="00000000" w:rsidDel="00000000" w:rsidP="00000000" w:rsidRDefault="00000000" w:rsidRPr="00000000" w14:paraId="00000036">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s8meg8jhsqje" w:id="20"/>
      <w:bookmarkEnd w:id="20"/>
      <w:r w:rsidDel="00000000" w:rsidR="00000000" w:rsidRPr="00000000">
        <w:rPr>
          <w:b w:val="1"/>
          <w:color w:val="1b1c1d"/>
          <w:sz w:val="22"/>
          <w:szCs w:val="22"/>
          <w:rtl w:val="0"/>
        </w:rPr>
        <w:t xml:space="preserve">3.3.1. Host-Synthesized Primary Bile Acids</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Bile acids (BAs) are amphipathic steroids synthesized exclusively in the liver from cholesterol.</w:t>
      </w:r>
      <w:r w:rsidDel="00000000" w:rsidR="00000000" w:rsidRPr="00000000">
        <w:rPr>
          <w:color w:val="575b5f"/>
          <w:sz w:val="40"/>
          <w:szCs w:val="40"/>
          <w:highlight w:val="white"/>
          <w:vertAlign w:val="superscript"/>
          <w:rtl w:val="0"/>
        </w:rPr>
        <w:t xml:space="preserve">64</w:t>
      </w:r>
      <w:r w:rsidDel="00000000" w:rsidR="00000000" w:rsidRPr="00000000">
        <w:rPr>
          <w:color w:val="1b1c1d"/>
          <w:rtl w:val="0"/>
        </w:rPr>
        <w:t xml:space="preserve"> This process is a major pathway for hepatic cholesterol catabolism and occurs through two main routes: the classical (or neutral) pathway and the alternative (or acidic) pathway.</w:t>
      </w:r>
      <w:r w:rsidDel="00000000" w:rsidR="00000000" w:rsidRPr="00000000">
        <w:rPr>
          <w:color w:val="575b5f"/>
          <w:sz w:val="40"/>
          <w:szCs w:val="40"/>
          <w:highlight w:val="white"/>
          <w:vertAlign w:val="superscript"/>
          <w:rtl w:val="0"/>
        </w:rPr>
        <w:t xml:space="preserve">64</w:t>
      </w:r>
      <w:r w:rsidDel="00000000" w:rsidR="00000000" w:rsidRPr="00000000">
        <w:rPr>
          <w:color w:val="1b1c1d"/>
          <w:rtl w:val="0"/>
        </w:rPr>
        <w:t xml:space="preserve"> The classical pathway accounts for the majority of human BA production (75-90%) and is initiated by cholesterol 7α-hydroxylase (CYP7A1).</w:t>
      </w:r>
      <w:r w:rsidDel="00000000" w:rsidR="00000000" w:rsidRPr="00000000">
        <w:rPr>
          <w:color w:val="575b5f"/>
          <w:sz w:val="40"/>
          <w:szCs w:val="40"/>
          <w:highlight w:val="white"/>
          <w:vertAlign w:val="superscript"/>
          <w:rtl w:val="0"/>
        </w:rPr>
        <w:t xml:space="preserve">64</w:t>
      </w:r>
      <w:r w:rsidDel="00000000" w:rsidR="00000000" w:rsidRPr="00000000">
        <w:rPr>
          <w:color w:val="1b1c1d"/>
          <w:rtl w:val="0"/>
        </w:rPr>
        <w:t xml:space="preserve"> A key enzyme in this pathway is CYP8B1, which catalyzes the 12α-hydroxylation of intermediates and determines the ratio of cholic acid (CA) to chenodeoxycholic acid (CDCA).</w:t>
      </w:r>
      <w:r w:rsidDel="00000000" w:rsidR="00000000" w:rsidRPr="00000000">
        <w:rPr>
          <w:color w:val="575b5f"/>
          <w:sz w:val="40"/>
          <w:szCs w:val="40"/>
          <w:highlight w:val="white"/>
          <w:vertAlign w:val="superscript"/>
          <w:rtl w:val="0"/>
        </w:rPr>
        <w:t xml:space="preserve">68</w:t>
      </w:r>
      <w:r w:rsidDel="00000000" w:rsidR="00000000" w:rsidRPr="00000000">
        <w:rPr>
          <w:color w:val="1b1c1d"/>
          <w:rtl w:val="0"/>
        </w:rPr>
        <w:t xml:space="preserve"> The alternative pathway is initiated by sterol 27-hydroxylase (CYP27A1) and primarily produces CDCA.</w:t>
      </w:r>
      <w:r w:rsidDel="00000000" w:rsidR="00000000" w:rsidRPr="00000000">
        <w:rPr>
          <w:color w:val="575b5f"/>
          <w:sz w:val="40"/>
          <w:szCs w:val="40"/>
          <w:highlight w:val="white"/>
          <w:vertAlign w:val="superscript"/>
          <w:rtl w:val="0"/>
        </w:rPr>
        <w:t xml:space="preserve">64</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central and often underappreciated component of this process is the HSD3B7 enzyme. This enzyme catalyzes the conversion of 7α-hydroxycholesterol to 7α-hydroxy-4-cholesten-3-one, a pivotal second step in BA synthesis.</w:t>
      </w:r>
      <w:r w:rsidDel="00000000" w:rsidR="00000000" w:rsidRPr="00000000">
        <w:rPr>
          <w:color w:val="575b5f"/>
          <w:sz w:val="40"/>
          <w:szCs w:val="40"/>
          <w:highlight w:val="white"/>
          <w:vertAlign w:val="superscript"/>
          <w:rtl w:val="0"/>
        </w:rPr>
        <w:t xml:space="preserve">70</w:t>
      </w:r>
      <w:r w:rsidDel="00000000" w:rsidR="00000000" w:rsidRPr="00000000">
        <w:rPr>
          <w:color w:val="1b1c1d"/>
          <w:rtl w:val="0"/>
        </w:rPr>
        <w:t xml:space="preserve"> Its function is to invert the 3β-hydroxyl group of cholesterol to the essential 3α-hydroxyl stereochemistry of bile acids.</w:t>
      </w:r>
      <w:r w:rsidDel="00000000" w:rsidR="00000000" w:rsidRPr="00000000">
        <w:rPr>
          <w:color w:val="575b5f"/>
          <w:sz w:val="40"/>
          <w:szCs w:val="40"/>
          <w:highlight w:val="white"/>
          <w:vertAlign w:val="superscript"/>
          <w:rtl w:val="0"/>
        </w:rPr>
        <w:t xml:space="preserve">72</w:t>
      </w:r>
      <w:r w:rsidDel="00000000" w:rsidR="00000000" w:rsidRPr="00000000">
        <w:rPr>
          <w:color w:val="1b1c1d"/>
          <w:rtl w:val="0"/>
        </w:rPr>
        <w:t xml:space="preserve"> Studies with</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HSD3B7</w:t>
      </w:r>
      <w:r w:rsidDel="00000000" w:rsidR="00000000" w:rsidRPr="00000000">
        <w:rPr>
          <w:color w:val="1b1c1d"/>
          <w:rtl w:val="0"/>
        </w:rPr>
        <w:t xml:space="preserve"> knockout mice have shown that the absence of this stereochemical inversion leads to a bile acid pool dominated by 3β-hydroxylated BAs. This seemingly small alteration has fatal, system-wide consequences, causing death in 90% of newborn mice and completely eliminating dietary cholesterol absorption in the survivors.</w:t>
      </w:r>
      <w:r w:rsidDel="00000000" w:rsidR="00000000" w:rsidRPr="00000000">
        <w:rPr>
          <w:color w:val="575b5f"/>
          <w:sz w:val="40"/>
          <w:szCs w:val="40"/>
          <w:highlight w:val="white"/>
          <w:vertAlign w:val="superscript"/>
          <w:rtl w:val="0"/>
        </w:rPr>
        <w:t xml:space="preserve">72</w:t>
      </w:r>
      <w:r w:rsidDel="00000000" w:rsidR="00000000" w:rsidRPr="00000000">
        <w:rPr>
          <w:color w:val="1b1c1d"/>
          <w:rtl w:val="0"/>
        </w:rPr>
        <w:t xml:space="preserve"> The correct 3α-stereochemistry is also required for the negative feedback regulation of BA synthesis, which is mediated by the farnesoid X receptor (FXR).</w:t>
      </w:r>
      <w:r w:rsidDel="00000000" w:rsidR="00000000" w:rsidRPr="00000000">
        <w:rPr>
          <w:color w:val="575b5f"/>
          <w:sz w:val="40"/>
          <w:szCs w:val="40"/>
          <w:highlight w:val="white"/>
          <w:vertAlign w:val="superscript"/>
          <w:rtl w:val="0"/>
        </w:rPr>
        <w:t xml:space="preserve">72</w:t>
      </w:r>
      <w:r w:rsidDel="00000000" w:rsidR="00000000" w:rsidRPr="00000000">
        <w:rPr>
          <w:color w:val="1b1c1d"/>
          <w:rtl w:val="0"/>
        </w:rPr>
        <w:t xml:space="preserve"> This demonstrates how a single, specific stereochemical feature is a non-negotiable requirement for the physiological and regulatory functions of bile acids.</w:t>
      </w:r>
    </w:p>
    <w:p w:rsidR="00000000" w:rsidDel="00000000" w:rsidP="00000000" w:rsidRDefault="00000000" w:rsidRPr="00000000" w14:paraId="0000003A">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ideiuxbq3mku" w:id="21"/>
      <w:bookmarkEnd w:id="21"/>
      <w:r w:rsidDel="00000000" w:rsidR="00000000" w:rsidRPr="00000000">
        <w:rPr>
          <w:b w:val="1"/>
          <w:color w:val="1b1c1d"/>
          <w:sz w:val="22"/>
          <w:szCs w:val="22"/>
          <w:rtl w:val="0"/>
        </w:rPr>
        <w:t xml:space="preserve">3.3.2. Microbial-Modified Secondary Bile Acids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process of bile acid biotransformation is a collaborative effort between the host and the gut microbiome.</w:t>
      </w:r>
      <w:r w:rsidDel="00000000" w:rsidR="00000000" w:rsidRPr="00000000">
        <w:rPr>
          <w:color w:val="575b5f"/>
          <w:sz w:val="40"/>
          <w:szCs w:val="40"/>
          <w:highlight w:val="white"/>
          <w:vertAlign w:val="superscript"/>
          <w:rtl w:val="0"/>
        </w:rPr>
        <w:t xml:space="preserve">69</w:t>
      </w:r>
      <w:r w:rsidDel="00000000" w:rsidR="00000000" w:rsidRPr="00000000">
        <w:rPr>
          <w:color w:val="1b1c1d"/>
          <w:rtl w:val="0"/>
        </w:rPr>
        <w:t xml:space="preserve"> While the host liver synthesizes primary bile acids, the gut microbiota chemically modifies them into a vast array of secondary bile acids through reactions like deconjugation and dehydroxylation.</w:t>
      </w:r>
      <w:r w:rsidDel="00000000" w:rsidR="00000000" w:rsidRPr="00000000">
        <w:rPr>
          <w:color w:val="575b5f"/>
          <w:sz w:val="40"/>
          <w:szCs w:val="40"/>
          <w:highlight w:val="white"/>
          <w:vertAlign w:val="superscript"/>
          <w:rtl w:val="0"/>
        </w:rPr>
        <w:t xml:space="preserve">69</w:t>
      </w:r>
      <w:r w:rsidDel="00000000" w:rsidR="00000000" w:rsidRPr="00000000">
        <w:rPr>
          <w:color w:val="1b1c1d"/>
          <w:rtl w:val="0"/>
        </w:rPr>
        <w:t xml:space="preserve"> This microbial activity is so influential that the gut microbiome has been likened to an "endocrine organ" due to the metabolites it produces that affect host physiology.</w:t>
      </w:r>
      <w:r w:rsidDel="00000000" w:rsidR="00000000" w:rsidRPr="00000000">
        <w:rPr>
          <w:color w:val="575b5f"/>
          <w:sz w:val="40"/>
          <w:szCs w:val="40"/>
          <w:highlight w:val="white"/>
          <w:vertAlign w:val="superscript"/>
          <w:rtl w:val="0"/>
        </w:rPr>
        <w:t xml:space="preserve">69</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Bacterial hydroxysteroid dehydrogenases (HSDHs) are a key class of enzymes responsible for this modification process.</w:t>
      </w:r>
      <w:r w:rsidDel="00000000" w:rsidR="00000000" w:rsidRPr="00000000">
        <w:rPr>
          <w:color w:val="575b5f"/>
          <w:sz w:val="40"/>
          <w:szCs w:val="40"/>
          <w:highlight w:val="white"/>
          <w:vertAlign w:val="superscript"/>
          <w:rtl w:val="0"/>
        </w:rPr>
        <w:t xml:space="preserve">77</w:t>
      </w:r>
      <w:r w:rsidDel="00000000" w:rsidR="00000000" w:rsidRPr="00000000">
        <w:rPr>
          <w:color w:val="1b1c1d"/>
          <w:rtl w:val="0"/>
        </w:rPr>
        <w:t xml:space="preserve"> For instance, a combination of microbial 7α- and 7β-HSDHs can catalyze the epimerization of primary bile acids to form secondary bile acids such as ursodeoxycholic acid (UDCA).</w:t>
      </w:r>
      <w:r w:rsidDel="00000000" w:rsidR="00000000" w:rsidRPr="00000000">
        <w:rPr>
          <w:color w:val="575b5f"/>
          <w:sz w:val="40"/>
          <w:szCs w:val="40"/>
          <w:highlight w:val="white"/>
          <w:vertAlign w:val="superscript"/>
          <w:rtl w:val="0"/>
        </w:rPr>
        <w:t xml:space="preserve">78</w:t>
      </w:r>
      <w:r w:rsidDel="00000000" w:rsidR="00000000" w:rsidRPr="00000000">
        <w:rPr>
          <w:color w:val="1b1c1d"/>
          <w:rtl w:val="0"/>
        </w:rPr>
        <w:t xml:space="preserve"> UDCA is a beneficial secondary bile acid due to its low hydrophobicity and is widely used to treat hepatobiliary diseases.</w:t>
      </w:r>
      <w:r w:rsidDel="00000000" w:rsidR="00000000" w:rsidRPr="00000000">
        <w:rPr>
          <w:color w:val="575b5f"/>
          <w:sz w:val="40"/>
          <w:szCs w:val="40"/>
          <w:highlight w:val="white"/>
          <w:vertAlign w:val="superscript"/>
          <w:rtl w:val="0"/>
        </w:rPr>
        <w:t xml:space="preserve">77</w:t>
      </w:r>
      <w:r w:rsidDel="00000000" w:rsidR="00000000" w:rsidRPr="00000000">
        <w:rPr>
          <w:color w:val="1b1c1d"/>
          <w:rtl w:val="0"/>
        </w:rPr>
        <w:t xml:space="preserve"> A fascinating example of leveraging this microbial biochemistry for therapeutic purposes is the discovery of a mutant bacterial enzyme, St-2-2, from the gut of a black bear. This mutant enzyme specifically catalyzes the conversion of taurochenodeoxycholic acid (TCDCA) but not taurocholic acid (TCA), offering a strategy for the industrial biosynthesis of TUDCA from a complex substrate like chicken bile powder without producing a harmful byproduct.</w:t>
      </w:r>
      <w:r w:rsidDel="00000000" w:rsidR="00000000" w:rsidRPr="00000000">
        <w:rPr>
          <w:color w:val="575b5f"/>
          <w:sz w:val="40"/>
          <w:szCs w:val="40"/>
          <w:highlight w:val="white"/>
          <w:vertAlign w:val="superscript"/>
          <w:rtl w:val="0"/>
        </w:rPr>
        <w:t xml:space="preserve">81</w:t>
      </w:r>
      <w:r w:rsidDel="00000000" w:rsidR="00000000" w:rsidRPr="00000000">
        <w:rPr>
          <w:color w:val="1b1c1d"/>
          <w:rtl w:val="0"/>
        </w:rPr>
        <w:t xml:space="preserve"> This illustrates how a precise understanding of microbial enzymatic function can be harnessed for the development of novel therapeutic compounds.</w:t>
      </w:r>
    </w:p>
    <w:p w:rsidR="00000000" w:rsidDel="00000000" w:rsidP="00000000" w:rsidRDefault="00000000" w:rsidRPr="00000000" w14:paraId="0000003D">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735ib4hryb8" w:id="22"/>
      <w:bookmarkEnd w:id="22"/>
      <w:r w:rsidDel="00000000" w:rsidR="00000000" w:rsidRPr="00000000">
        <w:rPr>
          <w:b w:val="1"/>
          <w:color w:val="1b1c1d"/>
          <w:sz w:val="34"/>
          <w:szCs w:val="34"/>
          <w:rtl w:val="0"/>
        </w:rPr>
        <w:t xml:space="preserve">4. Other Relevant ABC Transporter Subfamilies</w:t>
      </w:r>
    </w:p>
    <w:p w:rsidR="00000000" w:rsidDel="00000000" w:rsidP="00000000" w:rsidRDefault="00000000" w:rsidRPr="00000000" w14:paraId="0000003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75x5d9jahd5" w:id="23"/>
      <w:bookmarkEnd w:id="23"/>
      <w:r w:rsidDel="00000000" w:rsidR="00000000" w:rsidRPr="00000000">
        <w:rPr>
          <w:b w:val="1"/>
          <w:color w:val="1b1c1d"/>
          <w:sz w:val="26"/>
          <w:szCs w:val="26"/>
          <w:rtl w:val="0"/>
        </w:rPr>
        <w:t xml:space="preserve">4.1. ABCG Subfamily: Half-Transporters and Sterol Transport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ABCG subfamily is composed of five members in humans that are all half-transporters, meaning they must form dimers to be functional.</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These transporters are primarily involved in the movement of sterols and other hydrophobic compounds.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function of ABCG members is highly specialized. The ABCG5 and ABCG8 proteins form an obligate heterodimer that is crucial for limiting the absorption of dietary sterols in the intestine and facilitating their excretion into bile.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Loss-of-function mutations in either of these genes cause a rare lipid metabolism disorder called sitosterolemia, which is characterized by the excessive accumulation of plant and fish sterols, leading to premature atherosclerosis and cardiovascular disease.</w:t>
      </w:r>
      <w:r w:rsidDel="00000000" w:rsidR="00000000" w:rsidRPr="00000000">
        <w:rPr>
          <w:color w:val="575b5f"/>
          <w:sz w:val="40"/>
          <w:szCs w:val="40"/>
          <w:highlight w:val="white"/>
          <w:vertAlign w:val="superscript"/>
          <w:rtl w:val="0"/>
        </w:rPr>
        <w:t xml:space="preserve">84</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Another pair of ABCG transporters, ABCG1 and ABCG4, are involved in cholesterol efflux, but their function is primarily intracellular. ABCG1 localizes to endosomal vesicles and functions to redistribute intracellular cholesterol and specific oxysterols away from the endoplasmic reticulum.</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ABCG4 expression is highly restricted to the brain and eye, where it performs a function similar to ABCG1.</w:t>
      </w:r>
      <w:r w:rsidDel="00000000" w:rsidR="00000000" w:rsidRPr="00000000">
        <w:rPr>
          <w:color w:val="575b5f"/>
          <w:sz w:val="40"/>
          <w:szCs w:val="40"/>
          <w:highlight w:val="white"/>
          <w:vertAlign w:val="superscript"/>
          <w:rtl w:val="0"/>
        </w:rPr>
        <w:t xml:space="preserve">83</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particularly interesting member of this subfamily is ABCG2, which has a broad substrate specificity, transporting various pharmaceuticals as well as a physiological substrate, urate.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Mutations in the</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ABCG2</w:t>
      </w:r>
      <w:r w:rsidDel="00000000" w:rsidR="00000000" w:rsidRPr="00000000">
        <w:rPr>
          <w:color w:val="1b1c1d"/>
          <w:rtl w:val="0"/>
        </w:rPr>
        <w:t xml:space="preserve"> gene are associated with gout, a form of arthritis caused by the accumulation of urate crystals in joints. A variant (Q141K) has been shown to reduce the protein's ability to secrete urate by half, leading to elevated blood urate levels.</w:t>
      </w:r>
      <w:r w:rsidDel="00000000" w:rsidR="00000000" w:rsidRPr="00000000">
        <w:rPr>
          <w:color w:val="575b5f"/>
          <w:sz w:val="40"/>
          <w:szCs w:val="40"/>
          <w:highlight w:val="white"/>
          <w:vertAlign w:val="superscript"/>
          <w:rtl w:val="0"/>
        </w:rPr>
        <w:t xml:space="preserve">84</w:t>
      </w:r>
      <w:r w:rsidDel="00000000" w:rsidR="00000000" w:rsidRPr="00000000">
        <w:rPr>
          <w:color w:val="1b1c1d"/>
          <w:rtl w:val="0"/>
        </w:rPr>
        <w:t xml:space="preserve"> The dual role of ABCG2 as both a physiological urate transporter and a multidrug resistance protein is a critical consideration in clinical pharmacology. The analysis shows that drugs that are substrates for ABCG2 could potentially alter urate homeostasis and increase the risk of gout in susceptible individuals, which is a complex drug-gene interaction that needs to be considered in therapeutic development.</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sdr0mor5oyyq" w:id="24"/>
      <w:bookmarkEnd w:id="24"/>
      <w:r w:rsidDel="00000000" w:rsidR="00000000" w:rsidRPr="00000000">
        <w:rPr>
          <w:b w:val="1"/>
          <w:color w:val="1b1c1d"/>
          <w:sz w:val="26"/>
          <w:szCs w:val="26"/>
          <w:rtl w:val="0"/>
        </w:rPr>
        <w:t xml:space="preserve">4.2. ABCC Subfamily: The MRPs and Multidrug Resistance</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ABCC subfamily contains 13 members, nine of which are known as multidrug resistance-associated proteins (MRPs).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These proteins are essential for mediating multidrug resistance in cancer cells by acting as ATP-dependent efflux pumps for a wide range of chemotherapeutic drugs.</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key example is ABCC10, which transports various antitumor drugs, including taxanes, epothilone B, and vinca alkaloids.</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Its expression is elevated in non-small cell lung cancer (NSCLC) and is considered a biomarker for paclitaxel resistance.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Studies using</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i w:val="1"/>
          <w:color w:val="1b1c1d"/>
          <w:rtl w:val="0"/>
        </w:rPr>
        <w:t xml:space="preserve">Abcc10</w:t>
      </w:r>
      <w:r w:rsidDel="00000000" w:rsidR="00000000" w:rsidRPr="00000000">
        <w:rPr>
          <w:color w:val="1b1c1d"/>
          <w:rtl w:val="0"/>
        </w:rPr>
        <w:t xml:space="preserve"> knockout mice have shown that the absence of this transporter increases the animals' sensitivity to taxanes, which highlights its critical role as a determinant of taxane sensitivity </w:t>
      </w:r>
      <w:r w:rsidDel="00000000" w:rsidR="00000000" w:rsidRPr="00000000">
        <w:rPr>
          <w:i w:val="1"/>
          <w:color w:val="1b1c1d"/>
          <w:rtl w:val="0"/>
        </w:rPr>
        <w:t xml:space="preserve">in vivo</w:t>
      </w:r>
      <w:r w:rsidDel="00000000" w:rsidR="00000000" w:rsidRPr="00000000">
        <w:rPr>
          <w:color w:val="1b1c1d"/>
          <w:rtl w:val="0"/>
        </w:rPr>
        <w:t xml:space="preserve">.</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This suggests that therapeutic strategies aimed at inhibiting ABCC10 could be a valuable approach to overcome chemoresistance in cancers where it is highly expressed.</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ABCC subfamily also provides a clear example of pleiotropy through ABCC11. A single non-synonymous SNP (538G&gt;A) in the </w:t>
      </w:r>
      <w:r w:rsidDel="00000000" w:rsidR="00000000" w:rsidRPr="00000000">
        <w:rPr>
          <w:i w:val="1"/>
          <w:color w:val="1b1c1d"/>
          <w:rtl w:val="0"/>
        </w:rPr>
        <w:t xml:space="preserve">ABCC11</w:t>
      </w:r>
      <w:r w:rsidDel="00000000" w:rsidR="00000000" w:rsidRPr="00000000">
        <w:rPr>
          <w:color w:val="1b1c1d"/>
          <w:rtl w:val="0"/>
        </w:rPr>
        <w:t xml:space="preserve"> gene affects the function and stability of the protein, leading to a phenotype that determines earwax type (wet vs. dry) and is linked to axillary osmidrosis (body odor).</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Furthermore, this same polymorphism is associated with a potential susceptibility to breast cancer and affects the efficacy of nucleoside-based chemotherapy.</w:t>
      </w:r>
      <w:r w:rsidDel="00000000" w:rsidR="00000000" w:rsidRPr="00000000">
        <w:rPr>
          <w:color w:val="575b5f"/>
          <w:sz w:val="40"/>
          <w:szCs w:val="40"/>
          <w:highlight w:val="white"/>
          <w:vertAlign w:val="superscript"/>
          <w:rtl w:val="0"/>
        </w:rPr>
        <w:t xml:space="preserve">38</w:t>
      </w:r>
      <w:r w:rsidDel="00000000" w:rsidR="00000000" w:rsidRPr="00000000">
        <w:rPr>
          <w:color w:val="1b1c1d"/>
          <w:rtl w:val="0"/>
        </w:rPr>
        <w:t xml:space="preserve"> The fact that a single genetic variant can impact seemingly unrelated traits like earwax and breast cancer risk demonstrates the intricate and unexpected connections that exist in human physiology and genetics.</w:t>
      </w:r>
    </w:p>
    <w:p w:rsidR="00000000" w:rsidDel="00000000" w:rsidP="00000000" w:rsidRDefault="00000000" w:rsidRPr="00000000" w14:paraId="00000049">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a1w03h97dvgv" w:id="25"/>
      <w:bookmarkEnd w:id="25"/>
      <w:r w:rsidDel="00000000" w:rsidR="00000000" w:rsidRPr="00000000">
        <w:rPr>
          <w:b w:val="1"/>
          <w:color w:val="1b1c1d"/>
          <w:sz w:val="34"/>
          <w:szCs w:val="34"/>
          <w:rtl w:val="0"/>
        </w:rPr>
        <w:t xml:space="preserve">Conclusions and Future Directions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research reviewed herein demonstrates the profound and multifaceted roles of ABC transporters and associated metabolic enzymes in human biology and disease. The detailed analysis reveals that these proteins are not merely passive conduits for molecular transport but are dynamic regulators of critical physiological pathways.</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function of ABCA8, for instance, is not monolithic. Its dual role in both systemic lipid metabolism and CNS myelination, coupled with the existence of functionally distinct isoforms for import and efflux, suggests a sophisticated cellular control mechanism. The findings in neurodegenerative diseases like MSA, where ABCA8 expression is paradoxically increased in conjunction with pathology-related proteins, warrant a deeper investigation into whether this is a compensatory or a maladaptive response. Similarly, its role as a tumor suppressor across different cancers, modulating distinct signaling pathways (ERK/ZEB1, AMPK/mTOR, Wnt/β-catenin), indicates that targeting its core function in lipid homeostasis could be a potent, broad-spectrum anti-cancer strategy.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HSD3B enzymes provide a compelling example of tissue-specific function and the clinical relevance of genetic polymorphisms. The adrenal-permissive </w:t>
      </w:r>
      <w:r w:rsidDel="00000000" w:rsidR="00000000" w:rsidRPr="00000000">
        <w:rPr>
          <w:i w:val="1"/>
          <w:color w:val="1b1c1d"/>
          <w:rtl w:val="0"/>
        </w:rPr>
        <w:t xml:space="preserve">HSD3B1</w:t>
      </w:r>
      <w:r w:rsidDel="00000000" w:rsidR="00000000" w:rsidRPr="00000000">
        <w:rPr>
          <w:color w:val="1b1c1d"/>
          <w:rtl w:val="0"/>
        </w:rPr>
        <w:t xml:space="preserve"> genotype is a powerful predictive biomarker that can be used to inform personalized treatment decisions for prostate cancer, steering patients toward therapies that block adrenal androgen synthesis. This exemplifies the direct clinical utility of genomic information in precision medicine.</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Finally, the intricate cooperation between host and microbiome in bile acid metabolism highlights the importance of the gut-liver axis in maintaining metabolic and signaling homeostasis. The development of specialized bacterial enzymes for the synthesis of therapeutic bile acids like UDCA is a testament to the potential of leveraging microbial biochemistry for pharmaceutical applications.</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120" w:lineRule="auto"/>
        <w:rPr>
          <w:color w:val="1b1c1d"/>
        </w:rPr>
      </w:pPr>
      <w:r w:rsidDel="00000000" w:rsidR="00000000" w:rsidRPr="00000000">
        <w:rPr>
          <w:color w:val="1b1c1d"/>
          <w:rtl w:val="0"/>
        </w:rPr>
        <w:t xml:space="preserve">Looking forward, several key areas of research emerge from this analysis:</w:t>
      </w:r>
    </w:p>
    <w:p w:rsidR="00000000" w:rsidDel="00000000" w:rsidP="00000000" w:rsidRDefault="00000000" w:rsidRPr="00000000" w14:paraId="0000004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development of isoform-specific modulators for ABCA8 to selectively target its pro-myelination or anti-cancer functions without causing unintended systemic effects.</w:t>
      </w:r>
    </w:p>
    <w:p w:rsidR="00000000" w:rsidDel="00000000" w:rsidP="00000000" w:rsidRDefault="00000000" w:rsidRPr="00000000" w14:paraId="0000005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The continued use of genetic biomarkers like the </w:t>
      </w:r>
      <w:r w:rsidDel="00000000" w:rsidR="00000000" w:rsidRPr="00000000">
        <w:rPr>
          <w:i w:val="1"/>
          <w:color w:val="1b1c1d"/>
          <w:rtl w:val="0"/>
        </w:rPr>
        <w:t xml:space="preserve">HSD3B1</w:t>
      </w:r>
      <w:r w:rsidDel="00000000" w:rsidR="00000000" w:rsidRPr="00000000">
        <w:rPr>
          <w:color w:val="1b1c1d"/>
          <w:rtl w:val="0"/>
        </w:rPr>
        <w:t xml:space="preserve"> polymorphism to guide patient stratification and personalize therapeutic regimens for steroid-dependent cancers.</w:t>
      </w:r>
    </w:p>
    <w:p w:rsidR="00000000" w:rsidDel="00000000" w:rsidP="00000000" w:rsidRDefault="00000000" w:rsidRPr="00000000" w14:paraId="0000005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Further exploration of the host-microbiome interaction in bile acid metabolism to design targeted interventions that modulate the gut environment for the treatment of metabolic and gastrointestinal disorders.</w:t>
      </w:r>
    </w:p>
    <w:p w:rsidR="00000000" w:rsidDel="00000000" w:rsidP="00000000" w:rsidRDefault="00000000" w:rsidRPr="00000000" w14:paraId="00000052">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A deeper investigation into the functional links between cholesterol trafficking, as mediated by proteins like ABCA13, and the pathophysiology of psychiatric disorders, with the goal of identifying novel therapeutic targets beyond traditional neurotransmitter systems.</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This integrated view of ABC transporters and metabolic enzymes provides a robust foundation for future research and clinical innovation, offering a pathway toward more targeted and effective treatments for a wide array of human diseases.</w:t>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