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ow6az3tsunsl" w:id="0"/>
      <w:bookmarkEnd w:id="0"/>
      <w:r w:rsidDel="00000000" w:rsidR="00000000" w:rsidRPr="00000000">
        <w:rPr>
          <w:b w:val="1"/>
          <w:color w:val="1b1c1d"/>
          <w:sz w:val="46"/>
          <w:szCs w:val="46"/>
          <w:rtl w:val="0"/>
        </w:rPr>
        <w:t xml:space="preserve">The Glutathione S-transferase Superfamily: Functional, Structural, and Clinical Delineation of Key Human Isozymes GSTA1, GSTA3, and GSTT2B</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off8bjmbwfdh" w:id="1"/>
      <w:bookmarkEnd w:id="1"/>
      <w:r w:rsidDel="00000000" w:rsidR="00000000" w:rsidRPr="00000000">
        <w:rPr>
          <w:b w:val="1"/>
          <w:color w:val="1b1c1d"/>
          <w:sz w:val="34"/>
          <w:szCs w:val="34"/>
          <w:rtl w:val="0"/>
        </w:rPr>
        <w:t xml:space="preserve">I. Executive Summary: A Unified Perspective on Key Glutathione S-transferases</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Glutathione S-transferase (GST) superfamily represents a diverse and ubiquitous group of enzymes essential for cellular homeostasis and survival. As canonical Phase II metabolic isozymes, GSTs primarily function to detoxify a broad spectrum of harmful compounds by catalyzing the conjugation of the reduced tripeptide glutathione (GSH) to electrophilic substrates.</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This process transforms hydrophobic, toxic molecules into more water-soluble conjugates that can be readily excreted from the cell, thus providing a critical line of defense against both endogenous threats, such as products of oxidative stress, and exogenous agents, including carcinogens, environmental pollutants, and therapeutic drugs.</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report provides an in-depth analysis of three key human GSTs: Glutathione S-transferase A1 (GSTA1), Glutathione S-transferase A3 (GSTA3), and Glutathione S-transferase Theta-2B (GSTT2B). Each of these enzymes embodies a distinct paradigm within the superfamily's functional and clinical landscape. GSTA1 is an archetypal generalist, renowned for its catalytic promiscuity and central role in broad-spectrum detoxification. In contrast, GSTA3, while sharing membership in the Alpha class with GSTA1, has evolved a highly specialized, high-efficiency function as a crucial isomerase in steroid hormone biosynthesis. Finally, GSTT2B stands out due to its unique status as a pseudogene in certain populations, yet its genetic polymorphisms exhibit a significant and measurable impact on disease susceptibility, a finding that challenges conventional assumptions about non-coding genes.</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information presented herein is meticulously structured to serve as a comprehensive, data-rich resource for biomedical research and data-driven applications. The detailed, fact-based content is specifically designed to facilitate the training of advanced Retrieval-Augmented Generation (RAG) models, enabling the development of a robust knowledge base capable of producing highly accurate, contextually rich, and nuanced responses to complex inquiries about these vital enzymes.</w:t>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80a1hjb93cis" w:id="2"/>
      <w:bookmarkEnd w:id="2"/>
      <w:r w:rsidDel="00000000" w:rsidR="00000000" w:rsidRPr="00000000">
        <w:rPr>
          <w:b w:val="1"/>
          <w:color w:val="1b1c1d"/>
          <w:sz w:val="34"/>
          <w:szCs w:val="34"/>
          <w:rtl w:val="0"/>
        </w:rPr>
        <w:t xml:space="preserve">II. The Glutathione S-transferase Superfamily: Foundational Concepts</w:t>
      </w:r>
    </w:p>
    <w:p w:rsidR="00000000" w:rsidDel="00000000" w:rsidP="00000000" w:rsidRDefault="00000000" w:rsidRPr="00000000" w14:paraId="000000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nbnbvyr7htxz" w:id="3"/>
      <w:bookmarkEnd w:id="3"/>
      <w:r w:rsidDel="00000000" w:rsidR="00000000" w:rsidRPr="00000000">
        <w:rPr>
          <w:b w:val="1"/>
          <w:color w:val="1b1c1d"/>
          <w:sz w:val="26"/>
          <w:szCs w:val="26"/>
          <w:rtl w:val="0"/>
        </w:rPr>
        <w:t xml:space="preserve">2.1 Taxonomy and Classification of GSTs</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GST family is an ancient and expansive protein superfamily, present across all domains of life, including eukarya and bacteria.</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The family is organized into three major superfamilies based on their cellular location and amino acid sequence diversity: the cytosolic, mitochondrial, and microsomal (MAPEG) proteins.</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cytosolic GSTs are the most numerous and well-characterized members, classified into 13 distinct classes based on their protein structure and sequence homology.</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In humans, cytosolic GSTs are found in seven of these classes: Alpha (GSTA), Zeta, Theta (GSTT), Mu (GSTM), Pi (GSTP), Sigma (GSTS), and Omega (GSTO).</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The mitochondrial GSTs are confined to a single class, Kappa (GSTK) </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while the microsomal GSTs, which belong to the MAPEG superfamily, are comprised of subgroups I-IV, exhibiting less than 20% amino acid sequence identity between them.</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Standardized nomenclature, such as "hGSTA1-1," provides a clear identification system, specifying the species, class, and subunit composition of each dimeric enzyme.</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000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3tlemxxp1ih7" w:id="4"/>
      <w:bookmarkEnd w:id="4"/>
      <w:r w:rsidDel="00000000" w:rsidR="00000000" w:rsidRPr="00000000">
        <w:rPr>
          <w:b w:val="1"/>
          <w:color w:val="1b1c1d"/>
          <w:sz w:val="26"/>
          <w:szCs w:val="26"/>
          <w:rtl w:val="0"/>
        </w:rPr>
        <w:t xml:space="preserve">2.2 Molecular Architecture and Catalytic Mechanism</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Cytosolic and mitochondrial GSTs function as obligate dimers, composed of two subunits, each with a molecular mass of approximately 25 kDa.</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Each monomer subunit is a globular protein defined by a two-domain architecture:</w:t>
      </w:r>
    </w:p>
    <w:p w:rsidR="00000000" w:rsidDel="00000000" w:rsidP="00000000" w:rsidRDefault="00000000" w:rsidRPr="00000000" w14:paraId="0000000C">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N-terminal Domain:</w:t>
      </w:r>
      <w:r w:rsidDel="00000000" w:rsidR="00000000" w:rsidRPr="00000000">
        <w:rPr>
          <w:color w:val="1b1c1d"/>
          <w:rtl w:val="0"/>
        </w:rPr>
        <w:t xml:space="preserve"> A highly conserved thioredoxin-like domain that contains the glutathione-binding site, referred to as the G-site. This domain is crucial for the stabilization and activation of the GSH molecule.</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000D">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C-terminal Domain:</w:t>
      </w:r>
      <w:r w:rsidDel="00000000" w:rsidR="00000000" w:rsidRPr="00000000">
        <w:rPr>
          <w:color w:val="1b1c1d"/>
          <w:rtl w:val="0"/>
        </w:rPr>
        <w:t xml:space="preserve"> A more variable, all-helical domain that forms the hydrophobic substrate-binding site, or H-site. The structural variability of this domain is the primary determinant of the enzyme's substrate specificity.</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fundamental catalytic function of GSTs is the facilitation of a nucleophilic attack by the thiol group of GSH on an electrophilic center of a substrate.</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This process, which activates the thiol group by stabilizing the GSH thiolate, leads to the formation of a conjugate that is more water-soluble and less toxic.</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Beyond this canonical conjugation, GSTs also perform other important physiological roles, including isomerase reactions, glutathione-dependent peroxidase activity for neutralizing lipid hydroperoxides, and serving as non-catalytic "ligandins" for the transport and storage of small, hydrophobic molecules.</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000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giw2dqj4qc1b" w:id="5"/>
      <w:bookmarkEnd w:id="5"/>
      <w:r w:rsidDel="00000000" w:rsidR="00000000" w:rsidRPr="00000000">
        <w:rPr>
          <w:b w:val="1"/>
          <w:color w:val="1b1c1d"/>
          <w:sz w:val="26"/>
          <w:szCs w:val="26"/>
          <w:rtl w:val="0"/>
        </w:rPr>
        <w:t xml:space="preserve">2.3 The Structural Basis of Functional Divergence</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An examination of the Alpha-class GSTs reveals a remarkable relationship between a protein's conformational dynamics and its functional scope. GSTA1-1, for instance, is widely recognized as a "substrate promiscuous" or "generalist" detoxification enzyme.</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Its broad activity is supported by its structural flexibility. The GSTA1-1 protein acts as a "conformationally flexible scaffold" that utilizes an "induced fit" mechanism, where the C-terminal alpha-helix rearranges in a ligand-dependent manner to accommodate a wide variety of substrates.</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This dynamic, adaptable structure allows the enzyme to react with a diverse range of electrophilic compounds.</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contrasts sharply with a related Alpha-class member, GSTA4-4, which is known for its high catalytic efficiency and specificity towards the lipid aldehyde 4-hydroxynonenal (HNE).</w:t>
      </w:r>
      <w:r w:rsidDel="00000000" w:rsidR="00000000" w:rsidRPr="00000000">
        <w:rPr>
          <w:color w:val="575b5f"/>
          <w:sz w:val="40"/>
          <w:szCs w:val="40"/>
          <w:highlight w:val="white"/>
          <w:vertAlign w:val="superscript"/>
          <w:rtl w:val="0"/>
        </w:rPr>
        <w:t xml:space="preserve">20</w:t>
      </w:r>
      <w:r w:rsidDel="00000000" w:rsidR="00000000" w:rsidRPr="00000000">
        <w:rPr>
          <w:color w:val="1b1c1d"/>
          <w:rtl w:val="0"/>
        </w:rPr>
        <w:t xml:space="preserve"> Structural analyses of GSTA4-4 reveal it to be a "relatively rigid preformed template" with a pre-existing H-site pocket ideally shaped to bind its specific substrates without significant conformational change.</w:t>
      </w:r>
      <w:r w:rsidDel="00000000" w:rsidR="00000000" w:rsidRPr="00000000">
        <w:rPr>
          <w:color w:val="575b5f"/>
          <w:sz w:val="40"/>
          <w:szCs w:val="40"/>
          <w:highlight w:val="white"/>
          <w:vertAlign w:val="superscript"/>
          <w:rtl w:val="0"/>
        </w:rPr>
        <w:t xml:space="preserve">20</w:t>
      </w:r>
      <w:r w:rsidDel="00000000" w:rsidR="00000000" w:rsidRPr="00000000">
        <w:rPr>
          <w:color w:val="1b1c1d"/>
          <w:rtl w:val="0"/>
        </w:rPr>
        <w:t xml:space="preserve"> The distinct structural behavior—flexibility versus rigidity—demonstrates that the evolution of functional specialization within a gene family can be achieved not just through changes in specific active site residues, but also through the remodeling of protein dynamics. This principle extends beyond these specific isozymes to represent a general mechanism of protein evolution.</w:t>
      </w:r>
    </w:p>
    <w:p w:rsidR="00000000" w:rsidDel="00000000" w:rsidP="00000000" w:rsidRDefault="00000000" w:rsidRPr="00000000" w14:paraId="0000001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4q2n76mdj6jv" w:id="6"/>
      <w:bookmarkEnd w:id="6"/>
      <w:r w:rsidDel="00000000" w:rsidR="00000000" w:rsidRPr="00000000">
        <w:rPr>
          <w:b w:val="1"/>
          <w:color w:val="1b1c1d"/>
          <w:sz w:val="34"/>
          <w:szCs w:val="34"/>
          <w:rtl w:val="0"/>
        </w:rPr>
        <w:t xml:space="preserve">III. Glutathione S-transferase A1 (GSTA1): The Promiscuous Detoxifier</w:t>
      </w:r>
    </w:p>
    <w:p w:rsidR="00000000" w:rsidDel="00000000" w:rsidP="00000000" w:rsidRDefault="00000000" w:rsidRPr="00000000" w14:paraId="0000001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ji9pupcrubov" w:id="7"/>
      <w:bookmarkEnd w:id="7"/>
      <w:r w:rsidDel="00000000" w:rsidR="00000000" w:rsidRPr="00000000">
        <w:rPr>
          <w:b w:val="1"/>
          <w:color w:val="1b1c1d"/>
          <w:sz w:val="26"/>
          <w:szCs w:val="26"/>
          <w:rtl w:val="0"/>
        </w:rPr>
        <w:t xml:space="preserve">3.1 Gene and Protein Profile</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gene encoding Glutathione S-transferase A1, designated GSTA1 (HGNC: 4618), is a protein-coding gene located in a cluster of similar genes and pseudogenes on human chromosome 6.</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The GSTA1 protein is a member of the Alpha class, alongside GSTA2, GSTA3, GSTA4, and GSTA5.</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The canonical protein is a 222-amino-acid polypeptide with a molecular weight of approximately 25-26 kDa.</w:t>
      </w:r>
      <w:r w:rsidDel="00000000" w:rsidR="00000000" w:rsidRPr="00000000">
        <w:rPr>
          <w:color w:val="575b5f"/>
          <w:sz w:val="40"/>
          <w:szCs w:val="40"/>
          <w:highlight w:val="white"/>
          <w:vertAlign w:val="superscript"/>
          <w:rtl w:val="0"/>
        </w:rPr>
        <w:t xml:space="preserve">17</w:t>
      </w:r>
      <w:r w:rsidDel="00000000" w:rsidR="00000000" w:rsidRPr="00000000">
        <w:rPr>
          <w:color w:val="1b1c1d"/>
          <w:rtl w:val="0"/>
        </w:rPr>
        <w:t xml:space="preserve"> A significant post-translational modification for this protein is the N-terminal cleavage of its initiator methionine, which results in a processed form of the protein, identified as "Glutathione S-transferase A1, N-terminally processed".</w:t>
      </w:r>
      <w:r w:rsidDel="00000000" w:rsidR="00000000" w:rsidRPr="00000000">
        <w:rPr>
          <w:color w:val="575b5f"/>
          <w:sz w:val="40"/>
          <w:szCs w:val="40"/>
          <w:highlight w:val="white"/>
          <w:vertAlign w:val="superscript"/>
          <w:rtl w:val="0"/>
        </w:rPr>
        <w:t xml:space="preserve">25</w:t>
      </w:r>
      <w:r w:rsidDel="00000000" w:rsidR="00000000" w:rsidRPr="00000000">
        <w:rPr>
          <w:color w:val="1b1c1d"/>
          <w:rtl w:val="0"/>
        </w:rPr>
        <w:t xml:space="preserve"> This modification, which also involves N-acetylation of the subsequent alanine residue, produces a mature protein spanning amino acids 2-222.</w:t>
      </w:r>
      <w:r w:rsidDel="00000000" w:rsidR="00000000" w:rsidRPr="00000000">
        <w:rPr>
          <w:color w:val="575b5f"/>
          <w:sz w:val="40"/>
          <w:szCs w:val="40"/>
          <w:highlight w:val="white"/>
          <w:vertAlign w:val="superscript"/>
          <w:rtl w:val="0"/>
        </w:rPr>
        <w:t xml:space="preserve">25</w:t>
      </w:r>
    </w:p>
    <w:p w:rsidR="00000000" w:rsidDel="00000000" w:rsidP="00000000" w:rsidRDefault="00000000" w:rsidRPr="00000000" w14:paraId="0000001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3jnxlzrnrq00" w:id="8"/>
      <w:bookmarkEnd w:id="8"/>
      <w:r w:rsidDel="00000000" w:rsidR="00000000" w:rsidRPr="00000000">
        <w:rPr>
          <w:b w:val="1"/>
          <w:color w:val="1b1c1d"/>
          <w:sz w:val="26"/>
          <w:szCs w:val="26"/>
          <w:rtl w:val="0"/>
        </w:rPr>
        <w:t xml:space="preserve">3.2 Functional Versatility and Substrate Profile</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GSTA1 is a central player in the body’s detoxification and antioxidant systems, catalyzing the conjugation of glutathione with a broad array of electrophilic compounds.</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This process is crucial for the metabolism and clearance of exogenous threats such as therapeutic drugs, carcinogens, and environmental toxins.</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GSTA1 is highly expressed in key metabolic tissues, including the liver and kidney, where its activity is paramount for maintaining cellular defense.</w:t>
      </w:r>
      <w:r w:rsidDel="00000000" w:rsidR="00000000" w:rsidRPr="00000000">
        <w:rPr>
          <w:color w:val="575b5f"/>
          <w:sz w:val="40"/>
          <w:szCs w:val="40"/>
          <w:highlight w:val="white"/>
          <w:vertAlign w:val="superscript"/>
          <w:rtl w:val="0"/>
        </w:rPr>
        <w:t xml:space="preserve">10</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In addition to its role in xenobiotic metabolism, GSTA1 performs several critical endogenous functions:</w:t>
      </w:r>
    </w:p>
    <w:p w:rsidR="00000000" w:rsidDel="00000000" w:rsidP="00000000" w:rsidRDefault="00000000" w:rsidRPr="00000000" w14:paraId="00000018">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Peroxidase Activity:</w:t>
      </w:r>
      <w:r w:rsidDel="00000000" w:rsidR="00000000" w:rsidRPr="00000000">
        <w:rPr>
          <w:color w:val="1b1c1d"/>
          <w:rtl w:val="0"/>
        </w:rPr>
        <w:t xml:space="preserve"> GSTA1 functions as a glutathione-dependent peroxidase, mediating the metabolism of oxidized lipids and protecting cells from reactive oxygen species (ROS) and the products of peroxidation.</w:t>
      </w:r>
      <w:r w:rsidDel="00000000" w:rsidR="00000000" w:rsidRPr="00000000">
        <w:rPr>
          <w:color w:val="575b5f"/>
          <w:sz w:val="40"/>
          <w:szCs w:val="40"/>
          <w:highlight w:val="white"/>
          <w:vertAlign w:val="superscript"/>
          <w:rtl w:val="0"/>
        </w:rPr>
        <w:t xml:space="preserve">4</w:t>
      </w:r>
    </w:p>
    <w:p w:rsidR="00000000" w:rsidDel="00000000" w:rsidP="00000000" w:rsidRDefault="00000000" w:rsidRPr="00000000" w14:paraId="00000019">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Isomerase Activity:</w:t>
      </w:r>
      <w:r w:rsidDel="00000000" w:rsidR="00000000" w:rsidRPr="00000000">
        <w:rPr>
          <w:color w:val="1b1c1d"/>
          <w:rtl w:val="0"/>
        </w:rPr>
        <w:t xml:space="preserve"> It catalyzes the isomerization of prostaglandin A2 (PGA2) and prostaglandin J2 (PGJ2), as well as the isomerization of androst-5-ene-3,17-dione (AD) to androst-4-ene-3,17-dione, a step that is a part of the steroid hormone biosynthesis pathway.</w:t>
      </w:r>
      <w:r w:rsidDel="00000000" w:rsidR="00000000" w:rsidRPr="00000000">
        <w:rPr>
          <w:color w:val="575b5f"/>
          <w:sz w:val="40"/>
          <w:szCs w:val="40"/>
          <w:highlight w:val="white"/>
          <w:vertAlign w:val="superscript"/>
          <w:rtl w:val="0"/>
        </w:rPr>
        <w:t xml:space="preserve">25</w:t>
      </w:r>
    </w:p>
    <w:p w:rsidR="00000000" w:rsidDel="00000000" w:rsidP="00000000" w:rsidRDefault="00000000" w:rsidRPr="00000000" w14:paraId="0000001A">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Drug Activation:</w:t>
      </w:r>
      <w:r w:rsidDel="00000000" w:rsidR="00000000" w:rsidRPr="00000000">
        <w:rPr>
          <w:color w:val="1b1c1d"/>
          <w:rtl w:val="0"/>
        </w:rPr>
        <w:t xml:space="preserve"> GSTA1, along with other GSTs, is responsible for the bioactivation of the prodrug azathioprine (AZA), converting it to its active antimetabolite, 6-mercaptopurine (6MP).</w:t>
      </w:r>
      <w:r w:rsidDel="00000000" w:rsidR="00000000" w:rsidRPr="00000000">
        <w:rPr>
          <w:color w:val="575b5f"/>
          <w:sz w:val="40"/>
          <w:szCs w:val="40"/>
          <w:highlight w:val="white"/>
          <w:vertAlign w:val="superscript"/>
          <w:rtl w:val="0"/>
        </w:rPr>
        <w:t xml:space="preserve">29</w:t>
      </w:r>
    </w:p>
    <w:p w:rsidR="00000000" w:rsidDel="00000000" w:rsidP="00000000" w:rsidRDefault="00000000" w:rsidRPr="00000000" w14:paraId="0000001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n4k7xummsind" w:id="9"/>
      <w:bookmarkEnd w:id="9"/>
      <w:r w:rsidDel="00000000" w:rsidR="00000000" w:rsidRPr="00000000">
        <w:rPr>
          <w:b w:val="1"/>
          <w:color w:val="1b1c1d"/>
          <w:sz w:val="26"/>
          <w:szCs w:val="26"/>
          <w:rtl w:val="0"/>
        </w:rPr>
        <w:t xml:space="preserve">3.3 Clinical and Pharmacological Relevance</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broad catalytic activity of GSTA1 has significant clinical implications, particularly in the context of drug resistance and disease susceptibility. GSTA1 is a major factor in the development of chemoresistance, especially against the platinum-based chemotherapeutic drug cisplatin.</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Studies have demonstrated that overexpression of GSTA1 in various cancer cell lines, including those from ovarian and gastric cancers, directly correlates with resistance to cisplatin.</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Notably, silencing the GSTA1 gene with small interfering RNA (siRNA) can restore sensitivity to the drug, making GSTA1 a promising therapeutic target for overcoming drug resistance.</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Furthermore, GSTA1 polymorphisms are known to influence the pharmacokinetics of other drugs, such as busulfan, with specific haplotypes being associated with lower drug levels and higher clearance.</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Genetic variations in the GSTA1 gene have also been linked to an individual’s susceptibility to various diseases. Specific genotypes, such as the GSTA1 TT genotype, have been associated with an increased risk of hepatocellular carcinoma (HCC).</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In smokers, a combination of low-activity GSTA1 and GSTM1-null genotypes increases the susceptibility to bladder cancer.</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GSTA1 polymorphisms are also associated with an increased risk of recurrent miscarriage and respiratory conditions like asthma and chronic obstructive pulmonary disease (COPD).</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001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yp2xu9fpogzj" w:id="10"/>
      <w:bookmarkEnd w:id="10"/>
      <w:r w:rsidDel="00000000" w:rsidR="00000000" w:rsidRPr="00000000">
        <w:rPr>
          <w:b w:val="1"/>
          <w:color w:val="1b1c1d"/>
          <w:sz w:val="26"/>
          <w:szCs w:val="26"/>
          <w:rtl w:val="0"/>
        </w:rPr>
        <w:t xml:space="preserve">3.4 The Double-Edged Sword of Promiscuity</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inherent catalytic promiscuity of GSTA1, which is a fundamental aspect of its broad cellular defense function, can be co-opted by cancer cells to develop resistance to chemotherapy. The very flexibility that allows GSTA1 to neutralize a wide array of environmental toxins also enables it to rapidly inactivate a broad class of life-saving drugs. The existence of this phenomenon illustrates a profound challenge in pharmacology. An enzyme that is a crucial guardian of cellular health can, under pathological conditions, transform into a primary obstacle to treatment. This suggests that therapeutic strategies must be designed not just to inhibit an enzyme's function, but to do so with a high degree of specificity, targeting its role in the pathological context without compromising its vital homeostatic functions.</w:t>
      </w:r>
    </w:p>
    <w:p w:rsidR="00000000" w:rsidDel="00000000" w:rsidP="00000000" w:rsidRDefault="00000000" w:rsidRPr="00000000" w14:paraId="0000002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g4j9oxa4dehl" w:id="11"/>
      <w:bookmarkEnd w:id="11"/>
      <w:r w:rsidDel="00000000" w:rsidR="00000000" w:rsidRPr="00000000">
        <w:rPr>
          <w:b w:val="1"/>
          <w:color w:val="1b1c1d"/>
          <w:sz w:val="34"/>
          <w:szCs w:val="34"/>
          <w:rtl w:val="0"/>
        </w:rPr>
        <w:t xml:space="preserve">IV. Glutathione S-transferase A3 (GSTA3): The Steroid Isomerase</w:t>
      </w:r>
    </w:p>
    <w:p w:rsidR="00000000" w:rsidDel="00000000" w:rsidP="00000000" w:rsidRDefault="00000000" w:rsidRPr="00000000" w14:paraId="0000002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ewgswafc5hx" w:id="12"/>
      <w:bookmarkEnd w:id="12"/>
      <w:r w:rsidDel="00000000" w:rsidR="00000000" w:rsidRPr="00000000">
        <w:rPr>
          <w:b w:val="1"/>
          <w:color w:val="1b1c1d"/>
          <w:sz w:val="26"/>
          <w:szCs w:val="26"/>
          <w:rtl w:val="0"/>
        </w:rPr>
        <w:t xml:space="preserve">4.1 Gene and Protein Profile</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GSTA3 (HGNC: 4620) is a protein-coding gene located on human chromosome 6, within the same gene cluster as GSTA1, and is considered a key paralog.</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While it belongs to the Alpha class of GSTs, its evolutionary trajectory has been distinct from other members like GSTA1. The GSTA3 gene has accumulated specific mutations in its active site, leading to a divergence in its substrate specificity and catalytic activity.</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The protein product, GSTA3, is known for its dual role as a detoxifying enzyme and a key catalyst in steroid hormone biosynthesis.</w:t>
      </w:r>
      <w:r w:rsidDel="00000000" w:rsidR="00000000" w:rsidRPr="00000000">
        <w:rPr>
          <w:color w:val="575b5f"/>
          <w:sz w:val="40"/>
          <w:szCs w:val="40"/>
          <w:highlight w:val="white"/>
          <w:vertAlign w:val="superscript"/>
          <w:rtl w:val="0"/>
        </w:rPr>
        <w:t xml:space="preserve">32</w:t>
      </w:r>
    </w:p>
    <w:p w:rsidR="00000000" w:rsidDel="00000000" w:rsidP="00000000" w:rsidRDefault="00000000" w:rsidRPr="00000000" w14:paraId="0000002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l3j8jjkt4k2b" w:id="13"/>
      <w:bookmarkEnd w:id="13"/>
      <w:r w:rsidDel="00000000" w:rsidR="00000000" w:rsidRPr="00000000">
        <w:rPr>
          <w:b w:val="1"/>
          <w:color w:val="1b1c1d"/>
          <w:sz w:val="26"/>
          <w:szCs w:val="26"/>
          <w:rtl w:val="0"/>
        </w:rPr>
        <w:t xml:space="preserve">4.2 Specialized Endogenous Role</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GSTA3’s most notable and specialized function is its remarkably high catalytic efficiency for double-bond isomerization reactions.</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This activity distinguishes it from the broader detoxification roles of many other GSTs. Specifically, GSTA3 efficiently catalyzes the isomerization of delta(5)-androstene-3,17-dione and delta(5)-pregnene-3,20-dione.</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These are obligatory steps in the biosynthesis of steroid hormones, acting as precursors for testosterone and progesterone, respectively.</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The expression of GSTA3 in steroidogenic tissues, such as the adrenal gland and testis, is regulated by key transcription factors like steroidogenic factor 1 (SF-1), further linking its function to hormone production.</w:t>
      </w:r>
      <w:r w:rsidDel="00000000" w:rsidR="00000000" w:rsidRPr="00000000">
        <w:rPr>
          <w:color w:val="575b5f"/>
          <w:sz w:val="40"/>
          <w:szCs w:val="40"/>
          <w:highlight w:val="white"/>
          <w:vertAlign w:val="superscript"/>
          <w:rtl w:val="0"/>
        </w:rPr>
        <w:t xml:space="preserve">30</w:t>
      </w:r>
    </w:p>
    <w:p w:rsidR="00000000" w:rsidDel="00000000" w:rsidP="00000000" w:rsidRDefault="00000000" w:rsidRPr="00000000" w14:paraId="0000002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q70ejjj2y54j" w:id="14"/>
      <w:bookmarkEnd w:id="14"/>
      <w:r w:rsidDel="00000000" w:rsidR="00000000" w:rsidRPr="00000000">
        <w:rPr>
          <w:b w:val="1"/>
          <w:color w:val="1b1c1d"/>
          <w:sz w:val="26"/>
          <w:szCs w:val="26"/>
          <w:rtl w:val="0"/>
        </w:rPr>
        <w:t xml:space="preserve">4.3 Contribution to Cellular Defense</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Despite its specialized endogenous role, GSTA3 retains the fundamental, ancestral GST function of cellular defense.</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It contributes to the detoxification of various electrophilic compounds, with substantial activity against the potent carcinogen aflatoxin B1-8,9-epoxide.</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Furthermore, GSTA3 is an important component of the cellular antioxidant machinery. Its expression is regulated by the Nrf2 pathway and is upregulated in response to oxidative stress, thereby aiding in the detoxification of reactive lipid peroxidation products in tissues.</w:t>
      </w:r>
      <w:r w:rsidDel="00000000" w:rsidR="00000000" w:rsidRPr="00000000">
        <w:rPr>
          <w:color w:val="575b5f"/>
          <w:sz w:val="40"/>
          <w:szCs w:val="40"/>
          <w:highlight w:val="white"/>
          <w:vertAlign w:val="superscript"/>
          <w:rtl w:val="0"/>
        </w:rPr>
        <w:t xml:space="preserve">4</w:t>
      </w:r>
    </w:p>
    <w:p w:rsidR="00000000" w:rsidDel="00000000" w:rsidP="00000000" w:rsidRDefault="00000000" w:rsidRPr="00000000" w14:paraId="0000002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45mivacpsnxc" w:id="15"/>
      <w:bookmarkEnd w:id="15"/>
      <w:r w:rsidDel="00000000" w:rsidR="00000000" w:rsidRPr="00000000">
        <w:rPr>
          <w:b w:val="1"/>
          <w:color w:val="1b1c1d"/>
          <w:sz w:val="26"/>
          <w:szCs w:val="26"/>
          <w:rtl w:val="0"/>
        </w:rPr>
        <w:t xml:space="preserve">4.4 Disease Associations and Therapeutic Implications</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GSTA3's involvement in both detoxification and steroidogenesis has made it a subject of research in various pathologies. Elevated expression of GSTA3 has been correlated with poor prognostic outcomes in gastric cancer </w:t>
      </w:r>
      <w:r w:rsidDel="00000000" w:rsidR="00000000" w:rsidRPr="00000000">
        <w:rPr>
          <w:color w:val="575b5f"/>
          <w:sz w:val="40"/>
          <w:szCs w:val="40"/>
          <w:highlight w:val="white"/>
          <w:vertAlign w:val="superscript"/>
          <w:rtl w:val="0"/>
        </w:rPr>
        <w:t xml:space="preserve">30</w:t>
      </w:r>
      <w:r w:rsidDel="00000000" w:rsidR="00000000" w:rsidRPr="00000000">
        <w:rPr>
          <w:color w:val="1b1c1d"/>
          <w:rtl w:val="0"/>
        </w:rPr>
        <w:t xml:space="preserve">, and the gene is associated with conditions such as seminal vesicle tumors and multiple enchondromatosis.</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Conversely, in the context of renal interstitial fibrosis (RIF), GSTA3 plays a protective role. Its expression is significantly downregulated in RIF, and its overexpression has been shown to alleviate the condition by reducing reactive oxygen species production and preventing tubular epithelial-mesenchymal transition (EMT).</w:t>
      </w:r>
      <w:r w:rsidDel="00000000" w:rsidR="00000000" w:rsidRPr="00000000">
        <w:rPr>
          <w:color w:val="575b5f"/>
          <w:sz w:val="40"/>
          <w:szCs w:val="40"/>
          <w:highlight w:val="white"/>
          <w:vertAlign w:val="superscript"/>
          <w:rtl w:val="0"/>
        </w:rPr>
        <w:t xml:space="preserve">34</w:t>
      </w:r>
      <w:r w:rsidDel="00000000" w:rsidR="00000000" w:rsidRPr="00000000">
        <w:rPr>
          <w:color w:val="1b1c1d"/>
          <w:rtl w:val="0"/>
        </w:rPr>
        <w:t xml:space="preserve"> This dual nature highlights GSTA3 as a potential therapeutic target for both cancer and kidney disease.</w:t>
      </w:r>
    </w:p>
    <w:p w:rsidR="00000000" w:rsidDel="00000000" w:rsidP="00000000" w:rsidRDefault="00000000" w:rsidRPr="00000000" w14:paraId="0000002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tgumykt0kvbm" w:id="16"/>
      <w:bookmarkEnd w:id="16"/>
      <w:r w:rsidDel="00000000" w:rsidR="00000000" w:rsidRPr="00000000">
        <w:rPr>
          <w:b w:val="1"/>
          <w:color w:val="1b1c1d"/>
          <w:sz w:val="26"/>
          <w:szCs w:val="26"/>
          <w:rtl w:val="0"/>
        </w:rPr>
        <w:t xml:space="preserve">4.5 The Evolutionary Trade-off of Specialization</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GSTA3 provides a clear example of evolutionary neofunctionalization within a detoxification gene family. While the ancestral GST function is broad-based cellular defense, the duplication and subsequent mutation of the GSTA3 gene allowed it to acquire a new, highly specific, and physiologically critical role in steroidogenesis. The existence of this evolutionary pathway, where a generalist detoxification enzyme gives rise to a highly specialized catalyst, demonstrates a fundamental mechanism for expanding an organism's functional repertoire. The accumulation of specific mutations in GSTA3's active site represents a structural trade-off, prioritizing the high-efficiency catalysis of specific endogenous substrates over the broad promiscuity seen in its paralogs. This evolutionary path explains how a family of generalists can give rise to a specialized enzyme indispensable for unique physiological processes.</w:t>
      </w:r>
    </w:p>
    <w:p w:rsidR="00000000" w:rsidDel="00000000" w:rsidP="00000000" w:rsidRDefault="00000000" w:rsidRPr="00000000" w14:paraId="0000002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1qa5uvdgiws3" w:id="17"/>
      <w:bookmarkEnd w:id="17"/>
      <w:r w:rsidDel="00000000" w:rsidR="00000000" w:rsidRPr="00000000">
        <w:rPr>
          <w:b w:val="1"/>
          <w:color w:val="1b1c1d"/>
          <w:sz w:val="34"/>
          <w:szCs w:val="34"/>
          <w:rtl w:val="0"/>
        </w:rPr>
        <w:t xml:space="preserve">V. Glutathione S-transferase Theta-2B (GSTT2B): The Pseudogene with Impact</w:t>
      </w:r>
    </w:p>
    <w:p w:rsidR="00000000" w:rsidDel="00000000" w:rsidP="00000000" w:rsidRDefault="00000000" w:rsidRPr="00000000" w14:paraId="0000002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7sx4sbkncsuc" w:id="18"/>
      <w:bookmarkEnd w:id="18"/>
      <w:r w:rsidDel="00000000" w:rsidR="00000000" w:rsidRPr="00000000">
        <w:rPr>
          <w:b w:val="1"/>
          <w:color w:val="1b1c1d"/>
          <w:sz w:val="26"/>
          <w:szCs w:val="26"/>
          <w:rtl w:val="0"/>
        </w:rPr>
        <w:t xml:space="preserve">5.1 Gene and Protein Profile</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GSTT2B (HGNC: 33437) is a protein-coding gene located on human chromosome 22 at locus 22q11.23.</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 The gene's protein product is a member of the Theta class of GSTs and is nearly identical in sequence to GSTT2, sharing 55% amino acid identity with GSTT1.</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 A defining characteristic of GSTT2B is its status as a pseudogene in some human populations.</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 Genetic polymorphisms, including a 38-kilobase deletion, can result in either protein-coding or non-coding alleles.</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 The protein, when expressed, is found in the cytosol and is expressed at low levels in tissues such as the liver and lung.</w:t>
      </w:r>
      <w:r w:rsidDel="00000000" w:rsidR="00000000" w:rsidRPr="00000000">
        <w:rPr>
          <w:color w:val="575b5f"/>
          <w:sz w:val="40"/>
          <w:szCs w:val="40"/>
          <w:highlight w:val="white"/>
          <w:vertAlign w:val="superscript"/>
          <w:rtl w:val="0"/>
        </w:rPr>
        <w:t xml:space="preserve">40</w:t>
      </w:r>
    </w:p>
    <w:p w:rsidR="00000000" w:rsidDel="00000000" w:rsidP="00000000" w:rsidRDefault="00000000" w:rsidRPr="00000000" w14:paraId="0000002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fz2m0hj2jwyr" w:id="19"/>
      <w:bookmarkEnd w:id="19"/>
      <w:r w:rsidDel="00000000" w:rsidR="00000000" w:rsidRPr="00000000">
        <w:rPr>
          <w:b w:val="1"/>
          <w:color w:val="1b1c1d"/>
          <w:sz w:val="26"/>
          <w:szCs w:val="26"/>
          <w:rtl w:val="0"/>
        </w:rPr>
        <w:t xml:space="preserve">5.2 Catalytic Activity and Known Substrates</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When expressed, the GSTT2B protein functions as a glutathione S-transferase, catalyzing the conjugation of GSH to various electrophilic and hydrophobic compounds.</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 It has also been reported to have sulfatase activity.</w:t>
      </w:r>
      <w:r w:rsidDel="00000000" w:rsidR="00000000" w:rsidRPr="00000000">
        <w:rPr>
          <w:color w:val="575b5f"/>
          <w:sz w:val="40"/>
          <w:szCs w:val="40"/>
          <w:highlight w:val="white"/>
          <w:vertAlign w:val="superscript"/>
          <w:rtl w:val="0"/>
        </w:rPr>
        <w:t xml:space="preserve">40</w:t>
      </w:r>
      <w:r w:rsidDel="00000000" w:rsidR="00000000" w:rsidRPr="00000000">
        <w:rPr>
          <w:color w:val="1b1c1d"/>
          <w:rtl w:val="0"/>
        </w:rPr>
        <w:t xml:space="preserve"> However, the provided research material does not specify any particular</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i w:val="1"/>
          <w:color w:val="1b1c1d"/>
          <w:rtl w:val="0"/>
        </w:rPr>
        <w:t xml:space="preserve">in vivo</w:t>
      </w:r>
      <w:r w:rsidDel="00000000" w:rsidR="00000000" w:rsidRPr="00000000">
        <w:rPr>
          <w:color w:val="1b1c1d"/>
          <w:rtl w:val="0"/>
        </w:rPr>
        <w:t xml:space="preserve"> substrates for GSTT2B itself, highlighting a gap in the current literature and underscoring the need for more detailed biochemical characterization.</w:t>
      </w:r>
      <w:r w:rsidDel="00000000" w:rsidR="00000000" w:rsidRPr="00000000">
        <w:rPr>
          <w:color w:val="575b5f"/>
          <w:sz w:val="40"/>
          <w:szCs w:val="40"/>
          <w:highlight w:val="white"/>
          <w:vertAlign w:val="superscript"/>
          <w:rtl w:val="0"/>
        </w:rPr>
        <w:t xml:space="preserve">12</w:t>
      </w:r>
    </w:p>
    <w:p w:rsidR="00000000" w:rsidDel="00000000" w:rsidP="00000000" w:rsidRDefault="00000000" w:rsidRPr="00000000" w14:paraId="0000003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cfxsp9wvke0n" w:id="20"/>
      <w:bookmarkEnd w:id="20"/>
      <w:r w:rsidDel="00000000" w:rsidR="00000000" w:rsidRPr="00000000">
        <w:rPr>
          <w:b w:val="1"/>
          <w:color w:val="1b1c1d"/>
          <w:sz w:val="26"/>
          <w:szCs w:val="26"/>
          <w:rtl w:val="0"/>
        </w:rPr>
        <w:t xml:space="preserve">5.3 Polymorphisms and Clinical Relevance</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Despite its pseudogene status in some individuals, the presence or absence of GSTT2B, as determined by a deletion polymorphism, has been shown to have a significant clinical impact. A key finding is the association between the GSTT2B deletion polymorphism and a reduced risk of esophageal squamous cell carcinoma (OSCC) in the Mixed Ancestry South African population, suggesting a protective effect.</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 This finding is particularly important as the association was found to be independent of polymorphisms in the neighboring GSTT1 gene.</w:t>
      </w:r>
      <w:r w:rsidDel="00000000" w:rsidR="00000000" w:rsidRPr="00000000">
        <w:rPr>
          <w:color w:val="575b5f"/>
          <w:sz w:val="40"/>
          <w:szCs w:val="40"/>
          <w:highlight w:val="white"/>
          <w:vertAlign w:val="superscript"/>
          <w:rtl w:val="0"/>
        </w:rPr>
        <w:t xml:space="preserve">38</w:t>
      </w:r>
      <w:r w:rsidDel="00000000" w:rsidR="00000000" w:rsidRPr="00000000">
        <w:rPr>
          <w:color w:val="1b1c1d"/>
          <w:rtl w:val="0"/>
        </w:rPr>
        <w:t xml:space="preserve"> Conversely, the GSTT2B insertion allele has been linked to an increased risk of being small for gestational age.</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 These findings demonstrate that genetic variations in a gene often considered non-functional can have profound and measurable effects on health outcomes.</w:t>
      </w:r>
    </w:p>
    <w:p w:rsidR="00000000" w:rsidDel="00000000" w:rsidP="00000000" w:rsidRDefault="00000000" w:rsidRPr="00000000" w14:paraId="0000003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ee2ry4vsclgo" w:id="21"/>
      <w:bookmarkEnd w:id="21"/>
      <w:r w:rsidDel="00000000" w:rsidR="00000000" w:rsidRPr="00000000">
        <w:rPr>
          <w:b w:val="1"/>
          <w:color w:val="1b1c1d"/>
          <w:sz w:val="26"/>
          <w:szCs w:val="26"/>
          <w:rtl w:val="0"/>
        </w:rPr>
        <w:t xml:space="preserve">5.4 The Paradox of the Pseudogene's Influence</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clinical data on GSTT2B presents a profound challenge to the traditional, simplistic view of pseudogenes as inert genomic relics. The fact that the presence or absence of this gene can have a statistically significant effect on an individual's susceptibility to diseases like cancer and adverse gestational outcomes suggests that its influence is not tied to a simple loss of enzymatic function. Instead, the effects are likely mediated through a more complex regulatory mechanism. The deletion of the GSTT2B gene may alter the local genomic landscape, potentially affecting the expression of nearby functional genes or regulatory elements. This highlights the importance of studying the entire genome, including non-coding regions and pseudogenes, to fully understand the genetic basis of human health and disease. It demonstrates that the biological role of a gene cannot be assumed from its coding status alone.</w:t>
      </w:r>
    </w:p>
    <w:p w:rsidR="00000000" w:rsidDel="00000000" w:rsidP="00000000" w:rsidRDefault="00000000" w:rsidRPr="00000000" w14:paraId="0000003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qbg6xd1dux7e" w:id="22"/>
      <w:bookmarkEnd w:id="22"/>
      <w:r w:rsidDel="00000000" w:rsidR="00000000" w:rsidRPr="00000000">
        <w:rPr>
          <w:b w:val="1"/>
          <w:color w:val="1b1c1d"/>
          <w:sz w:val="34"/>
          <w:szCs w:val="34"/>
          <w:rtl w:val="0"/>
        </w:rPr>
        <w:t xml:space="preserve">VI. Comparative and Integrative Analysis</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report has detailed the shared and unique characteristics of three key GST isozymes. Their collective analysis reveals broader principles that govern the evolution and function of this vital protein superfamily.</w:t>
      </w:r>
    </w:p>
    <w:p w:rsidR="00000000" w:rsidDel="00000000" w:rsidP="00000000" w:rsidRDefault="00000000" w:rsidRPr="00000000" w14:paraId="0000003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bj4bt558n7w8" w:id="23"/>
      <w:bookmarkEnd w:id="23"/>
      <w:r w:rsidDel="00000000" w:rsidR="00000000" w:rsidRPr="00000000">
        <w:rPr>
          <w:b w:val="1"/>
          <w:color w:val="1b1c1d"/>
          <w:sz w:val="26"/>
          <w:szCs w:val="26"/>
          <w:rtl w:val="0"/>
        </w:rPr>
        <w:t xml:space="preserve">6.1 Structural and Functional Divergence of Alpha and Theta Classes</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While the Alpha- and Theta-class GSTs share the same ancestral two-domain fold, their catalytic mechanisms are rooted in a fundamental structural difference. Alpha-class GSTs, which include GSTA1 and GSTA3, rely on a conserved tyrosine residue at their active site to activate glutathione for catalysis. This tyrosine facilitates the formation of a thiolate anion, which then performs the nucleophilic attack on the substrate.</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In stark contrast, the Theta-class GSTs, such as GSTT2B, utilize a different active site residue—a serine or cysteine—to perform the same catalytic function.</w:t>
      </w:r>
      <w:r w:rsidDel="00000000" w:rsidR="00000000" w:rsidRPr="00000000">
        <w:rPr>
          <w:color w:val="575b5f"/>
          <w:sz w:val="40"/>
          <w:szCs w:val="40"/>
          <w:highlight w:val="white"/>
          <w:vertAlign w:val="superscript"/>
          <w:rtl w:val="0"/>
        </w:rPr>
        <w:t xml:space="preserve">41</w:t>
      </w:r>
      <w:r w:rsidDel="00000000" w:rsidR="00000000" w:rsidRPr="00000000">
        <w:rPr>
          <w:color w:val="1b1c1d"/>
          <w:rtl w:val="0"/>
        </w:rPr>
        <w:t xml:space="preserve"> This divergence in the critical catalytic residue dictates a different mode of glutathione activation, which is a core theme that distinguishes the two major subgroups of cytosolic GSTs and ultimately governs their unique substrate preferences and functional profiles.</w:t>
      </w:r>
    </w:p>
    <w:p w:rsidR="00000000" w:rsidDel="00000000" w:rsidP="00000000" w:rsidRDefault="00000000" w:rsidRPr="00000000" w14:paraId="0000003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dbm8u0xjy3cj" w:id="24"/>
      <w:bookmarkEnd w:id="24"/>
      <w:r w:rsidDel="00000000" w:rsidR="00000000" w:rsidRPr="00000000">
        <w:rPr>
          <w:b w:val="1"/>
          <w:color w:val="1b1c1d"/>
          <w:sz w:val="26"/>
          <w:szCs w:val="26"/>
          <w:rtl w:val="0"/>
        </w:rPr>
        <w:t xml:space="preserve">6.2 Shared and Divergent Biological Pathways</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All three enzymes participate in the core metabolic processes of glutathione conjugation and xenobiotic metabolism, performing their essential functions within the cytosol.</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However, within this shared framework, their roles diverge significantly. GSTA1 maintains a broad, promiscuous detoxification profile, acting as a generalist defense against a vast array of compounds. GSTA3, while retaining a role in detoxification, has evolved a highly specialized, essential function in hormone biosynthesis, a pathway entirely separate from general detoxification. GSTT2B, while part of the same superfamily, is clinically notable not for a well-defined enzymatic function but for the profound impact of its genetic polymorphisms, a factor external to its catalytic activity. This partitioning of function, where a conserved ancestral role is complemented by new, specialized activities, showcases the evolutionary adaptability of the GST superfamily to meet complex physiological demands.</w:t>
      </w:r>
    </w:p>
    <w:p w:rsidR="00000000" w:rsidDel="00000000" w:rsidP="00000000" w:rsidRDefault="00000000" w:rsidRPr="00000000" w14:paraId="0000003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3mu6qt3ex4qf" w:id="25"/>
      <w:bookmarkEnd w:id="25"/>
      <w:r w:rsidDel="00000000" w:rsidR="00000000" w:rsidRPr="00000000">
        <w:rPr>
          <w:b w:val="1"/>
          <w:color w:val="1b1c1d"/>
          <w:sz w:val="26"/>
          <w:szCs w:val="26"/>
          <w:rtl w:val="0"/>
        </w:rPr>
        <w:t xml:space="preserve">Table 1: Key Characteristics and Genomic Data</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4.1935483870968"/>
        <w:gridCol w:w="1080"/>
        <w:gridCol w:w="1021.9354838709677"/>
        <w:gridCol w:w="1416.7741935483873"/>
        <w:gridCol w:w="1219.3548387096776"/>
        <w:gridCol w:w="1347.0967741935485"/>
        <w:gridCol w:w="1172.9032258064515"/>
        <w:gridCol w:w="847.7419354838709"/>
        <w:tblGridChange w:id="0">
          <w:tblGrid>
            <w:gridCol w:w="1254.1935483870968"/>
            <w:gridCol w:w="1080"/>
            <w:gridCol w:w="1021.9354838709677"/>
            <w:gridCol w:w="1416.7741935483873"/>
            <w:gridCol w:w="1219.3548387096776"/>
            <w:gridCol w:w="1347.0967741935485"/>
            <w:gridCol w:w="1172.9032258064515"/>
            <w:gridCol w:w="847.7419354838709"/>
          </w:tblGrid>
        </w:tblGridChange>
      </w:tblGrid>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spacing w:after="480" w:lineRule="auto"/>
              <w:rPr>
                <w:color w:val="1b1c1d"/>
              </w:rPr>
            </w:pPr>
            <w:r w:rsidDel="00000000" w:rsidR="00000000" w:rsidRPr="00000000">
              <w:rPr>
                <w:color w:val="1b1c1d"/>
                <w:rtl w:val="0"/>
              </w:rPr>
              <w:t xml:space="preserve">Protein Name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spacing w:after="480" w:lineRule="auto"/>
              <w:rPr>
                <w:color w:val="1b1c1d"/>
              </w:rPr>
            </w:pPr>
            <w:r w:rsidDel="00000000" w:rsidR="00000000" w:rsidRPr="00000000">
              <w:rPr>
                <w:color w:val="1b1c1d"/>
                <w:rtl w:val="0"/>
              </w:rPr>
              <w:t xml:space="preserve">Aliases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spacing w:after="480" w:lineRule="auto"/>
              <w:rPr>
                <w:color w:val="1b1c1d"/>
              </w:rPr>
            </w:pPr>
            <w:r w:rsidDel="00000000" w:rsidR="00000000" w:rsidRPr="00000000">
              <w:rPr>
                <w:color w:val="1b1c1d"/>
                <w:rtl w:val="0"/>
              </w:rPr>
              <w:t xml:space="preserve">Gene Name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spacing w:after="480" w:lineRule="auto"/>
              <w:rPr>
                <w:color w:val="1b1c1d"/>
              </w:rPr>
            </w:pPr>
            <w:r w:rsidDel="00000000" w:rsidR="00000000" w:rsidRPr="00000000">
              <w:rPr>
                <w:color w:val="1b1c1d"/>
                <w:rtl w:val="0"/>
              </w:rPr>
              <w:t xml:space="preserve">Chromosome Location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spacing w:after="480" w:lineRule="auto"/>
              <w:rPr>
                <w:color w:val="1b1c1d"/>
              </w:rPr>
            </w:pPr>
            <w:r w:rsidDel="00000000" w:rsidR="00000000" w:rsidRPr="00000000">
              <w:rPr>
                <w:color w:val="1b1c1d"/>
                <w:rtl w:val="0"/>
              </w:rPr>
              <w:t xml:space="preserve">Protein Size (Amino Acids)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spacing w:after="480" w:lineRule="auto"/>
              <w:rPr>
                <w:color w:val="1b1c1d"/>
              </w:rPr>
            </w:pPr>
            <w:r w:rsidDel="00000000" w:rsidR="00000000" w:rsidRPr="00000000">
              <w:rPr>
                <w:color w:val="1b1c1d"/>
                <w:rtl w:val="0"/>
              </w:rPr>
              <w:t xml:space="preserve">Pseudogene Status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spacing w:after="480" w:lineRule="auto"/>
              <w:rPr>
                <w:color w:val="1b1c1d"/>
              </w:rPr>
            </w:pPr>
            <w:r w:rsidDel="00000000" w:rsidR="00000000" w:rsidRPr="00000000">
              <w:rPr>
                <w:color w:val="1b1c1d"/>
                <w:rtl w:val="0"/>
              </w:rPr>
              <w:t xml:space="preserve">UniProtKB ID</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spacing w:after="480" w:lineRule="auto"/>
              <w:rPr>
                <w:color w:val="1b1c1d"/>
              </w:rPr>
            </w:pPr>
            <w:r w:rsidDel="00000000" w:rsidR="00000000" w:rsidRPr="00000000">
              <w:rPr>
                <w:color w:val="1b1c1d"/>
                <w:rtl w:val="0"/>
              </w:rPr>
              <w:t xml:space="preserve">HGNC ID</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spacing w:after="480" w:lineRule="auto"/>
              <w:rPr>
                <w:color w:val="1b1c1d"/>
              </w:rPr>
            </w:pPr>
            <w:r w:rsidDel="00000000" w:rsidR="00000000" w:rsidRPr="00000000">
              <w:rPr>
                <w:color w:val="1b1c1d"/>
                <w:rtl w:val="0"/>
              </w:rPr>
              <w:t xml:space="preserve">Glutathione S-transferase A1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spacing w:after="480" w:lineRule="auto"/>
              <w:rPr>
                <w:color w:val="1b1c1d"/>
              </w:rPr>
            </w:pPr>
            <w:r w:rsidDel="00000000" w:rsidR="00000000" w:rsidRPr="00000000">
              <w:rPr>
                <w:color w:val="1b1c1d"/>
                <w:rtl w:val="0"/>
              </w:rPr>
              <w:t xml:space="preserve">GST alpha-1, GST HA subunit 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spacing w:after="480" w:lineRule="auto"/>
              <w:rPr>
                <w:color w:val="1b1c1d"/>
              </w:rPr>
            </w:pPr>
            <w:r w:rsidDel="00000000" w:rsidR="00000000" w:rsidRPr="00000000">
              <w:rPr>
                <w:color w:val="1b1c1d"/>
                <w:rtl w:val="0"/>
              </w:rPr>
              <w:t xml:space="preserve">GSTA1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spacing w:after="480" w:lineRule="auto"/>
              <w:rPr>
                <w:color w:val="1b1c1d"/>
              </w:rPr>
            </w:pPr>
            <w:r w:rsidDel="00000000" w:rsidR="00000000" w:rsidRPr="00000000">
              <w:rPr>
                <w:color w:val="1b1c1d"/>
                <w:rtl w:val="0"/>
              </w:rPr>
              <w:t xml:space="preserve">6</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spacing w:after="480" w:lineRule="auto"/>
              <w:rPr>
                <w:color w:val="1b1c1d"/>
              </w:rPr>
            </w:pPr>
            <w:r w:rsidDel="00000000" w:rsidR="00000000" w:rsidRPr="00000000">
              <w:rPr>
                <w:color w:val="1b1c1d"/>
                <w:rtl w:val="0"/>
              </w:rPr>
              <w:t xml:space="preserve">222 (221 processed)</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spacing w:after="480" w:lineRule="auto"/>
              <w:rPr>
                <w:color w:val="1b1c1d"/>
              </w:rPr>
            </w:pPr>
            <w:r w:rsidDel="00000000" w:rsidR="00000000" w:rsidRPr="00000000">
              <w:rPr>
                <w:color w:val="1b1c1d"/>
                <w:rtl w:val="0"/>
              </w:rPr>
              <w:t xml:space="preserve">No</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spacing w:after="480" w:lineRule="auto"/>
              <w:rPr>
                <w:color w:val="1b1c1d"/>
              </w:rPr>
            </w:pPr>
            <w:r w:rsidDel="00000000" w:rsidR="00000000" w:rsidRPr="00000000">
              <w:rPr>
                <w:color w:val="1b1c1d"/>
                <w:rtl w:val="0"/>
              </w:rPr>
              <w:t xml:space="preserve">P08263</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spacing w:after="480" w:lineRule="auto"/>
              <w:rPr>
                <w:color w:val="1b1c1d"/>
              </w:rPr>
            </w:pPr>
            <w:r w:rsidDel="00000000" w:rsidR="00000000" w:rsidRPr="00000000">
              <w:rPr>
                <w:color w:val="1b1c1d"/>
                <w:rtl w:val="0"/>
              </w:rPr>
              <w:t xml:space="preserve">4618</w:t>
            </w:r>
          </w:p>
        </w:tc>
      </w:tr>
      <w:tr>
        <w:trPr>
          <w:cantSplit w:val="0"/>
          <w:trHeight w:val="16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spacing w:after="480" w:lineRule="auto"/>
              <w:rPr>
                <w:color w:val="1b1c1d"/>
              </w:rPr>
            </w:pPr>
            <w:r w:rsidDel="00000000" w:rsidR="00000000" w:rsidRPr="00000000">
              <w:rPr>
                <w:color w:val="1b1c1d"/>
                <w:rtl w:val="0"/>
              </w:rPr>
              <w:t xml:space="preserve">Glutathione S-transferase A3</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spacing w:after="480" w:lineRule="auto"/>
              <w:rPr>
                <w:color w:val="1b1c1d"/>
              </w:rPr>
            </w:pPr>
            <w:r w:rsidDel="00000000" w:rsidR="00000000" w:rsidRPr="00000000">
              <w:rPr>
                <w:color w:val="1b1c1d"/>
                <w:rtl w:val="0"/>
              </w:rPr>
              <w:t xml:space="preserve">GST class-alpha member 3</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spacing w:after="480" w:lineRule="auto"/>
              <w:rPr>
                <w:color w:val="1b1c1d"/>
              </w:rPr>
            </w:pPr>
            <w:r w:rsidDel="00000000" w:rsidR="00000000" w:rsidRPr="00000000">
              <w:rPr>
                <w:color w:val="1b1c1d"/>
                <w:rtl w:val="0"/>
              </w:rPr>
              <w:t xml:space="preserve">GSTA3</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spacing w:after="480" w:lineRule="auto"/>
              <w:rPr>
                <w:color w:val="1b1c1d"/>
              </w:rPr>
            </w:pPr>
            <w:r w:rsidDel="00000000" w:rsidR="00000000" w:rsidRPr="00000000">
              <w:rPr>
                <w:color w:val="1b1c1d"/>
                <w:rtl w:val="0"/>
              </w:rPr>
              <w:t xml:space="preserve">6</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spacing w:after="480" w:lineRule="auto"/>
              <w:rPr>
                <w:color w:val="1b1c1d"/>
              </w:rPr>
            </w:pPr>
            <w:r w:rsidDel="00000000" w:rsidR="00000000" w:rsidRPr="00000000">
              <w:rPr>
                <w:color w:val="1b1c1d"/>
                <w:rtl w:val="0"/>
              </w:rPr>
              <w:t xml:space="preserve">222</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spacing w:after="480" w:lineRule="auto"/>
              <w:rPr>
                <w:color w:val="1b1c1d"/>
              </w:rPr>
            </w:pPr>
            <w:r w:rsidDel="00000000" w:rsidR="00000000" w:rsidRPr="00000000">
              <w:rPr>
                <w:color w:val="1b1c1d"/>
                <w:rtl w:val="0"/>
              </w:rPr>
              <w:t xml:space="preserve">No</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spacing w:after="480" w:lineRule="auto"/>
              <w:rPr>
                <w:color w:val="1b1c1d"/>
              </w:rPr>
            </w:pPr>
            <w:r w:rsidDel="00000000" w:rsidR="00000000" w:rsidRPr="00000000">
              <w:rPr>
                <w:color w:val="1b1c1d"/>
                <w:rtl w:val="0"/>
              </w:rPr>
              <w:t xml:space="preserve">Q16772</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spacing w:after="480" w:lineRule="auto"/>
              <w:rPr>
                <w:color w:val="1b1c1d"/>
              </w:rPr>
            </w:pPr>
            <w:r w:rsidDel="00000000" w:rsidR="00000000" w:rsidRPr="00000000">
              <w:rPr>
                <w:color w:val="1b1c1d"/>
                <w:rtl w:val="0"/>
              </w:rPr>
              <w:t xml:space="preserve">4620</w:t>
            </w:r>
          </w:p>
        </w:tc>
      </w:tr>
      <w:tr>
        <w:trPr>
          <w:cantSplit w:val="0"/>
          <w:trHeight w:val="16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spacing w:after="480" w:lineRule="auto"/>
              <w:rPr>
                <w:color w:val="1b1c1d"/>
              </w:rPr>
            </w:pPr>
            <w:r w:rsidDel="00000000" w:rsidR="00000000" w:rsidRPr="00000000">
              <w:rPr>
                <w:color w:val="1b1c1d"/>
                <w:rtl w:val="0"/>
              </w:rPr>
              <w:t xml:space="preserve">Glutathione S-transferase Theta-2B</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spacing w:after="480" w:lineRule="auto"/>
              <w:rPr>
                <w:color w:val="1b1c1d"/>
              </w:rPr>
            </w:pPr>
            <w:r w:rsidDel="00000000" w:rsidR="00000000" w:rsidRPr="00000000">
              <w:rPr>
                <w:color w:val="1b1c1d"/>
                <w:rtl w:val="0"/>
              </w:rPr>
              <w:t xml:space="preserve">GSTT2B, GSTT2P, GST class-theta-2</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spacing w:after="480" w:lineRule="auto"/>
              <w:rPr>
                <w:color w:val="1b1c1d"/>
              </w:rPr>
            </w:pPr>
            <w:r w:rsidDel="00000000" w:rsidR="00000000" w:rsidRPr="00000000">
              <w:rPr>
                <w:color w:val="1b1c1d"/>
                <w:rtl w:val="0"/>
              </w:rPr>
              <w:t xml:space="preserve">GSTT2B</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spacing w:after="480" w:lineRule="auto"/>
              <w:rPr>
                <w:color w:val="1b1c1d"/>
              </w:rPr>
            </w:pPr>
            <w:r w:rsidDel="00000000" w:rsidR="00000000" w:rsidRPr="00000000">
              <w:rPr>
                <w:color w:val="1b1c1d"/>
                <w:rtl w:val="0"/>
              </w:rPr>
              <w:t xml:space="preserve">22q11.23</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spacing w:after="480" w:lineRule="auto"/>
              <w:rPr>
                <w:color w:val="1b1c1d"/>
              </w:rPr>
            </w:pPr>
            <w:r w:rsidDel="00000000" w:rsidR="00000000" w:rsidRPr="00000000">
              <w:rPr>
                <w:color w:val="1b1c1d"/>
                <w:rtl w:val="0"/>
              </w:rPr>
              <w:t xml:space="preserve">244 (Transcript 1), 230 (Transcript 2)</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spacing w:after="480" w:lineRule="auto"/>
              <w:rPr>
                <w:color w:val="1b1c1d"/>
              </w:rPr>
            </w:pPr>
            <w:r w:rsidDel="00000000" w:rsidR="00000000" w:rsidRPr="00000000">
              <w:rPr>
                <w:color w:val="1b1c1d"/>
                <w:rtl w:val="0"/>
              </w:rPr>
              <w:t xml:space="preserve">Pseudogene in some populations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spacing w:after="480" w:lineRule="auto"/>
              <w:rPr>
                <w:color w:val="1b1c1d"/>
              </w:rPr>
            </w:pPr>
            <w:r w:rsidDel="00000000" w:rsidR="00000000" w:rsidRPr="00000000">
              <w:rPr>
                <w:color w:val="1b1c1d"/>
                <w:rtl w:val="0"/>
              </w:rPr>
              <w:t xml:space="preserve">P0CG30</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spacing w:after="480" w:lineRule="auto"/>
              <w:rPr>
                <w:color w:val="1b1c1d"/>
              </w:rPr>
            </w:pPr>
            <w:r w:rsidDel="00000000" w:rsidR="00000000" w:rsidRPr="00000000">
              <w:rPr>
                <w:color w:val="1b1c1d"/>
                <w:rtl w:val="0"/>
              </w:rPr>
              <w:t xml:space="preserve">33437</w:t>
            </w:r>
          </w:p>
        </w:tc>
      </w:tr>
    </w:tbl>
    <w:p w:rsidR="00000000" w:rsidDel="00000000" w:rsidP="00000000" w:rsidRDefault="00000000" w:rsidRPr="00000000" w14:paraId="0000005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jxljfn5ptzb6" w:id="26"/>
      <w:bookmarkEnd w:id="26"/>
      <w:r w:rsidDel="00000000" w:rsidR="00000000" w:rsidRPr="00000000">
        <w:rPr>
          <w:b w:val="1"/>
          <w:color w:val="1b1c1d"/>
          <w:sz w:val="26"/>
          <w:szCs w:val="26"/>
          <w:rtl w:val="0"/>
        </w:rPr>
        <w:t xml:space="preserve">Table 2: Substrate and Catalytic Activity Profile</w:t>
      </w:r>
    </w:p>
    <w:tbl>
      <w:tblPr>
        <w:tblStyle w:val="Table2"/>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1815"/>
        <w:gridCol w:w="1890"/>
        <w:gridCol w:w="2010"/>
        <w:gridCol w:w="2010"/>
        <w:tblGridChange w:id="0">
          <w:tblGrid>
            <w:gridCol w:w="1335"/>
            <w:gridCol w:w="1815"/>
            <w:gridCol w:w="1890"/>
            <w:gridCol w:w="2010"/>
            <w:gridCol w:w="2010"/>
          </w:tblGrid>
        </w:tblGridChange>
      </w:tblGrid>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spacing w:after="480" w:lineRule="auto"/>
              <w:rPr>
                <w:color w:val="1b1c1d"/>
              </w:rPr>
            </w:pPr>
            <w:r w:rsidDel="00000000" w:rsidR="00000000" w:rsidRPr="00000000">
              <w:rPr>
                <w:color w:val="1b1c1d"/>
                <w:rtl w:val="0"/>
              </w:rPr>
              <w:t xml:space="preserve">Protein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spacing w:after="480" w:lineRule="auto"/>
              <w:rPr>
                <w:color w:val="1b1c1d"/>
              </w:rPr>
            </w:pPr>
            <w:r w:rsidDel="00000000" w:rsidR="00000000" w:rsidRPr="00000000">
              <w:rPr>
                <w:color w:val="1b1c1d"/>
                <w:rtl w:val="0"/>
              </w:rPr>
              <w:t xml:space="preserve">Primary Catalytic Activity</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spacing w:after="480" w:lineRule="auto"/>
              <w:rPr>
                <w:color w:val="1b1c1d"/>
              </w:rPr>
            </w:pPr>
            <w:r w:rsidDel="00000000" w:rsidR="00000000" w:rsidRPr="00000000">
              <w:rPr>
                <w:color w:val="1b1c1d"/>
                <w:rtl w:val="0"/>
              </w:rPr>
              <w:t xml:space="preserve">Secondary Catalytic Activities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spacing w:after="480" w:lineRule="auto"/>
              <w:rPr>
                <w:color w:val="1b1c1d"/>
              </w:rPr>
            </w:pPr>
            <w:r w:rsidDel="00000000" w:rsidR="00000000" w:rsidRPr="00000000">
              <w:rPr>
                <w:color w:val="1b1c1d"/>
                <w:rtl w:val="0"/>
              </w:rPr>
              <w:t xml:space="preserve">Representative Exogenous Substrates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spacing w:after="480" w:lineRule="auto"/>
              <w:rPr>
                <w:color w:val="1b1c1d"/>
              </w:rPr>
            </w:pPr>
            <w:r w:rsidDel="00000000" w:rsidR="00000000" w:rsidRPr="00000000">
              <w:rPr>
                <w:color w:val="1b1c1d"/>
                <w:rtl w:val="0"/>
              </w:rPr>
              <w:t xml:space="preserve">Representative Endogenous Substrates</w:t>
            </w:r>
          </w:p>
        </w:tc>
      </w:tr>
      <w:tr>
        <w:trPr>
          <w:cantSplit w:val="0"/>
          <w:trHeight w:val="192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spacing w:after="480" w:lineRule="auto"/>
              <w:rPr>
                <w:color w:val="1b1c1d"/>
              </w:rPr>
            </w:pPr>
            <w:r w:rsidDel="00000000" w:rsidR="00000000" w:rsidRPr="00000000">
              <w:rPr>
                <w:b w:val="1"/>
                <w:color w:val="1b1c1d"/>
                <w:rtl w:val="0"/>
              </w:rPr>
              <w:t xml:space="preserve">GSTA1</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spacing w:after="480" w:lineRule="auto"/>
              <w:rPr>
                <w:color w:val="1b1c1d"/>
              </w:rPr>
            </w:pPr>
            <w:r w:rsidDel="00000000" w:rsidR="00000000" w:rsidRPr="00000000">
              <w:rPr>
                <w:color w:val="1b1c1d"/>
                <w:rtl w:val="0"/>
              </w:rPr>
              <w:t xml:space="preserve">Glutathione conjugation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spacing w:after="480" w:lineRule="auto"/>
              <w:rPr>
                <w:color w:val="1b1c1d"/>
              </w:rPr>
            </w:pPr>
            <w:r w:rsidDel="00000000" w:rsidR="00000000" w:rsidRPr="00000000">
              <w:rPr>
                <w:color w:val="1b1c1d"/>
                <w:rtl w:val="0"/>
              </w:rPr>
              <w:t xml:space="preserve">Isomerization, Peroxidase activity</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spacing w:after="480" w:lineRule="auto"/>
              <w:rPr>
                <w:color w:val="1b1c1d"/>
              </w:rPr>
            </w:pPr>
            <w:r w:rsidDel="00000000" w:rsidR="00000000" w:rsidRPr="00000000">
              <w:rPr>
                <w:color w:val="1b1c1d"/>
                <w:rtl w:val="0"/>
              </w:rPr>
              <w:t xml:space="preserve">Cisplatin, Chlorambucil, Azathioprine, Busulfan, Aflatoxin B1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spacing w:after="480" w:lineRule="auto"/>
              <w:rPr>
                <w:color w:val="1b1c1d"/>
              </w:rPr>
            </w:pPr>
            <w:r w:rsidDel="00000000" w:rsidR="00000000" w:rsidRPr="00000000">
              <w:rPr>
                <w:color w:val="1b1c1d"/>
                <w:rtl w:val="0"/>
              </w:rPr>
              <w:t xml:space="preserve">Prostaglandins (PGA2, PGJ2), D5-androstene-3,17-dione, 13-HPODE</w:t>
            </w:r>
          </w:p>
        </w:tc>
      </w:tr>
      <w:tr>
        <w:trPr>
          <w:cantSplit w:val="0"/>
          <w:trHeight w:val="16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spacing w:after="480" w:lineRule="auto"/>
              <w:rPr>
                <w:color w:val="1b1c1d"/>
              </w:rPr>
            </w:pPr>
            <w:r w:rsidDel="00000000" w:rsidR="00000000" w:rsidRPr="00000000">
              <w:rPr>
                <w:b w:val="1"/>
                <w:color w:val="1b1c1d"/>
                <w:rtl w:val="0"/>
              </w:rPr>
              <w:t xml:space="preserve">GSTA3</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spacing w:after="480" w:lineRule="auto"/>
              <w:rPr>
                <w:color w:val="1b1c1d"/>
              </w:rPr>
            </w:pPr>
            <w:r w:rsidDel="00000000" w:rsidR="00000000" w:rsidRPr="00000000">
              <w:rPr>
                <w:color w:val="1b1c1d"/>
                <w:rtl w:val="0"/>
              </w:rPr>
              <w:t xml:space="preserve">Isomerization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spacing w:after="480" w:lineRule="auto"/>
              <w:rPr>
                <w:color w:val="1b1c1d"/>
              </w:rPr>
            </w:pPr>
            <w:r w:rsidDel="00000000" w:rsidR="00000000" w:rsidRPr="00000000">
              <w:rPr>
                <w:color w:val="1b1c1d"/>
                <w:rtl w:val="0"/>
              </w:rPr>
              <w:t xml:space="preserve">Glutathione conjugation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spacing w:after="480" w:lineRule="auto"/>
              <w:rPr>
                <w:color w:val="1b1c1d"/>
              </w:rPr>
            </w:pPr>
            <w:r w:rsidDel="00000000" w:rsidR="00000000" w:rsidRPr="00000000">
              <w:rPr>
                <w:color w:val="1b1c1d"/>
                <w:rtl w:val="0"/>
              </w:rPr>
              <w:t xml:space="preserve">Aflatoxin B1-8,9-epoxide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spacing w:after="480" w:lineRule="auto"/>
              <w:rPr>
                <w:color w:val="1b1c1d"/>
              </w:rPr>
            </w:pPr>
            <w:r w:rsidDel="00000000" w:rsidR="00000000" w:rsidRPr="00000000">
              <w:rPr>
                <w:color w:val="1b1c1d"/>
                <w:rtl w:val="0"/>
              </w:rPr>
              <w:t xml:space="preserve">D5-androstene-3,17-dione, D5-pregnene-3,20-dione</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spacing w:after="480" w:lineRule="auto"/>
              <w:rPr>
                <w:color w:val="1b1c1d"/>
              </w:rPr>
            </w:pPr>
            <w:r w:rsidDel="00000000" w:rsidR="00000000" w:rsidRPr="00000000">
              <w:rPr>
                <w:b w:val="1"/>
                <w:color w:val="1b1c1d"/>
                <w:rtl w:val="0"/>
              </w:rPr>
              <w:t xml:space="preserve">GSTT2B</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spacing w:after="480" w:lineRule="auto"/>
              <w:rPr>
                <w:color w:val="1b1c1d"/>
              </w:rPr>
            </w:pPr>
            <w:r w:rsidDel="00000000" w:rsidR="00000000" w:rsidRPr="00000000">
              <w:rPr>
                <w:color w:val="1b1c1d"/>
                <w:rtl w:val="0"/>
              </w:rPr>
              <w:t xml:space="preserve">Glutathione conjugation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spacing w:after="480" w:lineRule="auto"/>
              <w:rPr>
                <w:color w:val="1b1c1d"/>
              </w:rPr>
            </w:pPr>
            <w:r w:rsidDel="00000000" w:rsidR="00000000" w:rsidRPr="00000000">
              <w:rPr>
                <w:color w:val="1b1c1d"/>
                <w:rtl w:val="0"/>
              </w:rPr>
              <w:t xml:space="preserve">Sulfatase activity</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spacing w:after="480" w:lineRule="auto"/>
              <w:rPr>
                <w:color w:val="1b1c1d"/>
              </w:rPr>
            </w:pPr>
            <w:r w:rsidDel="00000000" w:rsidR="00000000" w:rsidRPr="00000000">
              <w:rPr>
                <w:color w:val="1b1c1d"/>
                <w:rtl w:val="0"/>
              </w:rPr>
              <w:t xml:space="preserve">Not explicitly specified</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spacing w:after="480" w:lineRule="auto"/>
              <w:rPr>
                <w:color w:val="1b1c1d"/>
              </w:rPr>
            </w:pPr>
            <w:r w:rsidDel="00000000" w:rsidR="00000000" w:rsidRPr="00000000">
              <w:rPr>
                <w:color w:val="1b1c1d"/>
                <w:rtl w:val="0"/>
              </w:rPr>
              <w:t xml:space="preserve">Not explicitly specified</w:t>
            </w:r>
          </w:p>
        </w:tc>
      </w:tr>
    </w:tbl>
    <w:p w:rsidR="00000000" w:rsidDel="00000000" w:rsidP="00000000" w:rsidRDefault="00000000" w:rsidRPr="00000000" w14:paraId="0000007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y0d2f1geq4gn" w:id="27"/>
      <w:bookmarkEnd w:id="27"/>
      <w:r w:rsidDel="00000000" w:rsidR="00000000" w:rsidRPr="00000000">
        <w:rPr>
          <w:b w:val="1"/>
          <w:color w:val="1b1c1d"/>
          <w:sz w:val="26"/>
          <w:szCs w:val="26"/>
          <w:rtl w:val="0"/>
        </w:rPr>
        <w:t xml:space="preserve">Table 3: Clinical Associations and Polymorphisms</w:t>
      </w:r>
    </w:p>
    <w:tbl>
      <w:tblPr>
        <w:tblStyle w:val="Table3"/>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2655"/>
        <w:gridCol w:w="1680"/>
        <w:gridCol w:w="3315"/>
        <w:tblGridChange w:id="0">
          <w:tblGrid>
            <w:gridCol w:w="1335"/>
            <w:gridCol w:w="2655"/>
            <w:gridCol w:w="1680"/>
            <w:gridCol w:w="3315"/>
          </w:tblGrid>
        </w:tblGridChange>
      </w:tblGrid>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spacing w:after="480" w:lineRule="auto"/>
              <w:rPr>
                <w:color w:val="1b1c1d"/>
              </w:rPr>
            </w:pPr>
            <w:r w:rsidDel="00000000" w:rsidR="00000000" w:rsidRPr="00000000">
              <w:rPr>
                <w:color w:val="1b1c1d"/>
                <w:rtl w:val="0"/>
              </w:rPr>
              <w:t xml:space="preserve">Protein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spacing w:after="480" w:lineRule="auto"/>
              <w:rPr>
                <w:color w:val="1b1c1d"/>
              </w:rPr>
            </w:pPr>
            <w:r w:rsidDel="00000000" w:rsidR="00000000" w:rsidRPr="00000000">
              <w:rPr>
                <w:color w:val="1b1c1d"/>
                <w:rtl w:val="0"/>
              </w:rPr>
              <w:t xml:space="preserve">Associated Diseases/Conditions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spacing w:after="480" w:lineRule="auto"/>
              <w:rPr>
                <w:color w:val="1b1c1d"/>
              </w:rPr>
            </w:pPr>
            <w:r w:rsidDel="00000000" w:rsidR="00000000" w:rsidRPr="00000000">
              <w:rPr>
                <w:color w:val="1b1c1d"/>
                <w:rtl w:val="0"/>
              </w:rPr>
              <w:t xml:space="preserve">Drug Resistance (Specific Drugs)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spacing w:after="480" w:lineRule="auto"/>
              <w:rPr>
                <w:color w:val="1b1c1d"/>
              </w:rPr>
            </w:pPr>
            <w:r w:rsidDel="00000000" w:rsidR="00000000" w:rsidRPr="00000000">
              <w:rPr>
                <w:color w:val="1b1c1d"/>
                <w:rtl w:val="0"/>
              </w:rPr>
              <w:t xml:space="preserve">Relevant Polymorphisms/Genotypes</w:t>
            </w:r>
          </w:p>
        </w:tc>
      </w:tr>
      <w:tr>
        <w:trPr>
          <w:cantSplit w:val="0"/>
          <w:trHeight w:val="220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spacing w:after="480" w:lineRule="auto"/>
              <w:rPr>
                <w:color w:val="1b1c1d"/>
              </w:rPr>
            </w:pPr>
            <w:r w:rsidDel="00000000" w:rsidR="00000000" w:rsidRPr="00000000">
              <w:rPr>
                <w:b w:val="1"/>
                <w:color w:val="1b1c1d"/>
                <w:rtl w:val="0"/>
              </w:rPr>
              <w:t xml:space="preserve">GSTA1</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spacing w:after="480" w:lineRule="auto"/>
              <w:rPr>
                <w:color w:val="1b1c1d"/>
              </w:rPr>
            </w:pPr>
            <w:r w:rsidDel="00000000" w:rsidR="00000000" w:rsidRPr="00000000">
              <w:rPr>
                <w:color w:val="1b1c1d"/>
                <w:rtl w:val="0"/>
              </w:rPr>
              <w:t xml:space="preserve">Hepatocellular carcinoma, Bladder cancer, Recurrent miscarriage, Asthma, Chronic obstructive pulmonary disease (COPD)</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spacing w:after="480" w:lineRule="auto"/>
              <w:rPr>
                <w:color w:val="1b1c1d"/>
              </w:rPr>
            </w:pPr>
            <w:r w:rsidDel="00000000" w:rsidR="00000000" w:rsidRPr="00000000">
              <w:rPr>
                <w:color w:val="1b1c1d"/>
                <w:rtl w:val="0"/>
              </w:rPr>
              <w:t xml:space="preserve">Cisplatin, Busulfan, Doxorubicin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spacing w:after="480" w:lineRule="auto"/>
              <w:rPr>
                <w:color w:val="1b1c1d"/>
              </w:rPr>
            </w:pPr>
            <w:r w:rsidDel="00000000" w:rsidR="00000000" w:rsidRPr="00000000">
              <w:rPr>
                <w:color w:val="1b1c1d"/>
                <w:rtl w:val="0"/>
              </w:rPr>
              <w:t xml:space="preserve">GSTA1 TT genotype, GSTA1*A2 haplotype, Combined GSTA1/GSTM1 low-activity genotypes</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spacing w:after="480" w:lineRule="auto"/>
              <w:rPr>
                <w:color w:val="1b1c1d"/>
              </w:rPr>
            </w:pPr>
            <w:r w:rsidDel="00000000" w:rsidR="00000000" w:rsidRPr="00000000">
              <w:rPr>
                <w:b w:val="1"/>
                <w:color w:val="1b1c1d"/>
                <w:rtl w:val="0"/>
              </w:rPr>
              <w:t xml:space="preserve">GSTA3</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spacing w:after="480" w:lineRule="auto"/>
              <w:rPr>
                <w:color w:val="1b1c1d"/>
              </w:rPr>
            </w:pPr>
            <w:r w:rsidDel="00000000" w:rsidR="00000000" w:rsidRPr="00000000">
              <w:rPr>
                <w:color w:val="1b1c1d"/>
                <w:rtl w:val="0"/>
              </w:rPr>
              <w:t xml:space="preserve">Gastric cancer, Renal interstitial fibrosis, Seminal vesicle tumor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spacing w:after="480" w:lineRule="auto"/>
              <w:rPr>
                <w:color w:val="1b1c1d"/>
              </w:rPr>
            </w:pPr>
            <w:r w:rsidDel="00000000" w:rsidR="00000000" w:rsidRPr="00000000">
              <w:rPr>
                <w:color w:val="1b1c1d"/>
                <w:rtl w:val="0"/>
              </w:rPr>
              <w:t xml:space="preserve">Aflatoxin B1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spacing w:after="480" w:lineRule="auto"/>
              <w:rPr>
                <w:color w:val="1b1c1d"/>
              </w:rPr>
            </w:pPr>
            <w:r w:rsidDel="00000000" w:rsidR="00000000" w:rsidRPr="00000000">
              <w:rPr>
                <w:color w:val="1b1c1d"/>
                <w:rtl w:val="0"/>
              </w:rPr>
              <w:t xml:space="preserve">Not explicitly specified (mutations in active site are noted)</w:t>
            </w:r>
          </w:p>
        </w:tc>
      </w:tr>
      <w:tr>
        <w:trPr>
          <w:cantSplit w:val="0"/>
          <w:trHeight w:val="16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spacing w:after="480" w:lineRule="auto"/>
              <w:rPr>
                <w:color w:val="1b1c1d"/>
              </w:rPr>
            </w:pPr>
            <w:r w:rsidDel="00000000" w:rsidR="00000000" w:rsidRPr="00000000">
              <w:rPr>
                <w:b w:val="1"/>
                <w:color w:val="1b1c1d"/>
                <w:rtl w:val="0"/>
              </w:rPr>
              <w:t xml:space="preserve">GSTT2B</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spacing w:after="480" w:lineRule="auto"/>
              <w:rPr>
                <w:color w:val="1b1c1d"/>
              </w:rPr>
            </w:pPr>
            <w:r w:rsidDel="00000000" w:rsidR="00000000" w:rsidRPr="00000000">
              <w:rPr>
                <w:color w:val="1b1c1d"/>
                <w:rtl w:val="0"/>
              </w:rPr>
              <w:t xml:space="preserve">Esophageal squamous cell carcinoma (OSCC), Small for gestational age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spacing w:after="480" w:lineRule="auto"/>
              <w:rPr>
                <w:color w:val="1b1c1d"/>
              </w:rPr>
            </w:pPr>
            <w:r w:rsidDel="00000000" w:rsidR="00000000" w:rsidRPr="00000000">
              <w:rPr>
                <w:color w:val="1b1c1d"/>
                <w:rtl w:val="0"/>
              </w:rPr>
              <w:t xml:space="preserve">Not explicitly specified</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spacing w:after="480" w:lineRule="auto"/>
              <w:rPr>
                <w:color w:val="1b1c1d"/>
              </w:rPr>
            </w:pPr>
            <w:r w:rsidDel="00000000" w:rsidR="00000000" w:rsidRPr="00000000">
              <w:rPr>
                <w:color w:val="1b1c1d"/>
                <w:rtl w:val="0"/>
              </w:rPr>
              <w:t xml:space="preserve">38-kb deletion (protective), Insertion allele (risk)</w:t>
            </w:r>
          </w:p>
        </w:tc>
      </w:tr>
    </w:tbl>
    <w:p w:rsidR="00000000" w:rsidDel="00000000" w:rsidP="00000000" w:rsidRDefault="00000000" w:rsidRPr="00000000" w14:paraId="0000008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52tjm1l8hj77" w:id="28"/>
      <w:bookmarkEnd w:id="28"/>
      <w:r w:rsidDel="00000000" w:rsidR="00000000" w:rsidRPr="00000000">
        <w:rPr>
          <w:b w:val="1"/>
          <w:color w:val="1b1c1d"/>
          <w:sz w:val="34"/>
          <w:szCs w:val="34"/>
          <w:rtl w:val="0"/>
        </w:rPr>
        <w:t xml:space="preserve">VII. Conclusions and Future Research Directions</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analysis of GSTA1, GSTA3, and GSTT2B confirms the multifaceted nature of the GST superfamily. GSTA1's broad, promiscuous activity provides a vital, general defense mechanism that, while beneficial for cellular protection, also creates a vulnerability to therapeutic resistance in cancer. GSTA3 illustrates a fundamental principle of protein evolution, showcasing how a generalist enzyme can acquire a highly specialized and indispensable physiological role through a process of gene duplication and active site mutation. The case of GSTT2B highlights the critical, non-canonical influence of genetic polymorphisms, demonstrating that even a gene classified as a pseudogene can have significant clinical consequences.</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These findings suggest several important avenues for future research. The precise mechanism by which the N-terminally processed form of GSTA1 is generated and its functional implications remain to be fully elucidated. It is also imperative to identify the specific </w:t>
      </w:r>
      <w:r w:rsidDel="00000000" w:rsidR="00000000" w:rsidRPr="00000000">
        <w:rPr>
          <w:i w:val="1"/>
          <w:color w:val="1b1c1d"/>
          <w:rtl w:val="0"/>
        </w:rPr>
        <w:t xml:space="preserve">in vivo</w:t>
      </w:r>
      <w:r w:rsidDel="00000000" w:rsidR="00000000" w:rsidRPr="00000000">
        <w:rPr>
          <w:color w:val="1b1c1d"/>
          <w:rtl w:val="0"/>
        </w:rPr>
        <w:t xml:space="preserve"> substrates of GSTT2B to understand its complete enzymatic profile. Furthermore, the molecular basis by which the GSTT2B deletion confers a protective effect against certain cancers is a compelling area for investigation, as it could reveal novel regulatory networks. Finally, the identification of GSTA1 and GSTA3 as potential therapeutic targets for combating drug resistance and treating kidney disease, respectively, warrants the development of highly specific inhibitors capable of modulating their pathological functions without compromising their vital homeostatic roles.</w:t>
      </w:r>
    </w:p>
    <w:p w:rsidR="00000000" w:rsidDel="00000000" w:rsidP="00000000" w:rsidRDefault="00000000" w:rsidRPr="00000000" w14:paraId="0000008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cPr>
      <w:shd w:fill="f0f4f9" w:val="clear"/>
    </w:tcPr>
  </w:style>
  <w:style w:type="table" w:styleId="Table2">
    <w:basedOn w:val="TableNormal"/>
    <w:tblPr>
      <w:tblStyleRowBandSize w:val="1"/>
      <w:tblStyleColBandSize w:val="1"/>
      <w:tblCellMar>
        <w:top w:w="100.0" w:type="dxa"/>
        <w:left w:w="100.0" w:type="dxa"/>
        <w:bottom w:w="100.0" w:type="dxa"/>
        <w:right w:w="100.0" w:type="dxa"/>
      </w:tblCellMar>
    </w:tblPr>
    <w:tcPr>
      <w:shd w:fill="f0f4f9" w:val="clear"/>
    </w:tcPr>
  </w:style>
  <w:style w:type="table" w:styleId="Table3">
    <w:basedOn w:val="TableNormal"/>
    <w:tblPr>
      <w:tblStyleRowBandSize w:val="1"/>
      <w:tblStyleColBandSize w:val="1"/>
      <w:tblCellMar>
        <w:top w:w="100.0" w:type="dxa"/>
        <w:left w:w="100.0" w:type="dxa"/>
        <w:bottom w:w="100.0" w:type="dxa"/>
        <w:right w:w="100.0" w:type="dxa"/>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