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oc2y9m59yg4t" w:id="0"/>
      <w:bookmarkEnd w:id="0"/>
      <w:r w:rsidDel="00000000" w:rsidR="00000000" w:rsidRPr="00000000">
        <w:rPr>
          <w:b w:val="1"/>
          <w:color w:val="1b1c1d"/>
          <w:sz w:val="46"/>
          <w:szCs w:val="46"/>
          <w:rtl w:val="0"/>
        </w:rPr>
        <w:t xml:space="preserve">Comprehensive Analysis of Human UDP-Glucuronosyltransferases and the Glycosyltransferase 52 Family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ob0qo8su7j5" w:id="1"/>
      <w:bookmarkEnd w:id="1"/>
      <w:r w:rsidDel="00000000" w:rsidR="00000000" w:rsidRPr="00000000">
        <w:rPr>
          <w:b w:val="1"/>
          <w:color w:val="1b1c1d"/>
          <w:sz w:val="34"/>
          <w:szCs w:val="34"/>
          <w:rtl w:val="0"/>
        </w:rPr>
        <w:t xml:space="preserve">I. The UDP-Glucuronosyltransferase Superfamily: An Introduction to Phase II Metabolism</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s5cse5hezcr" w:id="2"/>
      <w:bookmarkEnd w:id="2"/>
      <w:r w:rsidDel="00000000" w:rsidR="00000000" w:rsidRPr="00000000">
        <w:rPr>
          <w:b w:val="1"/>
          <w:color w:val="1b1c1d"/>
          <w:sz w:val="26"/>
          <w:szCs w:val="26"/>
          <w:rtl w:val="0"/>
        </w:rPr>
        <w:t xml:space="preserve">1.1. Foundational Principles of Glucuronidation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UDP-glucuronosyltransferases (UGTs) are a critical family of Phase II drug-metabolizing enzymes that play a central role in the detoxification and elimination of a vast array of compounds. The fundamental biochemical reaction they catalyze is glucuronidation, which involves the transfer of a glucuronic acid moiety from a high-energy donor, uridine diphosphate glucuronic acid (UDPGA), to a lipophilic substrate.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process creates a covalent bond between the glucuronic acid and the acceptor molecule, which is also known as an aglycone.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chemical functional groups on the substrates that are targeted for this conjugation reaction are typically hydroxyl, carboxylic acid, amine, and thiol moieties.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physiological purpose of glucuronidation is to increase the hydrophilicity and molecular weight of compounds, thereby promoting their excretion from the body. These newly formed, more polar glucuronide conjugates are more readily eliminated through urine or bile.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While this process is generally regarded as a detoxification pathway that renders compounds biologically inactive, there are notable exceptions. For example, the glucuronide metabolite of morphine has been reported to be up to 100 times more potent than the parent morphine substrate itself, a phenomenon that has profound implications for drug efficacy and potential toxicity.</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efficacy of glucuronidation can vary significantly across different mammalian species, as exemplified by the higher rates of codeine glucuronidation in humans compared to rats and the inability of cat livers to glucuronidate paracetamol.</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These inter-species differences underscore the importance of studying these enzymes directly in human contexts.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n947wv9sx5y" w:id="3"/>
      <w:bookmarkEnd w:id="3"/>
      <w:r w:rsidDel="00000000" w:rsidR="00000000" w:rsidRPr="00000000">
        <w:rPr>
          <w:b w:val="1"/>
          <w:color w:val="1b1c1d"/>
          <w:sz w:val="26"/>
          <w:szCs w:val="26"/>
          <w:rtl w:val="0"/>
        </w:rPr>
        <w:t xml:space="preserve">1.2. Genomic and Evolutionary Context of UGT Families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human UDP-glucuronosyltransferase superfamily consists of four major families: UGT1, UGT2, UGT3, and UGT8.</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UGT1 and UGT2 families are the most extensively studied and are primarily responsible for the metabolism of both endogenous and exogenous compounds, a function that distinguishes them from the UGT3 and UGT8 families, which exclusively metabolize endogenous compounds.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genomic organization of these families is distinct. The UGT1 gene locus, situated on chromosome 2q37.1, spans approximately 200 kilobase pairs and is characterized by a unique exon-sharing mechanism. This single gene contains multiple, distinct first exons, which are alternatively spliced to a set of four common exons (exons 2-5) to generate nine different UGT1A isoforms (A1 and A3-10).</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contrast, the UGT2 family genes are clustered on chromosome 4q13.2 and are subdivided into two subfamilies, UGT2A and UGT2B.</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While UGT2A1 and UGT2A2 are also produced via exon sharing, utilizing a unique first exon and common exons 2-6, the UGT2B family enzymes (UGT2B4, UGT2B7, UGT2B15, UGT2B17, etc.) are each encoded by a separate, unique gene within the cluster.</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structural difference highlights the distinct evolutionary trajectories of these two subfamilies.</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eq01qsz06y5" w:id="4"/>
      <w:bookmarkEnd w:id="4"/>
      <w:r w:rsidDel="00000000" w:rsidR="00000000" w:rsidRPr="00000000">
        <w:rPr>
          <w:b w:val="1"/>
          <w:color w:val="1b1c1d"/>
          <w:sz w:val="26"/>
          <w:szCs w:val="26"/>
          <w:rtl w:val="0"/>
        </w:rPr>
        <w:t xml:space="preserve">1.3. A Co-evolutionary Perspective on UGT Diversity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diversification of the UGT gene family, particularly the UGT2B genes, appears to be a direct result of co-evolutionary pressures. Research suggests that the proliferation of UGT2B genes was influenced by the emergence of flowering plants (angiosperms) and the subsequent "animal–plant warfare".</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A comparison of UGT genes across various mammalian species reveals a striking correlation with feeding habits. For instance, the number of UGT2B genes is significantly higher in plant-eating mammals (herbivores or omnivores) than in carnivorous mammals.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is further supported by evidence of positive selection on UGT2B genes in some herbivorous species, indicating an adaptive response to the ingestion of plant-derived xenobiotics.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This perspective on UGT evolution fundamentally reframes their role from simple metabolic tools to key players in a long-standing biochemical arms race. The evolution of diverse UGT isoforms allowed mammals to cope with a broad range of toxic compounds produced by plants as a defense mechanism.</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explains the immense inter-species variation in glucuronidation and provides a deeper biological context for the enzyme's function beyond just processing human-manufactured drugs. It also highlights why information derived from animal studies cannot be directly applied to humans due to these species-specific adaptations.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evolutionary history of the UGT2B family appears to be a mammal-specific event, as the number of UGT2 genes in birds is consistently low, suggesting that the xenobiotic-metabolizing function of UGT2B emerged after the divergence of mammals and birds.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ra5vdvzirq4" w:id="5"/>
      <w:bookmarkEnd w:id="5"/>
      <w:r w:rsidDel="00000000" w:rsidR="00000000" w:rsidRPr="00000000">
        <w:rPr>
          <w:b w:val="1"/>
          <w:color w:val="1b1c1d"/>
          <w:sz w:val="34"/>
          <w:szCs w:val="34"/>
          <w:rtl w:val="0"/>
        </w:rPr>
        <w:t xml:space="preserve">II. Comprehensive Profiles of Human UGT1A Isoforms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provides a detailed breakdown of the UGT1A isoforms, which are critical for both endogenous metabolism and the clearance of many pharmaceutical compounds.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nzrjw3frbh0" w:id="6"/>
      <w:bookmarkEnd w:id="6"/>
      <w:r w:rsidDel="00000000" w:rsidR="00000000" w:rsidRPr="00000000">
        <w:rPr>
          <w:b w:val="1"/>
          <w:color w:val="1b1c1d"/>
          <w:sz w:val="26"/>
          <w:szCs w:val="26"/>
          <w:rtl w:val="0"/>
        </w:rPr>
        <w:t xml:space="preserve">2.1. UGT1A1: The Bilirubin and Drug Master Metabolizer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UGT1A1 is a major enzyme of the UGT1A family, encoded by the gene locus on chromosome 2q37.1.</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It is predominantly expressed in the liver, serving as the sole enzyme responsible for the metabolism and clearance of bilirubin, a hydrophobic breakdown product of heme catabolism.</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It is also found in extrahepatic tissues, including the colon and intestine, where it plays a role in first-pass metabolism.</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In addition to its crucial role in endogenous metabolism, UGT1A1 is a significant metabolizer of many exogenous compounds and therapeutic drugs. These include the active metabolite of the anticancer drug irinotecan (SN-38), acetaminophen, carvedilol, etoposide, lamotrigine, simvastatin, and raloxifene.</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It also conjugates endogenous hormones like estradiol and ethinyl oestradiol.</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highly significant aspect of UGT1A1 is its genetic variability. The </w:t>
      </w:r>
      <w:r w:rsidDel="00000000" w:rsidR="00000000" w:rsidRPr="00000000">
        <w:rPr>
          <w:color w:val="575b5f"/>
          <w:shd w:fill="e9eef6" w:val="clear"/>
          <w:rtl w:val="0"/>
        </w:rPr>
        <w:t xml:space="preserve">UGT1A1*28</w:t>
      </w:r>
      <w:r w:rsidDel="00000000" w:rsidR="00000000" w:rsidRPr="00000000">
        <w:rPr>
          <w:color w:val="1b1c1d"/>
          <w:rtl w:val="0"/>
        </w:rPr>
        <w:t xml:space="preserve"> polymorphism is one of the most well-studied genetic variants in pharmacogenomics.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polymorphism is characterized by an extra thymine-adenine (TA) repeat in the promoter region of the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UGT1A1</w:t>
      </w:r>
      <w:r w:rsidDel="00000000" w:rsidR="00000000" w:rsidRPr="00000000">
        <w:rPr>
          <w:color w:val="1b1c1d"/>
          <w:rtl w:val="0"/>
        </w:rPr>
        <w:t xml:space="preserve"> gene compared to the wild-type allele.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number of these repeats is inversely correlated with enzyme activity, and individuals who are homozygous for this variant can experience up to a 70% reduction in gene transcription.</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reduced activity is the underlying cause of inherited hyperbilirubinemia conditions, ranging from the benign Gilbert's syndrome to the life-threatening Crigler-Najjar type I disease.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From a pharmacological perspective, the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UGT1A1*28</w:t>
      </w:r>
      <w:r w:rsidDel="00000000" w:rsidR="00000000" w:rsidRPr="00000000">
        <w:rPr>
          <w:color w:val="1b1c1d"/>
          <w:rtl w:val="0"/>
        </w:rPr>
        <w:t xml:space="preserve"> polymorphism is critically important as it can lead to severe drug toxicity, particularly with irinotecan, which can cause life-threatening grade 4 neutropenia.</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link is so strong that the US Food and Drug Administration (FDA) has recommended genetic testing for this polymorphism on the irinotecan drug label.</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th1szxydgnv" w:id="7"/>
      <w:bookmarkEnd w:id="7"/>
      <w:r w:rsidDel="00000000" w:rsidR="00000000" w:rsidRPr="00000000">
        <w:rPr>
          <w:b w:val="1"/>
          <w:color w:val="1b1c1d"/>
          <w:sz w:val="26"/>
          <w:szCs w:val="26"/>
          <w:rtl w:val="0"/>
        </w:rPr>
        <w:t xml:space="preserve">2.2. UGT1A3 Profile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UGT1A3 is another isoform generated from the shared exons of the UGT1A gene locus.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 is widely expressed in the liver, where it contributes to the clearance of a variety of compounds.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Although there is a relative scarcity of detailed information on its substrate features, qualitative analyses indicate that UGT1A3 preferentially glucuronidates flavonoids that possess a hydroxyl group at the C7-position.</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68cagudvkb1" w:id="8"/>
      <w:bookmarkEnd w:id="8"/>
      <w:r w:rsidDel="00000000" w:rsidR="00000000" w:rsidRPr="00000000">
        <w:rPr>
          <w:b w:val="1"/>
          <w:color w:val="1b1c1d"/>
          <w:sz w:val="26"/>
          <w:szCs w:val="26"/>
          <w:rtl w:val="0"/>
        </w:rPr>
        <w:t xml:space="preserve">2.3. UGT1A7 Profile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UGT1A7 is an isoform generated by the alternative splicing of the UGT1A gene.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Its expression is noted for a high degree of tissue specificity; it is found to be uniquely expressed in the stomach, and is one of the UGTs that are considered to be expressed exclusively in extrahepatic tissues.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While it is known to metabolize a range of compounds, the provided research does not specify its unique substrates.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zfkxnd6cqxf" w:id="9"/>
      <w:bookmarkEnd w:id="9"/>
      <w:r w:rsidDel="00000000" w:rsidR="00000000" w:rsidRPr="00000000">
        <w:rPr>
          <w:b w:val="1"/>
          <w:color w:val="1b1c1d"/>
          <w:sz w:val="26"/>
          <w:szCs w:val="26"/>
          <w:rtl w:val="0"/>
        </w:rPr>
        <w:t xml:space="preserve">2.4. UGT1A8 Profile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UGT1A8 is part of the UGT1A gene cluster.</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 was traditionally believed to be an exclusively extrahepatic enzyme.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However, a key finding from a recent study demonstrated that UGT1A8 mRNA is, in fact, expressed in primary human hepatocytes, challenging a long-held assumption in the field.</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UGT1A8 is also expressed in other extrahepatic tissues, including the small intestine, colon, and bladder.</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Its location in the gastrointestinal tract is of particular significance, as it indicates a role in the first-pass metabolism of orally administered drugs and dietary constituents.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It is also identified as a major enzyme in the glucuronidation of nalbuphine.</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omvwo1gxiha" w:id="10"/>
      <w:bookmarkEnd w:id="10"/>
      <w:r w:rsidDel="00000000" w:rsidR="00000000" w:rsidRPr="00000000">
        <w:rPr>
          <w:b w:val="1"/>
          <w:color w:val="1b1c1d"/>
          <w:sz w:val="26"/>
          <w:szCs w:val="26"/>
          <w:rtl w:val="0"/>
        </w:rPr>
        <w:t xml:space="preserve">2.5. UGT1A9 Profile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UGT1A9 is encoded by the UGT1A gene locus on chromosome 2q37.1.</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 is one of the UGTs with expression in both the liver and kidneys, where it is highly expressed.</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UGT1A9 is widely recognized as one of the most common enzymes involved in drug metabolism.</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While the provided documents confirm its general importance, specific examples of its drug substrates are not detailed.</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juemgxx0fei" w:id="11"/>
      <w:bookmarkEnd w:id="11"/>
      <w:r w:rsidDel="00000000" w:rsidR="00000000" w:rsidRPr="00000000">
        <w:rPr>
          <w:b w:val="1"/>
          <w:color w:val="1b1c1d"/>
          <w:sz w:val="26"/>
          <w:szCs w:val="26"/>
          <w:rtl w:val="0"/>
        </w:rPr>
        <w:t xml:space="preserve">2.6. UGT1A10 Profile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UGT1A10 is another member of the UGT1A family that originates from the common gene cluster.</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Similar to UGT1A8, UGT1A10 was previously thought to be expressed only in extrahepatic tissues, a belief that was overturned by the discovery of its mRNA expression in human primary hepatocytes.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It is also found in the small intestine, colon, and bladder.</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Its enzymatic activity toward a variety of substrates underscores its significance in the gastrointestinal first-pass metabolism of orally administered drugs and dietary components.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re-evaluation of the tissue expression of UGT1A8 and UGT1A10 demonstrates the dynamic nature of scientific knowledge. A discovery made possible by novel technical methodologies, such as the design of new primers for RT-PCR analysis, reveals that the understanding of enzyme localization can evolve. This finding is critical as it highlights that what is widely accepted in the literature can be challenged and revised by new evidence, a principle that is fundamental to the advancement of research.</w:t>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pw3w5iwstur" w:id="12"/>
      <w:bookmarkEnd w:id="12"/>
      <w:r w:rsidDel="00000000" w:rsidR="00000000" w:rsidRPr="00000000">
        <w:rPr>
          <w:b w:val="1"/>
          <w:color w:val="1b1c1d"/>
          <w:sz w:val="34"/>
          <w:szCs w:val="34"/>
          <w:rtl w:val="0"/>
        </w:rPr>
        <w:t xml:space="preserve">III. Comprehensive Profiles of Human UGT2 Isoforms</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bgc0mhm6ewd" w:id="13"/>
      <w:bookmarkEnd w:id="13"/>
      <w:r w:rsidDel="00000000" w:rsidR="00000000" w:rsidRPr="00000000">
        <w:rPr>
          <w:b w:val="1"/>
          <w:color w:val="1b1c1d"/>
          <w:sz w:val="26"/>
          <w:szCs w:val="26"/>
          <w:rtl w:val="0"/>
        </w:rPr>
        <w:t xml:space="preserve">3.1. UGT2A Family</w:t>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j0b0ywi3mex" w:id="14"/>
      <w:bookmarkEnd w:id="14"/>
      <w:r w:rsidDel="00000000" w:rsidR="00000000" w:rsidRPr="00000000">
        <w:rPr>
          <w:b w:val="1"/>
          <w:color w:val="1b1c1d"/>
          <w:sz w:val="22"/>
          <w:szCs w:val="22"/>
          <w:rtl w:val="0"/>
        </w:rPr>
        <w:t xml:space="preserve">3.1.1. UGT2A1: The Olfactory Glucuronidator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UGT2A1 is located on chromosome 4q13.2 and is a part of the UGT2A subfamily. Its gene structure is unique in that it is formed by exon sharing with UGT2A2.</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enzyme is predominantly expressed in the nasal mucosa, specifically in the olfactory epithelium, and its mRNA has also been detected in the human lung.</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A notable characteristic is its high expression in fetal samples compared to adults.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UGT2A1 exhibits an exceptionally broad substrate selectivity, with kinetic assays indicating the presence of both high- and low-affinity binding sites.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broad range of substrates includes 4-methylumbelliferone, 4-nitrophenol, 4-aminobiphenyl, and estriol.</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2uvfudobp" w:id="15"/>
      <w:bookmarkEnd w:id="15"/>
      <w:r w:rsidDel="00000000" w:rsidR="00000000" w:rsidRPr="00000000">
        <w:rPr>
          <w:b w:val="1"/>
          <w:color w:val="1b1c1d"/>
          <w:sz w:val="22"/>
          <w:szCs w:val="22"/>
          <w:rtl w:val="0"/>
        </w:rPr>
        <w:t xml:space="preserve">3.1.2. UGT2A2: The Nasal and Intestinal Enzyme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UGT2A2 also resides on chromosome 4q13.2 and shares a gene structure with UGT2A1.</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It is primarily expressed in the nasal mucosa, with lower levels of expression detected in the adult lung and small intestine.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Its expression level in adult and fetal nasal tissues is approximately 70% of UGT2A1's level.</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UGT2A2 demonstrates broad substrate selectivity, although its overall glucuronidation rates are generally lower than UGT2A1's.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A key functional difference, however, is its higher activity toward ethinylestradiol compared to UGT2A1. It is also an effective conjugator of 3- and 4-phenylphenols.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klc21nc28vm" w:id="16"/>
      <w:bookmarkEnd w:id="16"/>
      <w:r w:rsidDel="00000000" w:rsidR="00000000" w:rsidRPr="00000000">
        <w:rPr>
          <w:b w:val="1"/>
          <w:color w:val="1b1c1d"/>
          <w:sz w:val="26"/>
          <w:szCs w:val="26"/>
          <w:rtl w:val="0"/>
        </w:rPr>
        <w:t xml:space="preserve">3.2. UGT2B Family</w:t>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z49ct8ejapwy" w:id="17"/>
      <w:bookmarkEnd w:id="17"/>
      <w:r w:rsidDel="00000000" w:rsidR="00000000" w:rsidRPr="00000000">
        <w:rPr>
          <w:b w:val="1"/>
          <w:color w:val="1b1c1d"/>
          <w:sz w:val="22"/>
          <w:szCs w:val="22"/>
          <w:rtl w:val="0"/>
        </w:rPr>
        <w:t xml:space="preserve">3.2.1. UGT2B1 Profile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UGT2B1 is a member of the UGT2B family, with its gene located on chromosome 4q13.2. Unlike the UGT1A and UGT2A subfamilies, the UGT2B family enzymes are encoded by a unique gene in a cluster.</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No further information on its specific tissue expression or substrates is available from the provided research.</w:t>
      </w:r>
    </w:p>
    <w:p w:rsidR="00000000" w:rsidDel="00000000" w:rsidP="00000000" w:rsidRDefault="00000000" w:rsidRPr="00000000" w14:paraId="000000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lf1jfsrh7ah" w:id="18"/>
      <w:bookmarkEnd w:id="18"/>
      <w:r w:rsidDel="00000000" w:rsidR="00000000" w:rsidRPr="00000000">
        <w:rPr>
          <w:b w:val="1"/>
          <w:color w:val="1b1c1d"/>
          <w:sz w:val="22"/>
          <w:szCs w:val="22"/>
          <w:rtl w:val="0"/>
        </w:rPr>
        <w:t xml:space="preserve">3.2.2. UGT2B4 Profile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UGT2B4 is encoded by a unique gene within the UGT2B cluster on chromosome 4q13.2.</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 is expressed in the liver and a variety of extrahepatic tissues.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enzyme is primarily involved in the conjugation of endogenous compounds such as catechol estrogens and bile acids, specifically hyodeoxycholic acid.</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It also metabolizes certain exogenous phytochemicals.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z0vyul91bl6k" w:id="19"/>
      <w:bookmarkEnd w:id="19"/>
      <w:r w:rsidDel="00000000" w:rsidR="00000000" w:rsidRPr="00000000">
        <w:rPr>
          <w:b w:val="1"/>
          <w:color w:val="1b1c1d"/>
          <w:sz w:val="22"/>
          <w:szCs w:val="22"/>
          <w:rtl w:val="0"/>
        </w:rPr>
        <w:t xml:space="preserve">3.2.3. UGT2B7: A Major Player in Drug and Hormone Metabolism</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UGT2B7 is encoded by a unique gene within the UGT2B cluster.</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 is one of the most common drug-metabolizing enzymes and is notably highly expressed in the liver and kidneys, with additional expression in the pancreas, brain, and gastrointestinal tract.</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gene for this enzyme exhibits significant transcriptional diversity, with up to 22 transcript variants known to produce seven different protein types, with the UGT2B7_i1 variant demonstrating the highest enzymatic activity.</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UGT2B7 possesses unique specificity for endogenous compounds such as 3,4-catechol estrogens and estriol.</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It is also able to glucuronidate a variety of androgens and fatty acids.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From a pharmacological standpoint, UGT2B7 is the major enzyme responsible for the metabolism of opiates, including morphine, codeine, and norcodeine.</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It also conjugates other drug classes, such as non-steroidal anti-inflammatory drugs (NSAIDs) like ketoprofen, and anticarcinogens like all-trans retinoic acid.</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38eudk1r4r9" w:id="20"/>
      <w:bookmarkEnd w:id="20"/>
      <w:r w:rsidDel="00000000" w:rsidR="00000000" w:rsidRPr="00000000">
        <w:rPr>
          <w:b w:val="1"/>
          <w:color w:val="1b1c1d"/>
          <w:sz w:val="22"/>
          <w:szCs w:val="22"/>
          <w:rtl w:val="0"/>
        </w:rPr>
        <w:t xml:space="preserve">3.2.4. UGT2B15: The Steroid and Ethanol Conjugator</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UGT2B15 is a UGT2B family member encoded by a unique gene on chromosome 4q13.2, and it is a key paralog of UGT2B17.</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 is expressed in the liver.</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While its substrate specificity is more limited compared to other UGTs, it plays a specific role in the clearance of certain drugs.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Its endogenous substrates include C19 steroids such as dihydrotestosterone, which it glucuronidates at the 17β position.</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Other known substrates include ethanol, phenolic compounds, coumarins, and flavonoids.</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jvhtonu3x26b" w:id="21"/>
      <w:bookmarkEnd w:id="21"/>
      <w:r w:rsidDel="00000000" w:rsidR="00000000" w:rsidRPr="00000000">
        <w:rPr>
          <w:b w:val="1"/>
          <w:color w:val="1b1c1d"/>
          <w:sz w:val="22"/>
          <w:szCs w:val="22"/>
          <w:rtl w:val="0"/>
        </w:rPr>
        <w:t xml:space="preserve">3.2.5. UGT2B17: The Doping Control and Hormone Regulator</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UGT2B17 is a UGT2B family enzyme with its own unique gene.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Its primary role is the glucuronidation of endogenous steroid hormones, particularly testosterone and epitestosterone, to facilitate their renal excretion.</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A major point of clinical and forensic interest is the common copy number variation in the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UGT2B17</w:t>
      </w:r>
      <w:r w:rsidDel="00000000" w:rsidR="00000000" w:rsidRPr="00000000">
        <w:rPr>
          <w:color w:val="1b1c1d"/>
          <w:rtl w:val="0"/>
        </w:rPr>
        <w:t xml:space="preserve"> gene, which is a deletion polymorphism.</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The prevalence of the homozygous deletion varies dramatically across ethnicities, being highly common in Korean (67%) and Chinese (77%) populations but much lower in Danish (9%) and Swedish (9%) populations.</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Individuals with this gene deletion excrete significantly less testosterone glucuronide, which can lead to higher serum testosterone levels and a false-negative result in testosterone-to-epitestosterone (T/E) ratio urine tests used in sports anti-doping.</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This demonstrates that UGTs are not merely drug-detoxifying agents but are integral to maintaining endogenous hormonal homeostasis. Genetic deficiencies in this enzyme are associated with a variety of health conditions, including osteoporosis, prostate cancer, and lower body mass index (BMI) in men, which links the enzyme's function directly to broader metabolic and health outcomes.</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detailed profile of UGT2B17 highlights an important aspect of UGT function that extends beyond pharmacological clearance. The profound impact of the gene deletion on a fundamental physiological process, testosterone regulation, shows that these enzymes are a critical nexus between genetics, metabolism, and major health outcomes. The fact that this polymorphism is relevant to everything from sports science to metabolic disease underscores their role as master regulators of endogenous pathways, a function that is just as important as their role in clearing xenobiotics.</w:t>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0hgq183qmyw" w:id="22"/>
      <w:bookmarkEnd w:id="22"/>
      <w:r w:rsidDel="00000000" w:rsidR="00000000" w:rsidRPr="00000000">
        <w:rPr>
          <w:b w:val="1"/>
          <w:color w:val="1b1c1d"/>
          <w:sz w:val="34"/>
          <w:szCs w:val="34"/>
          <w:rtl w:val="0"/>
        </w:rPr>
        <w:t xml:space="preserve">IV. Regulation and Pharmacological Interactions</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eqcn1lzua5a" w:id="23"/>
      <w:bookmarkEnd w:id="23"/>
      <w:r w:rsidDel="00000000" w:rsidR="00000000" w:rsidRPr="00000000">
        <w:rPr>
          <w:b w:val="1"/>
          <w:color w:val="1b1c1d"/>
          <w:sz w:val="26"/>
          <w:szCs w:val="26"/>
          <w:rtl w:val="0"/>
        </w:rPr>
        <w:t xml:space="preserve">4.1. Enzyme Induction and the Role of PXR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activity and expression of UGT enzymes are not static but can be significantly altered by various factors, including drug administration. Enzyme induction is a process where a compound increases the expression of a UGT, leading to an increase in its enzymatic activity.</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enhanced activity can result in a faster clearance of drug substrates, potentially reducing their therapeutic efficacy.</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regulatory mechanisms of UGT induction are complex and are often mediated by nuclear receptors, such as the Pregnane X Receptor (PXR).</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PXR acts as a xenosensor and is a key transcriptional regulator that can upregulate the expression of various drug-metabolizing enzymes and transporters.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Known examples of UGT inducers include drugs such as rifampicin and phenobarbital.</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While the general principle of induction is understood, the specific mechanisms governing UGT induction, particularly in the context of drug-drug interactions (DDIs), remain an active area of research and are not as well-characterized as those for inhibition.</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9oenqu0216c" w:id="24"/>
      <w:bookmarkEnd w:id="24"/>
      <w:r w:rsidDel="00000000" w:rsidR="00000000" w:rsidRPr="00000000">
        <w:rPr>
          <w:b w:val="1"/>
          <w:color w:val="1b1c1d"/>
          <w:sz w:val="26"/>
          <w:szCs w:val="26"/>
          <w:rtl w:val="0"/>
        </w:rPr>
        <w:t xml:space="preserve">4.2. Enzyme Inhibition and DDIs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Inhibition of UGT enzymes poses a significant risk for drug safety, as it can lead to the accumulation of drug substrates to toxic levels, which can cause severe adverse effects.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inhibitory effect can be exerted by drugs that are either substrates of UGTs or by compounds that do not undergo glucuronidation themselves.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Specific examples of UGT inhibitors include the anti-retroviral drugs atazanavir and indinavir, which inhibit UGT1A1.</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kinase inhibitor sorafenib can also inhibit UGT1A1, leading to hyperbilirubinemia.</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notable example of a competitive inhibitor is Vitamin A, which has been shown to inhibit the activity of UGT1A1, UGT2B4, UGT2B7, and UGT2B15.</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This finding is particularly significant because it expands the discussion of DDIs beyond prescription medications to include dietary factors and supplements, which can also influence drug metabolism and efficacy.</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From a methodological perspective, the assessment of UGT inhibition is crucial for drug development. While human liver microsomes are frequently used in assays, the use of recombinant UGT enzymes is specifically recommended for UGT2B15, as the overlapping substrate specificities in microsomes can lead to inaccurate results.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methodological detail highlights the need for precision in assessing the function of specific UGT isoforms.</w:t>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0d2h46y472v" w:id="25"/>
      <w:bookmarkEnd w:id="25"/>
      <w:r w:rsidDel="00000000" w:rsidR="00000000" w:rsidRPr="00000000">
        <w:rPr>
          <w:b w:val="1"/>
          <w:color w:val="1b1c1d"/>
          <w:sz w:val="34"/>
          <w:szCs w:val="34"/>
          <w:rtl w:val="0"/>
        </w:rPr>
        <w:t xml:space="preserve">V. The Glycosyltransferase 52 Family: A Critical Distinction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provided query includes a request for information on "UDP-sugar-dependent glycosyltransferase 52." Based on an exhaustive review of the supplied research material, there is a fundamental absence of any specific information regarding a human enzyme designated as "Glycosyltransferase 52" or "GT52".</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lack of data is a crucial finding that must be addressed to maintain the accuracy and integrity of the report. The correct response is not to provide a fabricated answer but to acknowledge this gap in the provided information.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To provide additional context and demonstrate a comprehensive understanding, it is important to discuss the broader Glycosyltransferase (GT) superfamily, of which UGTs are a part. GTs are a large family of enzymes that catalyze the transfer of sugar moieties from activated nucleotide-sugar donors to a wide variety of acceptor substrates, including saccharides, lipids, and proteins.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The GT-B family, for example, is composed of membrane-associated enzymes that utilize two "Rossmann-fold" domains to catalyze these reactions.</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The provided research also describes a novel bacterial GT family, GT99, whose prototype is a β-Kdo transferase involved in the biosynthesis of surface polysaccharides in Gram-negative bacteria.</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This enzyme's unique architecture led to its classification as a new family, underscoring the remarkable diversity within the GT superfamily. The catalytic mechanisms of GTs are categorized as either "inverting" or "retaining" based on the stereochemical outcome of the reaction.</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While the mechanism for inverting enzymes is generally understood, the mechanism for retaining enzymes is still a subject of scientific debate.</w:t>
      </w:r>
      <w:r w:rsidDel="00000000" w:rsidR="00000000" w:rsidRPr="00000000">
        <w:rPr>
          <w:color w:val="575b5f"/>
          <w:sz w:val="40"/>
          <w:szCs w:val="40"/>
          <w:highlight w:val="white"/>
          <w:vertAlign w:val="superscript"/>
          <w:rtl w:val="0"/>
        </w:rPr>
        <w:t xml:space="preserve">31</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explicit statement regarding the absence of data on GT52 serves a critical purpose for the development of a robust knowledge base. It teaches a system to recognize when information is unavailable and to avoid generating speculative or entirely false content. This is essential for preventing misinformation and ensuring the reliability of any system trained on this data.</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zf6qhjs86xz4" w:id="26"/>
      <w:bookmarkEnd w:id="26"/>
      <w:r w:rsidDel="00000000" w:rsidR="00000000" w:rsidRPr="00000000">
        <w:rPr>
          <w:b w:val="1"/>
          <w:color w:val="1b1c1d"/>
          <w:sz w:val="34"/>
          <w:szCs w:val="34"/>
          <w:rtl w:val="0"/>
        </w:rPr>
        <w:t xml:space="preserve">VI. Summary and Structured Data</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yqfxufd97lt" w:id="27"/>
      <w:bookmarkEnd w:id="27"/>
      <w:r w:rsidDel="00000000" w:rsidR="00000000" w:rsidRPr="00000000">
        <w:rPr>
          <w:b w:val="1"/>
          <w:color w:val="1b1c1d"/>
          <w:sz w:val="26"/>
          <w:szCs w:val="26"/>
          <w:rtl w:val="0"/>
        </w:rPr>
        <w:t xml:space="preserve">6.1. Synthesis of Key Findings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This analysis has provided a detailed examination of the UDP-glucuronosyltransferase (UGT) superfamily and its specific isoforms, as requested. The report has detailed the fundamental biochemical reaction of glucuronidation and the physiological consequences of the transfer of glucuronic acid to both endogenous and exogenous compounds. It has explored the genomic architecture of the UGT1 and UGT2 families, revealing a complex exon-sharing mechanism in UGT1A and UGT2A, and a unique gene-per-isoform structure for UGT2B.</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has provided an enzyme-by-enzyme breakdown, detailing the tissue expression and substrate profiles for each requested UGT, from the liver-centric UGT1A1 and UGT1A3 to the extrahepatic UGT1A7, UGT1A8, UGT1A10, and the nasal UGT2A1 and UGT2A2.</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A deeper understanding of the field's nuances was developed by exploring the broader implications of UGT function, such as the profound impact of the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UGT1A1*28</w:t>
      </w:r>
      <w:r w:rsidDel="00000000" w:rsidR="00000000" w:rsidRPr="00000000">
        <w:rPr>
          <w:color w:val="1b1c1d"/>
          <w:rtl w:val="0"/>
        </w:rPr>
        <w:t xml:space="preserve"> and </w:t>
      </w:r>
      <w:r w:rsidDel="00000000" w:rsidR="00000000" w:rsidRPr="00000000">
        <w:rPr>
          <w:color w:val="575b5f"/>
          <w:shd w:fill="e9eef6" w:val="clear"/>
          <w:rtl w:val="0"/>
        </w:rPr>
        <w:t xml:space="preserve">UGT2B17</w:t>
      </w:r>
      <w:r w:rsidDel="00000000" w:rsidR="00000000" w:rsidRPr="00000000">
        <w:rPr>
          <w:color w:val="1b1c1d"/>
          <w:rtl w:val="0"/>
        </w:rPr>
        <w:t xml:space="preserve"> gene deletion polymorphisms on drug toxicity and endogenous hormone regulation.</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discussion of UGT regulation has highlighted the importance of enzyme induction via pathways like the PXR and the significant safety risks posed by enzyme inhibition from drugs and even dietary components like Vitamin A.</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Finally, the report has addressed the data limitation regarding "UDP-sugar-dependent glycosyltransferase 52," emphasizing the importance of recognizing and correctly responding to information gaps in the source material.</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m1jr4yjd1ah" w:id="28"/>
      <w:bookmarkEnd w:id="28"/>
      <w:r w:rsidDel="00000000" w:rsidR="00000000" w:rsidRPr="00000000">
        <w:rPr>
          <w:b w:val="1"/>
          <w:color w:val="1b1c1d"/>
          <w:sz w:val="26"/>
          <w:szCs w:val="26"/>
          <w:rtl w:val="0"/>
        </w:rPr>
        <w:t xml:space="preserve">6.2. Strategic Data Structuring</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optimize this information for a structured knowledge base, the following tables consolidate and cross-reference key data points from the preceding analysis, making them an ideal resource for machine learning applications.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1: Human UGT Isoform Summary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7.6803551609323"/>
        <w:gridCol w:w="820.6881243063264"/>
        <w:gridCol w:w="1308.9456159822419"/>
        <w:gridCol w:w="1194.6725860155382"/>
        <w:gridCol w:w="1786.8146503884573"/>
        <w:gridCol w:w="1807.591564927858"/>
        <w:gridCol w:w="1433.607103218646"/>
        <w:tblGridChange w:id="0">
          <w:tblGrid>
            <w:gridCol w:w="1007.6803551609323"/>
            <w:gridCol w:w="820.6881243063264"/>
            <w:gridCol w:w="1308.9456159822419"/>
            <w:gridCol w:w="1194.6725860155382"/>
            <w:gridCol w:w="1786.8146503884573"/>
            <w:gridCol w:w="1807.591564927858"/>
            <w:gridCol w:w="1433.607103218646"/>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Enzyme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Gene Family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Chromosomal Location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Key Tissues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Representative Endogenous 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Representative Exogenous 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Key Clinical Relevance</w:t>
            </w:r>
          </w:p>
        </w:tc>
      </w:tr>
      <w:tr>
        <w:trPr>
          <w:cantSplit w:val="0"/>
          <w:trHeight w:val="22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UGT1A1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UGT1A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2q37.1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Liver, Intestine, Colon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Bilirubin, Estradiol, Ethinyl oestradiol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Irinotecan (SN-38), Acetaminophen, Carvedilol, Etoposide, Simvastatin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575b5f"/>
                <w:shd w:fill="e9eef6" w:val="clear"/>
                <w:rtl w:val="0"/>
              </w:rPr>
              <w:t xml:space="preserve">UGT1A1*28</w:t>
            </w:r>
            <w:r w:rsidDel="00000000" w:rsidR="00000000" w:rsidRPr="00000000">
              <w:rPr>
                <w:color w:val="1b1c1d"/>
                <w:rtl w:val="0"/>
              </w:rPr>
              <w:t xml:space="preserve"> polymorphism linked to Gilbert's syndrome and severe toxicity from irinotecan.</w:t>
            </w:r>
            <w:r w:rsidDel="00000000" w:rsidR="00000000" w:rsidRPr="00000000">
              <w:rPr>
                <w:color w:val="575b5f"/>
                <w:sz w:val="40"/>
                <w:szCs w:val="40"/>
                <w:highlight w:val="white"/>
                <w:vertAlign w:val="superscript"/>
                <w:rtl w:val="0"/>
              </w:rPr>
              <w:t xml:space="preserve">6</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UGT1A3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UGT1A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2q37.1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Liver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Flavonoids (C7-position hydroxyl group)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Limited data available.</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UGT1A7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UGT1A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2q37.1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Stomach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Expressed primarily in extrahepatic tissue.</w:t>
            </w:r>
            <w:r w:rsidDel="00000000" w:rsidR="00000000" w:rsidRPr="00000000">
              <w:rPr>
                <w:color w:val="575b5f"/>
                <w:sz w:val="40"/>
                <w:szCs w:val="40"/>
                <w:highlight w:val="white"/>
                <w:vertAlign w:val="superscript"/>
                <w:rtl w:val="0"/>
              </w:rPr>
              <w:t xml:space="preserve">5</w:t>
            </w:r>
          </w:p>
        </w:tc>
      </w:tr>
      <w:tr>
        <w:trPr>
          <w:cantSplit w:val="0"/>
          <w:trHeight w:val="20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UGT1A8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UGT1A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2q37.1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Small Intestine, Colon, Bladder, Hepatocytes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Nalbuphine, Orally administered drugs, Dietary constituents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Was thought to be exclusively extrahepatic, but is also expressed in the liver.</w:t>
            </w:r>
            <w:r w:rsidDel="00000000" w:rsidR="00000000" w:rsidRPr="00000000">
              <w:rPr>
                <w:color w:val="575b5f"/>
                <w:sz w:val="40"/>
                <w:szCs w:val="40"/>
                <w:highlight w:val="white"/>
                <w:vertAlign w:val="superscript"/>
                <w:rtl w:val="0"/>
              </w:rPr>
              <w:t xml:space="preserve">11</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UGT1A9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UGT1A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2q37.1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Liver, Kidneys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Various drug 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One of the most common drug-metabolizing enzymes.</w:t>
            </w:r>
            <w:r w:rsidDel="00000000" w:rsidR="00000000" w:rsidRPr="00000000">
              <w:rPr>
                <w:color w:val="575b5f"/>
                <w:sz w:val="40"/>
                <w:szCs w:val="40"/>
                <w:highlight w:val="white"/>
                <w:vertAlign w:val="superscript"/>
                <w:rtl w:val="0"/>
              </w:rPr>
              <w:t xml:space="preserve">2</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UGT1A10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UGT1A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2q37.1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Small Intestine, Colon, Bladder, Hepatocytes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Orally administered drugs, Dietary constituents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Important for gastrointestinal first-pass metabolism.</w:t>
            </w:r>
            <w:r w:rsidDel="00000000" w:rsidR="00000000" w:rsidRPr="00000000">
              <w:rPr>
                <w:color w:val="575b5f"/>
                <w:sz w:val="40"/>
                <w:szCs w:val="40"/>
                <w:highlight w:val="white"/>
                <w:vertAlign w:val="superscript"/>
                <w:rtl w:val="0"/>
              </w:rPr>
              <w:t xml:space="preserve">11</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UGT2A1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UGT2A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4q13.2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Nasal Mucosa (olfactory epithelium)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Estriol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4-methylumbelliferone, 4-nitrophenol, 4-aminobiphenyl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Has an exceptionally broad substrate selectivity.</w:t>
            </w:r>
            <w:r w:rsidDel="00000000" w:rsidR="00000000" w:rsidRPr="00000000">
              <w:rPr>
                <w:color w:val="575b5f"/>
                <w:sz w:val="40"/>
                <w:szCs w:val="40"/>
                <w:highlight w:val="white"/>
                <w:vertAlign w:val="superscript"/>
                <w:rtl w:val="0"/>
              </w:rPr>
              <w:t xml:space="preserve">3</w:t>
            </w:r>
          </w:p>
        </w:tc>
      </w:tr>
      <w:tr>
        <w:trPr>
          <w:cantSplit w:val="0"/>
          <w:trHeight w:val="25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UGT2A2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UGT2A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4q13.2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Nasal Mucosa, Lung, Small Intestine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Ethinylestradiol, 3- and 4-phenylphenols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Glucuronidation rates generally lower than UGT2A1, but has higher activity for some substrates.</w:t>
            </w:r>
            <w:r w:rsidDel="00000000" w:rsidR="00000000" w:rsidRPr="00000000">
              <w:rPr>
                <w:color w:val="575b5f"/>
                <w:sz w:val="40"/>
                <w:szCs w:val="40"/>
                <w:highlight w:val="white"/>
                <w:vertAlign w:val="superscript"/>
                <w:rtl w:val="0"/>
              </w:rPr>
              <w:t xml:space="preserve">3</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UGT2B1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UGT2B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color w:val="1b1c1d"/>
                <w:rtl w:val="0"/>
              </w:rPr>
              <w:t xml:space="preserve">4q13.2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color w:val="1b1c1d"/>
                <w:rtl w:val="0"/>
              </w:rPr>
              <w:t xml:space="preserve">No specific tissue or substrate information available.</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color w:val="1b1c1d"/>
                <w:rtl w:val="0"/>
              </w:rPr>
              <w:t xml:space="preserve">UGT2B4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color w:val="1b1c1d"/>
                <w:rtl w:val="0"/>
              </w:rPr>
              <w:t xml:space="preserve">UGT2B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color w:val="1b1c1d"/>
                <w:rtl w:val="0"/>
              </w:rPr>
              <w:t xml:space="preserve">4q13.2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Liver, Extrahepatic Tissues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color w:val="1b1c1d"/>
                <w:rtl w:val="0"/>
              </w:rPr>
              <w:t xml:space="preserve">Catechol estrogens, Hyodeoxycholic acid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color w:val="1b1c1d"/>
                <w:rtl w:val="0"/>
              </w:rPr>
              <w:t xml:space="preserve">Phytochemicals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Polymorphisms linked to amino acid changes.</w:t>
            </w:r>
            <w:r w:rsidDel="00000000" w:rsidR="00000000" w:rsidRPr="00000000">
              <w:rPr>
                <w:color w:val="575b5f"/>
                <w:sz w:val="40"/>
                <w:szCs w:val="40"/>
                <w:highlight w:val="white"/>
                <w:vertAlign w:val="superscript"/>
                <w:rtl w:val="0"/>
              </w:rPr>
              <w:t xml:space="preserve">12</w:t>
            </w:r>
          </w:p>
        </w:tc>
      </w:tr>
      <w:tr>
        <w:trPr>
          <w:cantSplit w:val="0"/>
          <w:trHeight w:val="20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color w:val="1b1c1d"/>
                <w:rtl w:val="0"/>
              </w:rPr>
              <w:t xml:space="preserve">UGT2B7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color w:val="1b1c1d"/>
                <w:rtl w:val="0"/>
              </w:rPr>
              <w:t xml:space="preserve">UGT2B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rPr>
            </w:pPr>
            <w:r w:rsidDel="00000000" w:rsidR="00000000" w:rsidRPr="00000000">
              <w:rPr>
                <w:color w:val="1b1c1d"/>
                <w:rtl w:val="0"/>
              </w:rPr>
              <w:t xml:space="preserve">4q13.2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rPr>
            </w:pPr>
            <w:r w:rsidDel="00000000" w:rsidR="00000000" w:rsidRPr="00000000">
              <w:rPr>
                <w:color w:val="1b1c1d"/>
                <w:rtl w:val="0"/>
              </w:rPr>
              <w:t xml:space="preserve">Liver, Kidneys, Brain, GI Tract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rPr>
            </w:pPr>
            <w:r w:rsidDel="00000000" w:rsidR="00000000" w:rsidRPr="00000000">
              <w:rPr>
                <w:color w:val="1b1c1d"/>
                <w:rtl w:val="0"/>
              </w:rPr>
              <w:t xml:space="preserve">3,4-catechol estrogens, Estriol, Androgens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b1c1d"/>
              </w:rPr>
            </w:pPr>
            <w:r w:rsidDel="00000000" w:rsidR="00000000" w:rsidRPr="00000000">
              <w:rPr>
                <w:color w:val="1b1c1d"/>
                <w:rtl w:val="0"/>
              </w:rPr>
              <w:t xml:space="preserve">Morphine, Codeine, Ketoprofen, All-trans retinoic acid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Major enzyme for opiate metabolism; high transcriptional diversity.</w:t>
            </w:r>
            <w:r w:rsidDel="00000000" w:rsidR="00000000" w:rsidRPr="00000000">
              <w:rPr>
                <w:color w:val="575b5f"/>
                <w:sz w:val="40"/>
                <w:szCs w:val="40"/>
                <w:highlight w:val="white"/>
                <w:vertAlign w:val="superscript"/>
                <w:rtl w:val="0"/>
              </w:rPr>
              <w:t xml:space="preserve">5</w:t>
            </w:r>
          </w:p>
        </w:tc>
      </w:tr>
      <w:tr>
        <w:trPr>
          <w:cantSplit w:val="0"/>
          <w:trHeight w:val="20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b1c1d"/>
              </w:rPr>
            </w:pPr>
            <w:r w:rsidDel="00000000" w:rsidR="00000000" w:rsidRPr="00000000">
              <w:rPr>
                <w:color w:val="1b1c1d"/>
                <w:rtl w:val="0"/>
              </w:rPr>
              <w:t xml:space="preserve">UGT2B15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b1c1d"/>
              </w:rPr>
            </w:pPr>
            <w:r w:rsidDel="00000000" w:rsidR="00000000" w:rsidRPr="00000000">
              <w:rPr>
                <w:color w:val="1b1c1d"/>
                <w:rtl w:val="0"/>
              </w:rPr>
              <w:t xml:space="preserve">UGT2B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b1c1d"/>
              </w:rPr>
            </w:pPr>
            <w:r w:rsidDel="00000000" w:rsidR="00000000" w:rsidRPr="00000000">
              <w:rPr>
                <w:color w:val="1b1c1d"/>
                <w:rtl w:val="0"/>
              </w:rPr>
              <w:t xml:space="preserve">4q13.2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b1c1d"/>
              </w:rPr>
            </w:pPr>
            <w:r w:rsidDel="00000000" w:rsidR="00000000" w:rsidRPr="00000000">
              <w:rPr>
                <w:color w:val="1b1c1d"/>
                <w:rtl w:val="0"/>
              </w:rPr>
              <w:t xml:space="preserve">Liver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b1c1d"/>
              </w:rPr>
            </w:pPr>
            <w:r w:rsidDel="00000000" w:rsidR="00000000" w:rsidRPr="00000000">
              <w:rPr>
                <w:color w:val="1b1c1d"/>
                <w:rtl w:val="0"/>
              </w:rPr>
              <w:t xml:space="preserve">C19-steroids (e.g., dihydrotestosterone)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b1c1d"/>
              </w:rPr>
            </w:pPr>
            <w:r w:rsidDel="00000000" w:rsidR="00000000" w:rsidRPr="00000000">
              <w:rPr>
                <w:color w:val="1b1c1d"/>
                <w:rtl w:val="0"/>
              </w:rPr>
              <w:t xml:space="preserve">Ethanol, Phenolic compounds, Flavonoids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More limited substrate specificity; involved in certain drug clearance.</w:t>
            </w:r>
            <w:r w:rsidDel="00000000" w:rsidR="00000000" w:rsidRPr="00000000">
              <w:rPr>
                <w:color w:val="575b5f"/>
                <w:sz w:val="40"/>
                <w:szCs w:val="40"/>
                <w:highlight w:val="white"/>
                <w:vertAlign w:val="superscript"/>
                <w:rtl w:val="0"/>
              </w:rPr>
              <w:t xml:space="preserve">2</w:t>
            </w:r>
          </w:p>
        </w:tc>
      </w:tr>
      <w:tr>
        <w:trPr>
          <w:cantSplit w:val="0"/>
          <w:trHeight w:val="283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b1c1d"/>
              </w:rPr>
            </w:pPr>
            <w:r w:rsidDel="00000000" w:rsidR="00000000" w:rsidRPr="00000000">
              <w:rPr>
                <w:color w:val="1b1c1d"/>
                <w:rtl w:val="0"/>
              </w:rPr>
              <w:t xml:space="preserve">UGT2B17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b1c1d"/>
              </w:rPr>
            </w:pPr>
            <w:r w:rsidDel="00000000" w:rsidR="00000000" w:rsidRPr="00000000">
              <w:rPr>
                <w:color w:val="1b1c1d"/>
                <w:rtl w:val="0"/>
              </w:rPr>
              <w:t xml:space="preserve">UGT2B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b1c1d"/>
              </w:rPr>
            </w:pPr>
            <w:r w:rsidDel="00000000" w:rsidR="00000000" w:rsidRPr="00000000">
              <w:rPr>
                <w:color w:val="1b1c1d"/>
                <w:rtl w:val="0"/>
              </w:rPr>
              <w:t xml:space="preserve">4q13.2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b1c1d"/>
              </w:rPr>
            </w:pPr>
            <w:r w:rsidDel="00000000" w:rsidR="00000000" w:rsidRPr="00000000">
              <w:rPr>
                <w:color w:val="1b1c1d"/>
                <w:rtl w:val="0"/>
              </w:rPr>
              <w:t xml:space="preserve">Liver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spacing w:after="480" w:lineRule="auto"/>
              <w:rPr>
                <w:color w:val="1b1c1d"/>
              </w:rPr>
            </w:pPr>
            <w:r w:rsidDel="00000000" w:rsidR="00000000" w:rsidRPr="00000000">
              <w:rPr>
                <w:color w:val="1b1c1d"/>
                <w:rtl w:val="0"/>
              </w:rPr>
              <w:t xml:space="preserve">Testosterone, Epitestosterone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spacing w:after="48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Gene deletion polymorphism affects testosterone excretion, impacting BMI, osteoporosis, and sports anti-doping tests.</w:t>
            </w:r>
            <w:r w:rsidDel="00000000" w:rsidR="00000000" w:rsidRPr="00000000">
              <w:rPr>
                <w:color w:val="575b5f"/>
                <w:sz w:val="40"/>
                <w:szCs w:val="40"/>
                <w:highlight w:val="white"/>
                <w:vertAlign w:val="superscript"/>
                <w:rtl w:val="0"/>
              </w:rPr>
              <w:t xml:space="preserve">16</w:t>
            </w:r>
          </w:p>
        </w:tc>
      </w:tr>
    </w:tbl>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2: Clinically Significant UGT Polymorphisms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905"/>
        <w:gridCol w:w="2025"/>
        <w:gridCol w:w="1995"/>
        <w:gridCol w:w="1965"/>
        <w:tblGridChange w:id="0">
          <w:tblGrid>
            <w:gridCol w:w="1455"/>
            <w:gridCol w:w="1905"/>
            <w:gridCol w:w="2025"/>
            <w:gridCol w:w="1995"/>
            <w:gridCol w:w="1965"/>
          </w:tblGrid>
        </w:tblGridChange>
      </w:tblGrid>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b1c1d"/>
              </w:rPr>
            </w:pPr>
            <w:r w:rsidDel="00000000" w:rsidR="00000000" w:rsidRPr="00000000">
              <w:rPr>
                <w:color w:val="1b1c1d"/>
                <w:rtl w:val="0"/>
              </w:rPr>
              <w:t xml:space="preserve">Enzyme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spacing w:after="480" w:lineRule="auto"/>
              <w:rPr>
                <w:color w:val="1b1c1d"/>
              </w:rPr>
            </w:pPr>
            <w:r w:rsidDel="00000000" w:rsidR="00000000" w:rsidRPr="00000000">
              <w:rPr>
                <w:color w:val="1b1c1d"/>
                <w:rtl w:val="0"/>
              </w:rPr>
              <w:t xml:space="preserve">Polymorphism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spacing w:after="480" w:lineRule="auto"/>
              <w:rPr>
                <w:color w:val="1b1c1d"/>
              </w:rPr>
            </w:pPr>
            <w:r w:rsidDel="00000000" w:rsidR="00000000" w:rsidRPr="00000000">
              <w:rPr>
                <w:color w:val="1b1c1d"/>
                <w:rtl w:val="0"/>
              </w:rPr>
              <w:t xml:space="preserve">Effect on Activity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spacing w:after="480" w:lineRule="auto"/>
              <w:rPr>
                <w:color w:val="1b1c1d"/>
              </w:rPr>
            </w:pPr>
            <w:r w:rsidDel="00000000" w:rsidR="00000000" w:rsidRPr="00000000">
              <w:rPr>
                <w:color w:val="1b1c1d"/>
                <w:rtl w:val="0"/>
              </w:rPr>
              <w:t xml:space="preserve">Associated Clinical Condition/Drug Toxicity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b1c1d"/>
              </w:rPr>
            </w:pPr>
            <w:r w:rsidDel="00000000" w:rsidR="00000000" w:rsidRPr="00000000">
              <w:rPr>
                <w:color w:val="1b1c1d"/>
                <w:rtl w:val="0"/>
              </w:rPr>
              <w:t xml:space="preserve">Relevant Drug Examples</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b1c1d"/>
              </w:rPr>
            </w:pPr>
            <w:r w:rsidDel="00000000" w:rsidR="00000000" w:rsidRPr="00000000">
              <w:rPr>
                <w:color w:val="1b1c1d"/>
                <w:rtl w:val="0"/>
              </w:rPr>
              <w:t xml:space="preserve">UGT1A1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spacing w:after="480" w:lineRule="auto"/>
              <w:rPr>
                <w:color w:val="1b1c1d"/>
              </w:rPr>
            </w:pPr>
            <w:r w:rsidDel="00000000" w:rsidR="00000000" w:rsidRPr="00000000">
              <w:rPr>
                <w:color w:val="575b5f"/>
                <w:shd w:fill="e9eef6" w:val="clear"/>
                <w:rtl w:val="0"/>
              </w:rPr>
              <w:t xml:space="preserve">UGT1A1*28</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b1c1d"/>
              </w:rPr>
            </w:pPr>
            <w:r w:rsidDel="00000000" w:rsidR="00000000" w:rsidRPr="00000000">
              <w:rPr>
                <w:color w:val="1b1c1d"/>
                <w:rtl w:val="0"/>
              </w:rPr>
              <w:t xml:space="preserve">Reduced enzyme transcription by up to 70% in homozygotes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b1c1d"/>
              </w:rPr>
            </w:pPr>
            <w:r w:rsidDel="00000000" w:rsidR="00000000" w:rsidRPr="00000000">
              <w:rPr>
                <w:color w:val="1b1c1d"/>
                <w:rtl w:val="0"/>
              </w:rPr>
              <w:t xml:space="preserve">Gilbert's syndrome, Crigler-Najjar type I, Severe neutropenia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spacing w:after="480" w:lineRule="auto"/>
              <w:rPr>
                <w:color w:val="1b1c1d"/>
              </w:rPr>
            </w:pPr>
            <w:r w:rsidDel="00000000" w:rsidR="00000000" w:rsidRPr="00000000">
              <w:rPr>
                <w:color w:val="1b1c1d"/>
                <w:rtl w:val="0"/>
              </w:rPr>
              <w:t xml:space="preserve">Irinotecan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spacing w:after="480" w:lineRule="auto"/>
              <w:rPr>
                <w:color w:val="1b1c1d"/>
              </w:rPr>
            </w:pPr>
            <w:r w:rsidDel="00000000" w:rsidR="00000000" w:rsidRPr="00000000">
              <w:rPr>
                <w:color w:val="1b1c1d"/>
                <w:rtl w:val="0"/>
              </w:rPr>
              <w:t xml:space="preserve">UGT2B4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b1c1d"/>
              </w:rPr>
            </w:pPr>
            <w:r w:rsidDel="00000000" w:rsidR="00000000" w:rsidRPr="00000000">
              <w:rPr>
                <w:color w:val="1b1c1d"/>
                <w:rtl w:val="0"/>
              </w:rPr>
              <w:t xml:space="preserve">D458E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b1c1d"/>
              </w:rPr>
            </w:pPr>
            <w:r w:rsidDel="00000000" w:rsidR="00000000" w:rsidRPr="00000000">
              <w:rPr>
                <w:color w:val="1b1c1d"/>
                <w:rtl w:val="0"/>
              </w:rPr>
              <w:t xml:space="preserve">Leads to amino acid change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b1c1d"/>
              </w:rPr>
            </w:pPr>
            <w:r w:rsidDel="00000000" w:rsidR="00000000" w:rsidRPr="00000000">
              <w:rPr>
                <w:color w:val="1b1c1d"/>
                <w:rtl w:val="0"/>
              </w:rPr>
              <w:t xml:space="preserve">-</w:t>
            </w:r>
          </w:p>
        </w:tc>
      </w:tr>
      <w:tr>
        <w:trPr>
          <w:cantSplit w:val="0"/>
          <w:trHeight w:val="30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b1c1d"/>
              </w:rPr>
            </w:pPr>
            <w:r w:rsidDel="00000000" w:rsidR="00000000" w:rsidRPr="00000000">
              <w:rPr>
                <w:color w:val="1b1c1d"/>
                <w:rtl w:val="0"/>
              </w:rPr>
              <w:t xml:space="preserve">UGT2B7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b1c1d"/>
              </w:rPr>
            </w:pPr>
            <w:r w:rsidDel="00000000" w:rsidR="00000000" w:rsidRPr="00000000">
              <w:rPr>
                <w:color w:val="1b1c1d"/>
                <w:rtl w:val="0"/>
              </w:rPr>
              <w:t xml:space="preserve">H268Y, C802T, rs7439366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b1c1d"/>
              </w:rPr>
            </w:pPr>
            <w:r w:rsidDel="00000000" w:rsidR="00000000" w:rsidRPr="00000000">
              <w:rPr>
                <w:color w:val="1b1c1d"/>
                <w:rtl w:val="0"/>
              </w:rPr>
              <w:t xml:space="preserve">Variable effects on glucuronidation activity. C802T worsens analgesic response to buprenorphine.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b1c1d"/>
              </w:rPr>
            </w:pPr>
            <w:r w:rsidDel="00000000" w:rsidR="00000000" w:rsidRPr="00000000">
              <w:rPr>
                <w:color w:val="1b1c1d"/>
                <w:rtl w:val="0"/>
              </w:rPr>
              <w:t xml:space="preserve">Colorectal cancer risk (rs7439366), Breast cancer risk (rs7441774), Papillary thyroid cancer risk (rs3924194)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spacing w:after="480" w:lineRule="auto"/>
              <w:rPr>
                <w:color w:val="1b1c1d"/>
              </w:rPr>
            </w:pPr>
            <w:r w:rsidDel="00000000" w:rsidR="00000000" w:rsidRPr="00000000">
              <w:rPr>
                <w:color w:val="1b1c1d"/>
                <w:rtl w:val="0"/>
              </w:rPr>
              <w:t xml:space="preserve">Buprenorphine</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b1c1d"/>
              </w:rPr>
            </w:pPr>
            <w:r w:rsidDel="00000000" w:rsidR="00000000" w:rsidRPr="00000000">
              <w:rPr>
                <w:color w:val="1b1c1d"/>
                <w:rtl w:val="0"/>
              </w:rPr>
              <w:t xml:space="preserve">UGT2B15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spacing w:after="480" w:lineRule="auto"/>
              <w:rPr>
                <w:color w:val="1b1c1d"/>
              </w:rPr>
            </w:pPr>
            <w:r w:rsidDel="00000000" w:rsidR="00000000" w:rsidRPr="00000000">
              <w:rPr>
                <w:color w:val="1b1c1d"/>
                <w:rtl w:val="0"/>
              </w:rPr>
              <w:t xml:space="preserve">D85Y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spacing w:after="480" w:lineRule="auto"/>
              <w:rPr>
                <w:color w:val="1b1c1d"/>
              </w:rPr>
            </w:pPr>
            <w:r w:rsidDel="00000000" w:rsidR="00000000" w:rsidRPr="00000000">
              <w:rPr>
                <w:color w:val="1b1c1d"/>
                <w:rtl w:val="0"/>
              </w:rPr>
              <w:t xml:space="preserve">Leads to amino acid change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spacing w:after="48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spacing w:after="480" w:lineRule="auto"/>
              <w:rPr>
                <w:color w:val="1b1c1d"/>
              </w:rPr>
            </w:pPr>
            <w:r w:rsidDel="00000000" w:rsidR="00000000" w:rsidRPr="00000000">
              <w:rPr>
                <w:color w:val="1b1c1d"/>
                <w:rtl w:val="0"/>
              </w:rPr>
              <w:t xml:space="preserve">-</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b1c1d"/>
              </w:rPr>
            </w:pPr>
            <w:r w:rsidDel="00000000" w:rsidR="00000000" w:rsidRPr="00000000">
              <w:rPr>
                <w:color w:val="1b1c1d"/>
                <w:rtl w:val="0"/>
              </w:rPr>
              <w:t xml:space="preserve">UGT2B17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spacing w:after="480" w:lineRule="auto"/>
              <w:rPr>
                <w:color w:val="1b1c1d"/>
              </w:rPr>
            </w:pPr>
            <w:r w:rsidDel="00000000" w:rsidR="00000000" w:rsidRPr="00000000">
              <w:rPr>
                <w:color w:val="1b1c1d"/>
                <w:rtl w:val="0"/>
              </w:rPr>
              <w:t xml:space="preserve">Gene Deletion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spacing w:after="480" w:lineRule="auto"/>
              <w:rPr>
                <w:color w:val="1b1c1d"/>
              </w:rPr>
            </w:pPr>
            <w:r w:rsidDel="00000000" w:rsidR="00000000" w:rsidRPr="00000000">
              <w:rPr>
                <w:color w:val="1b1c1d"/>
                <w:rtl w:val="0"/>
              </w:rPr>
              <w:t xml:space="preserve">Significantly reduces testosterone glucuronidation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spacing w:after="480" w:lineRule="auto"/>
              <w:rPr>
                <w:color w:val="1b1c1d"/>
              </w:rPr>
            </w:pPr>
            <w:r w:rsidDel="00000000" w:rsidR="00000000" w:rsidRPr="00000000">
              <w:rPr>
                <w:color w:val="1b1c1d"/>
                <w:rtl w:val="0"/>
              </w:rPr>
              <w:t xml:space="preserve">False-negative doping tests, lower BMI in men, prostate cancer risk, osteoporosis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spacing w:after="480" w:lineRule="auto"/>
              <w:rPr>
                <w:color w:val="1b1c1d"/>
              </w:rPr>
            </w:pPr>
            <w:r w:rsidDel="00000000" w:rsidR="00000000" w:rsidRPr="00000000">
              <w:rPr>
                <w:color w:val="1b1c1d"/>
                <w:rtl w:val="0"/>
              </w:rPr>
              <w:t xml:space="preserve">Testosterone</w:t>
            </w:r>
          </w:p>
        </w:tc>
      </w:tr>
    </w:tbl>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3: UGT Inhibitors and Inducers</w:t>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515"/>
        <w:gridCol w:w="1665"/>
        <w:gridCol w:w="1875"/>
        <w:gridCol w:w="2355"/>
        <w:tblGridChange w:id="0">
          <w:tblGrid>
            <w:gridCol w:w="1545"/>
            <w:gridCol w:w="1515"/>
            <w:gridCol w:w="1665"/>
            <w:gridCol w:w="1875"/>
            <w:gridCol w:w="235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spacing w:after="480" w:lineRule="auto"/>
              <w:rPr>
                <w:color w:val="1b1c1d"/>
              </w:rPr>
            </w:pPr>
            <w:r w:rsidDel="00000000" w:rsidR="00000000" w:rsidRPr="00000000">
              <w:rPr>
                <w:color w:val="1b1c1d"/>
                <w:rtl w:val="0"/>
              </w:rPr>
              <w:t xml:space="preserve">Enzyme(s)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spacing w:after="480" w:lineRule="auto"/>
              <w:rPr>
                <w:color w:val="1b1c1d"/>
              </w:rPr>
            </w:pPr>
            <w:r w:rsidDel="00000000" w:rsidR="00000000" w:rsidRPr="00000000">
              <w:rPr>
                <w:color w:val="1b1c1d"/>
                <w:rtl w:val="0"/>
              </w:rPr>
              <w:t xml:space="preserve">Type of Interaction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spacing w:after="480" w:lineRule="auto"/>
              <w:rPr>
                <w:color w:val="1b1c1d"/>
              </w:rPr>
            </w:pPr>
            <w:r w:rsidDel="00000000" w:rsidR="00000000" w:rsidRPr="00000000">
              <w:rPr>
                <w:color w:val="1b1c1d"/>
                <w:rtl w:val="0"/>
              </w:rPr>
              <w:t xml:space="preserve">Mechanism (if known)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spacing w:after="480" w:lineRule="auto"/>
              <w:rPr>
                <w:color w:val="1b1c1d"/>
              </w:rPr>
            </w:pPr>
            <w:r w:rsidDel="00000000" w:rsidR="00000000" w:rsidRPr="00000000">
              <w:rPr>
                <w:color w:val="1b1c1d"/>
                <w:rtl w:val="0"/>
              </w:rPr>
              <w:t xml:space="preserve">Example(s)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spacing w:after="480" w:lineRule="auto"/>
              <w:rPr>
                <w:color w:val="1b1c1d"/>
              </w:rPr>
            </w:pPr>
            <w:r w:rsidDel="00000000" w:rsidR="00000000" w:rsidRPr="00000000">
              <w:rPr>
                <w:color w:val="1b1c1d"/>
                <w:rtl w:val="0"/>
              </w:rPr>
              <w:t xml:space="preserve">Clinical Impact</w:t>
            </w:r>
          </w:p>
        </w:tc>
      </w:tr>
      <w:tr>
        <w:trPr>
          <w:cantSplit w:val="0"/>
          <w:trHeight w:val="20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spacing w:after="480" w:lineRule="auto"/>
              <w:rPr>
                <w:color w:val="1b1c1d"/>
              </w:rPr>
            </w:pPr>
            <w:r w:rsidDel="00000000" w:rsidR="00000000" w:rsidRPr="00000000">
              <w:rPr>
                <w:color w:val="1b1c1d"/>
                <w:rtl w:val="0"/>
              </w:rPr>
              <w:t xml:space="preserve">All UGTs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spacing w:after="480" w:lineRule="auto"/>
              <w:rPr>
                <w:color w:val="1b1c1d"/>
              </w:rPr>
            </w:pPr>
            <w:r w:rsidDel="00000000" w:rsidR="00000000" w:rsidRPr="00000000">
              <w:rPr>
                <w:color w:val="1b1c1d"/>
                <w:rtl w:val="0"/>
              </w:rPr>
              <w:t xml:space="preserve">Induction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spacing w:after="480" w:lineRule="auto"/>
              <w:rPr>
                <w:color w:val="1b1c1d"/>
              </w:rPr>
            </w:pPr>
            <w:r w:rsidDel="00000000" w:rsidR="00000000" w:rsidRPr="00000000">
              <w:rPr>
                <w:color w:val="1b1c1d"/>
                <w:rtl w:val="0"/>
              </w:rPr>
              <w:t xml:space="preserve">Regulation via Pregnane X Receptor (PXR)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b1c1d"/>
              </w:rPr>
            </w:pPr>
            <w:r w:rsidDel="00000000" w:rsidR="00000000" w:rsidRPr="00000000">
              <w:rPr>
                <w:color w:val="1b1c1d"/>
                <w:rtl w:val="0"/>
              </w:rPr>
              <w:t xml:space="preserve">Rifampicin, Phenobarbital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Increases glucuronidation rate, potentially reducing efficacy of drug substrates.</w:t>
            </w:r>
            <w:r w:rsidDel="00000000" w:rsidR="00000000" w:rsidRPr="00000000">
              <w:rPr>
                <w:color w:val="575b5f"/>
                <w:sz w:val="40"/>
                <w:szCs w:val="40"/>
                <w:highlight w:val="white"/>
                <w:vertAlign w:val="superscript"/>
                <w:rtl w:val="0"/>
              </w:rPr>
              <w:t xml:space="preserve">2</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spacing w:after="480" w:lineRule="auto"/>
              <w:rPr>
                <w:color w:val="1b1c1d"/>
              </w:rPr>
            </w:pPr>
            <w:r w:rsidDel="00000000" w:rsidR="00000000" w:rsidRPr="00000000">
              <w:rPr>
                <w:color w:val="1b1c1d"/>
                <w:rtl w:val="0"/>
              </w:rPr>
              <w:t xml:space="preserve">UGT1A1, UGT2B4, UGT2B7, UGT2B15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spacing w:after="480" w:lineRule="auto"/>
              <w:rPr>
                <w:color w:val="1b1c1d"/>
              </w:rPr>
            </w:pPr>
            <w:r w:rsidDel="00000000" w:rsidR="00000000" w:rsidRPr="00000000">
              <w:rPr>
                <w:color w:val="1b1c1d"/>
                <w:rtl w:val="0"/>
              </w:rPr>
              <w:t xml:space="preserve">Inhibition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spacing w:after="480" w:lineRule="auto"/>
              <w:rPr>
                <w:color w:val="1b1c1d"/>
              </w:rPr>
            </w:pPr>
            <w:r w:rsidDel="00000000" w:rsidR="00000000" w:rsidRPr="00000000">
              <w:rPr>
                <w:color w:val="1b1c1d"/>
                <w:rtl w:val="0"/>
              </w:rPr>
              <w:t xml:space="preserve">Competitive Inhibition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spacing w:after="480" w:lineRule="auto"/>
              <w:rPr>
                <w:color w:val="1b1c1d"/>
              </w:rPr>
            </w:pPr>
            <w:r w:rsidDel="00000000" w:rsidR="00000000" w:rsidRPr="00000000">
              <w:rPr>
                <w:color w:val="1b1c1d"/>
                <w:rtl w:val="0"/>
              </w:rPr>
              <w:t xml:space="preserve">Vitamin 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Can alter metabolism of drugs and endogenous substances.</w:t>
            </w:r>
            <w:r w:rsidDel="00000000" w:rsidR="00000000" w:rsidRPr="00000000">
              <w:rPr>
                <w:color w:val="575b5f"/>
                <w:sz w:val="40"/>
                <w:szCs w:val="40"/>
                <w:highlight w:val="white"/>
                <w:vertAlign w:val="superscript"/>
                <w:rtl w:val="0"/>
              </w:rPr>
              <w:t xml:space="preserve">20</w:t>
            </w:r>
          </w:p>
        </w:tc>
      </w:tr>
      <w:tr>
        <w:trPr>
          <w:cantSplit w:val="0"/>
          <w:trHeight w:val="25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spacing w:after="480" w:lineRule="auto"/>
              <w:rPr>
                <w:color w:val="1b1c1d"/>
              </w:rPr>
            </w:pPr>
            <w:r w:rsidDel="00000000" w:rsidR="00000000" w:rsidRPr="00000000">
              <w:rPr>
                <w:color w:val="1b1c1d"/>
                <w:rtl w:val="0"/>
              </w:rPr>
              <w:t xml:space="preserve">UGT1A1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spacing w:after="480" w:lineRule="auto"/>
              <w:rPr>
                <w:color w:val="1b1c1d"/>
              </w:rPr>
            </w:pPr>
            <w:r w:rsidDel="00000000" w:rsidR="00000000" w:rsidRPr="00000000">
              <w:rPr>
                <w:color w:val="1b1c1d"/>
                <w:rtl w:val="0"/>
              </w:rPr>
              <w:t xml:space="preserve">Inhibition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spacing w:after="48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b1c1d"/>
              </w:rPr>
            </w:pPr>
            <w:r w:rsidDel="00000000" w:rsidR="00000000" w:rsidRPr="00000000">
              <w:rPr>
                <w:color w:val="1b1c1d"/>
                <w:rtl w:val="0"/>
              </w:rPr>
              <w:t xml:space="preserve">Atazanavir, Indinavir, Sorafenib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Increased risk of hyperbilirubinemia and drug accumulation, especially in individuals with the </w:t>
            </w:r>
            <w:r w:rsidDel="00000000" w:rsidR="00000000" w:rsidRPr="00000000">
              <w:rPr>
                <w:color w:val="575b5f"/>
                <w:shd w:fill="e9eef6" w:val="clear"/>
                <w:rtl w:val="0"/>
              </w:rPr>
              <w:t xml:space="preserve">UGT1A1*28</w:t>
            </w:r>
            <w:r w:rsidDel="00000000" w:rsidR="00000000" w:rsidRPr="00000000">
              <w:rPr>
                <w:color w:val="1b1c1d"/>
                <w:rtl w:val="0"/>
              </w:rPr>
              <w:t xml:space="preserve"> polymorphism.</w:t>
            </w:r>
            <w:r w:rsidDel="00000000" w:rsidR="00000000" w:rsidRPr="00000000">
              <w:rPr>
                <w:color w:val="575b5f"/>
                <w:sz w:val="40"/>
                <w:szCs w:val="40"/>
                <w:highlight w:val="white"/>
                <w:vertAlign w:val="superscript"/>
                <w:rtl w:val="0"/>
              </w:rPr>
              <w:t xml:space="preserve">8</w:t>
            </w:r>
          </w:p>
        </w:tc>
      </w:tr>
    </w:tbl>
    <w:p w:rsidR="00000000" w:rsidDel="00000000" w:rsidP="00000000" w:rsidRDefault="00000000" w:rsidRPr="00000000" w14:paraId="000000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tubahfihfam" w:id="29"/>
      <w:bookmarkEnd w:id="29"/>
      <w:r w:rsidDel="00000000" w:rsidR="00000000" w:rsidRPr="00000000">
        <w:rPr>
          <w:b w:val="1"/>
          <w:color w:val="1b1c1d"/>
          <w:sz w:val="34"/>
          <w:szCs w:val="34"/>
          <w:rtl w:val="0"/>
        </w:rPr>
        <w:t xml:space="preserve">VII. Conclusion</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 multi-faceted, expert-level perspective on the UDP-glucuronosyltransferase superfamily, synthesizing information on their fundamental function, unique genomic architectures, and their critical roles in both xenobiotic metabolism and endogenous homeostasis. It has detailed the specific characteristics of fourteen UGT isoforms, from their tissue-specific expression patterns to their interactions with a wide variety of small molecules, including both therapeutic drugs and endogenous compounds. The analysis has also gone beyond simple facts by explaining the evolutionary pressures that shaped UGT diversity, the profound clinical implications of genetic polymorphisms, and the complex interplay of drug-drug interactions, which can be influenced by diet and other non-genetic factors. The structured presentation of data in tables is designed to support the user's objective of creating a robust, accurate, and easily retrievable knowledge base for a Retrieval-Augmented Generation (RAG) model. By explicitly addressing the absence of information on "UDP-sugar-dependent glycosyltransferase 52," the report also demonstrates how to handle data limitations, a crucial element for ensuring the reliability of any AI system. The comprehensive nature of this report is intended to serve as a high-fidelity foundation for training a system that can provide nuanced and verifiable answers in the complex domain of human drug metabolism.</w:t>
      </w:r>
    </w:p>
    <w:p w:rsidR="00000000" w:rsidDel="00000000" w:rsidP="00000000" w:rsidRDefault="00000000" w:rsidRPr="00000000" w14:paraId="000000D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