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r1bx8zv6rg" w:id="0"/>
      <w:bookmarkEnd w:id="0"/>
      <w:r w:rsidDel="00000000" w:rsidR="00000000" w:rsidRPr="00000000">
        <w:rPr>
          <w:b w:val="1"/>
          <w:color w:val="1b1c1d"/>
          <w:sz w:val="46"/>
          <w:szCs w:val="46"/>
          <w:rtl w:val="0"/>
        </w:rPr>
        <w:t xml:space="preserve">A Comprehensive Review of the Glutathione S-Transferase Cluster: GSTA1, GSTA3, and GSTT2/GSTT2B – Divergent Roles in Steroid Metabolism and Detoxification Unified by the Thioredoxin Fold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leb8xqah246" w:id="1"/>
      <w:bookmarkEnd w:id="1"/>
      <w:r w:rsidDel="00000000" w:rsidR="00000000" w:rsidRPr="00000000">
        <w:rPr>
          <w:b w:val="1"/>
          <w:color w:val="1b1c1d"/>
          <w:sz w:val="34"/>
          <w:szCs w:val="34"/>
          <w:rtl w:val="0"/>
        </w:rPr>
        <w:t xml:space="preserve">I. Introduction to the Glutathione S-Transferase Superfamily and Clustering Rationale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ki06klixi1d" w:id="2"/>
      <w:bookmarkEnd w:id="2"/>
      <w:r w:rsidDel="00000000" w:rsidR="00000000" w:rsidRPr="00000000">
        <w:rPr>
          <w:b w:val="1"/>
          <w:color w:val="1b1c1d"/>
          <w:sz w:val="26"/>
          <w:szCs w:val="26"/>
          <w:rtl w:val="0"/>
        </w:rPr>
        <w:t xml:space="preserve">1.1. Overview of Cytosolic GSTs: Core Function and Multifunctionality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Glutathione S-transferases (GSTs; EC 2.5.1.18) comprise a vast and multifunctional superfamily of proteins, serving primarily as key Phase II detoxification enzymes found widely across eukaryotes and prokaryotes.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mammalian systems, the cytosolic GSTs are extensively characterized and are vital for cellular protection against chemical damage. Their principal function involves catalyzing the nucleophilic attack of the sulfhydryl group of reduced glutathione (GSH) onto electrophilic centers of endogenous and exogenous compounds, thereby creating highly water-soluble conjugates ready for excretion.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organs such as the liver, GSTs can account for up to 10% of the total cytosolic protein concentration.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this core conjugation activity, GSTs exhibit extensive multifunctional capabilities, including peroxidase activity (EC 1.11.1.-), specifically towards fatty acid hydroperoxides (FA-OOH), and isomerase activities (EC 5.3.3.-).</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Moreover, GSTs are recognized for their non-enzymatic functions, historically termed </w:t>
      </w:r>
      <w:r w:rsidDel="00000000" w:rsidR="00000000" w:rsidRPr="00000000">
        <w:rPr>
          <w:b w:val="1"/>
          <w:color w:val="1b1c1d"/>
          <w:rtl w:val="0"/>
        </w:rPr>
        <w:t xml:space="preserve">ligandin</w:t>
      </w:r>
      <w:r w:rsidDel="00000000" w:rsidR="00000000" w:rsidRPr="00000000">
        <w:rPr>
          <w:color w:val="1b1c1d"/>
          <w:rtl w:val="0"/>
        </w:rPr>
        <w:t xml:space="preserve"> activity, involving the high-capacity, non-covalent binding of a broad spectrum of hydrophobic ligands, including steroids, bilirubin, and carcinogens.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Certain isoforms also participate directly in cellular regulatory roles, such as the modulation of the MAPK signaling pathway.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proteins examined in this report—GSTA1, GSTA3, GSTT2, and GSTT2B—collectively encompass these diverse activities, showcasing the versatility of the GST superfamily.</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z8ixrc5zjlf" w:id="3"/>
      <w:bookmarkEnd w:id="3"/>
      <w:r w:rsidDel="00000000" w:rsidR="00000000" w:rsidRPr="00000000">
        <w:rPr>
          <w:b w:val="1"/>
          <w:color w:val="1b1c1d"/>
          <w:sz w:val="26"/>
          <w:szCs w:val="26"/>
          <w:rtl w:val="0"/>
        </w:rPr>
        <w:t xml:space="preserve">1.2. Basis for Protein Language Model Clustering: The Conserved Thioredoxin Fold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grouping of members from the Alpha class (GSTA1, GSTA3) and the Theta class (GSTT2, GSTT2B) into a single functional cluster, based on Protein Language Model (PLM) embeddings, reflects a deep evolutionary and structural unity [Query data]. Cytosolic GSTs fall within the </w:t>
      </w:r>
      <w:r w:rsidDel="00000000" w:rsidR="00000000" w:rsidRPr="00000000">
        <w:rPr>
          <w:b w:val="1"/>
          <w:color w:val="1b1c1d"/>
          <w:rtl w:val="0"/>
        </w:rPr>
        <w:t xml:space="preserve">thioredoxin fold superfamily</w:t>
      </w:r>
      <w:r w:rsidDel="00000000" w:rsidR="00000000" w:rsidRPr="00000000">
        <w:rPr>
          <w:color w:val="1b1c1d"/>
          <w:rtl w:val="0"/>
        </w:rPr>
        <w:t xml:space="preserve">, sharing a common fundamental structural motif.</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canonical GST fold dictates that each subunit is organized into two primary domains: an N-terminal domain dominated by $\beta$-sheets (which contains the conserved glutathione-binding site or G-site), and a C-terminal domain composed primarily of $\alpha$-helices (which forms part of the hydrophobic substrate-binding site or H-site).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ability of PLMs, which are trained on linear sequence data, to group these functionally disparate isoforms together indicates that the models are highly sensitive to the global topological relationships inherent in the conserved GST Superfold.</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structural conservation of the core fold is necessary for accommodating the cofactor glutathione and maintaining the basic architecture for ligand recognition, a similarity that overrides the subtle sequence variations responsible for specialized catalytic functions. The structural relationships are strong enough that the fundamental GST scaffolding is preserved across these distinct evolutionary classes.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lryin7gnbdn" w:id="4"/>
      <w:bookmarkEnd w:id="4"/>
      <w:r w:rsidDel="00000000" w:rsidR="00000000" w:rsidRPr="00000000">
        <w:rPr>
          <w:b w:val="1"/>
          <w:color w:val="1b1c1d"/>
          <w:sz w:val="26"/>
          <w:szCs w:val="26"/>
          <w:rtl w:val="0"/>
        </w:rPr>
        <w:t xml:space="preserve">1.3. Classification and Distribution of Target Isoforms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proteins under review belong to two major cytosolic GST classes: Alpha (GSTA) and Theta (GSTT).</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Alpha Class (GSTA1, GSTA3):</w:t>
      </w:r>
      <w:r w:rsidDel="00000000" w:rsidR="00000000" w:rsidRPr="00000000">
        <w:rPr>
          <w:color w:val="1b1c1d"/>
          <w:rtl w:val="0"/>
        </w:rPr>
        <w:t xml:space="preserve"> The human alpha class consists of five genes ($\text{hGSTA1}-\text{hGSTA5}$) located in a cluster on chromosome 6p12.1-6p12.2.</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GSTA enzymes typically function as homodimers (e.g., GSTA1-1, GSTA3-3). GSTA1 is one of the most widely expressed members, showing high levels in the liver, kidney, intestine, adrenal gland, and testis.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In contrast, GSTA3 expression is highly restricted, predominantly found in steroidogenic tissues, a localization pattern consistent with its specialized catalytic function in hormone synthesis.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Theta Class (GSTT2, GSTT2B):</w:t>
      </w:r>
      <w:r w:rsidDel="00000000" w:rsidR="00000000" w:rsidRPr="00000000">
        <w:rPr>
          <w:color w:val="1b1c1d"/>
          <w:rtl w:val="0"/>
        </w:rPr>
        <w:t xml:space="preserve"> The Theta class, which includes GSTT1, GSTT2, and GSTT2B, represents the largest class of GST isozymes found across a broad range of species.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GSTT2 and GSTT2B are highly homologous, sharing nearly identical sequences, and are encoded by genes situated on chromosome 22q11.23.</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Expression of GSTT2/GSTT2B is detectable in tissues such as the testicle, right kidney, and prefrontal cortex.</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 relevant pharmacogenomic consideration is that the GSTT2B gene exhibits copy number variability and functions as a pseudogene in certain human populations.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iyfd6ws2g3t" w:id="5"/>
      <w:bookmarkEnd w:id="5"/>
      <w:r w:rsidDel="00000000" w:rsidR="00000000" w:rsidRPr="00000000">
        <w:rPr>
          <w:b w:val="1"/>
          <w:color w:val="1b1c1d"/>
          <w:sz w:val="34"/>
          <w:szCs w:val="34"/>
          <w:rtl w:val="0"/>
        </w:rPr>
        <w:t xml:space="preserve">II. Comparative Molecular Architecture and Active Site Dynamics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f18yyimnez4" w:id="6"/>
      <w:bookmarkEnd w:id="6"/>
      <w:r w:rsidDel="00000000" w:rsidR="00000000" w:rsidRPr="00000000">
        <w:rPr>
          <w:b w:val="1"/>
          <w:color w:val="1b1c1d"/>
          <w:sz w:val="26"/>
          <w:szCs w:val="26"/>
          <w:rtl w:val="0"/>
        </w:rPr>
        <w:t xml:space="preserve">2.1. Structural Organization of the Dimeric Active Site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cytosolic GSTs, including the Alpha and Theta classes, operate as homo- or heterodimers.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functional complexity arises from the structure of the active site within each subunit. This site is defined by two adjacent, critical regions: the G-site and the H-site.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GSH-binding site (G-site)</w:t>
      </w:r>
      <w:r w:rsidDel="00000000" w:rsidR="00000000" w:rsidRPr="00000000">
        <w:rPr>
          <w:color w:val="1b1c1d"/>
          <w:rtl w:val="0"/>
        </w:rPr>
        <w:t xml:space="preserve"> is highly polar and utilizes conserved residues within the N-terminal domain to bind the tripeptide GSH cofactor.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G-site architecture is critical for activating GSH, often by promoting the formation of the highly nucleophilic thiolate anion. The adjacent </w:t>
      </w:r>
      <w:r w:rsidDel="00000000" w:rsidR="00000000" w:rsidRPr="00000000">
        <w:rPr>
          <w:b w:val="1"/>
          <w:color w:val="1b1c1d"/>
          <w:rtl w:val="0"/>
        </w:rPr>
        <w:t xml:space="preserve">hydrophobic binding site (H-site)</w:t>
      </w:r>
      <w:r w:rsidDel="00000000" w:rsidR="00000000" w:rsidRPr="00000000">
        <w:rPr>
          <w:color w:val="1b1c1d"/>
          <w:rtl w:val="0"/>
        </w:rPr>
        <w:t xml:space="preserve"> accommodates the electrophilic substrate.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H-site is generally formed by residues located on the C-terminal $\alpha$-helical domain, sometimes involving a loop from the N-terminal domain.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remarkable diversity in substrate specificity observed across different GST isoforms is primarily attributable to amino acid variations within the H-site, which dictates the shape, size, and polarity of the pocket where the electrophile binds.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9s19anstq8x" w:id="7"/>
      <w:bookmarkEnd w:id="7"/>
      <w:r w:rsidDel="00000000" w:rsidR="00000000" w:rsidRPr="00000000">
        <w:rPr>
          <w:b w:val="1"/>
          <w:color w:val="1b1c1d"/>
          <w:sz w:val="26"/>
          <w:szCs w:val="26"/>
          <w:rtl w:val="0"/>
        </w:rPr>
        <w:t xml:space="preserve">2.2. Mechanistic Differences: Tyrosine-type (Alpha) versus Serine/Cysteine-type (Theta)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crucial distinction in the GST superfamily is based on the conserved catalytic residue responsible for facilitating GSH activation. The Alpha class (GSTA1, GSTA3) belongs to the tyrosine-type GSTs (Y-GSTs), while the Theta class (GSTT2, GSTT2B) belongs to the serine/cysteine-type GSTs (S/C-GSTs).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w:t>
      </w:r>
      <w:r w:rsidDel="00000000" w:rsidR="00000000" w:rsidRPr="00000000">
        <w:rPr>
          <w:b w:val="1"/>
          <w:color w:val="1b1c1d"/>
          <w:rtl w:val="0"/>
        </w:rPr>
        <w:t xml:space="preserve">Y-GSTs</w:t>
      </w:r>
      <w:r w:rsidDel="00000000" w:rsidR="00000000" w:rsidRPr="00000000">
        <w:rPr>
          <w:color w:val="1b1c1d"/>
          <w:rtl w:val="0"/>
        </w:rPr>
        <w:t xml:space="preserve"> (Alpha class), a critical tyrosine residue interacts directly with the thiol group of GSH to facilitate its deprotonation.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structural analysis suggests that the electrostatic environment provided by the N-terminus of the first $\alpha$-helix (H1) plays a role in stabilizing the nascent thiolate anion, thereby assisting in the activation of GSH for subsequent transfer reactions.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w:t>
      </w:r>
      <w:r w:rsidDel="00000000" w:rsidR="00000000" w:rsidRPr="00000000">
        <w:rPr>
          <w:b w:val="1"/>
          <w:color w:val="1b1c1d"/>
          <w:rtl w:val="0"/>
        </w:rPr>
        <w:t xml:space="preserve">S/C-GSTs</w:t>
      </w:r>
      <w:r w:rsidDel="00000000" w:rsidR="00000000" w:rsidRPr="00000000">
        <w:rPr>
          <w:color w:val="1b1c1d"/>
          <w:rtl w:val="0"/>
        </w:rPr>
        <w:t xml:space="preserve"> (Theta class), activation is mediated by a serine or cysteine residue.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Structurally, S/C-GSTs exhibit a shift in the position of the active site relative to the core thioredoxin fold.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divergence means that the GSH sulfhydryl moiety in S/C-GSTs is often too distant from the N-terminus of the H1 helix to benefit significantly from the stabilizing electrostatic effect observed in Y-GSTs.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shifted active site represents a pivotal structural departure from the typical mechanism observed in other thioredoxin fold proteins, suggesting that the Theta class employs a specialized and distinct mode of GSH activation that relies less on the adjacent H1 helix.</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vcc746c6dvt" w:id="8"/>
      <w:bookmarkEnd w:id="8"/>
      <w:r w:rsidDel="00000000" w:rsidR="00000000" w:rsidRPr="00000000">
        <w:rPr>
          <w:b w:val="1"/>
          <w:color w:val="1b1c1d"/>
          <w:sz w:val="26"/>
          <w:szCs w:val="26"/>
          <w:rtl w:val="0"/>
        </w:rPr>
        <w:t xml:space="preserve">2.3. The Unique C-Terminal Architecture of GSTT2/GSTT2B</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differences between the Alpha and Theta classes are highly pronounced in their C-terminal domains, impacting substrate access and regulation. In the Alpha class, specifically GSTA1-1, the C-terminal $\alpha$-helix that typically overlays the H-site exhibits considerable flexibility and can become disordered when hydrophobic cosubstrates are absent.</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dynamic motion is postulated to be an entropically favorable mechanism facilitating the removal of GSH-conjugate products from the active site after catalysis.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stark contrast, GSTT2 possesses a distinctive and robust C-terminal extension, approximately 40 residues in length, comprising two helices connected by a loop.</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Crucially, this extension is highly structured and </w:t>
      </w:r>
      <w:r w:rsidDel="00000000" w:rsidR="00000000" w:rsidRPr="00000000">
        <w:rPr>
          <w:i w:val="1"/>
          <w:color w:val="1b1c1d"/>
          <w:rtl w:val="0"/>
        </w:rPr>
        <w:t xml:space="preserve">does not</w:t>
      </w:r>
      <w:r w:rsidDel="00000000" w:rsidR="00000000" w:rsidRPr="00000000">
        <w:rPr>
          <w:color w:val="1b1c1d"/>
          <w:rtl w:val="0"/>
        </w:rPr>
        <w:t xml:space="preserve"> become disordered, even in the apo form of the enzyme.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Instead, this long, rigid extension completely occludes the substrate-binding pocket and buries a substantial portion of the G-site.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presence of this physical barrier implies a stringent regulatory mechanism governing substrate access. Catalysis in GSTT2 is hypothesized to occur through a narrow tunnel that leads from the active site to the enzyme surface, acting as a highly selective pathway for substrate entry and product release.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contrasts markedly with the potentially more accessible and dynamic H-site found in the unbound GSTA1-1 structure.</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crbnlry8yh" w:id="9"/>
      <w:bookmarkEnd w:id="9"/>
      <w:r w:rsidDel="00000000" w:rsidR="00000000" w:rsidRPr="00000000">
        <w:rPr>
          <w:b w:val="1"/>
          <w:color w:val="1b1c1d"/>
          <w:sz w:val="34"/>
          <w:szCs w:val="34"/>
          <w:rtl w:val="0"/>
        </w:rPr>
        <w:t xml:space="preserve">III. Catalytic Functions and Steroid Interaction Modalities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these GST isoforms as "steroid-binding proteins" is rooted in two fundamentally different modes of steroid interaction: highly specific, catalytic isomerase activity (GSTA3) and broad, non-catalytic storage function (GSTA1), coupled with the Theta class's generalized hydrophobic binding and unique sulfatase function.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ztnju5iy7ww" w:id="10"/>
      <w:bookmarkEnd w:id="10"/>
      <w:r w:rsidDel="00000000" w:rsidR="00000000" w:rsidRPr="00000000">
        <w:rPr>
          <w:b w:val="1"/>
          <w:color w:val="1b1c1d"/>
          <w:sz w:val="26"/>
          <w:szCs w:val="26"/>
          <w:rtl w:val="0"/>
        </w:rPr>
        <w:t xml:space="preserve">3.1. GSTA3-3: The Specialized $\Delta^5-\Delta^4$ Ketosteroid Isomerase (EC 5.3.3.-)</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GSTA3-3 exhibits a specialized function critical to human endocrinology, acting as a highly efficient ketosteroid isomerase.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enzyme is functionally superior to other Alpha class members, possessing the highest known ketosteroid isomerase activity in human steroidogenic tissues.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catalyzes the isomerization of $\Delta^5$-androstene-3,17-dione ($\Delta^5$-AD) into the precursor of androgens, $\Delta^4$-androstene-3,17-dione ($\Delta^4$-AD).</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$\Delta^5 \to \Delta^4$ double-bond isomerization is indispensable for the biosynthesis of major steroid hormones, including progesterone and testosterone precursors.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GSTA3-3 supports the activity of the $3\beta$-hydroxysteroid dehydrogenase, thereby completing the necessary steps for steroid production from $\Delta^5$-precursors.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remarkable catalytic efficiency of GSTA3-3 towards $\Delta^5$-AD, which is approximately 5000-fold greater than that of the homologous GSTA2-2, is explained by structural biology.</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Crystal structures of GSTA3-3 complexed with AD demonstrate that the active site is engineered by minimal amino acid substitutions to bind the steroid in a precise orientation: the reactive $\Delta^5$ double bond is situated optimally relative to the GSH thiolate.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perfect alignment allows the GSH thiolate, acting as an acid-base catalyst, to mediate the necessary deprotonation and reprotonation steps for isomerization.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Conversely, in GSTA2-2, AD binds in a completely different, unproductive orientation, explaining its lack of isomerase function.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stark functional divergence, driven by minor differences in the H-site geometry, is a prime illustration of enzymatic specialization within a conserved protein fold.</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fzhrxk7wou0" w:id="11"/>
      <w:bookmarkEnd w:id="11"/>
      <w:r w:rsidDel="00000000" w:rsidR="00000000" w:rsidRPr="00000000">
        <w:rPr>
          <w:b w:val="1"/>
          <w:color w:val="1b1c1d"/>
          <w:sz w:val="26"/>
          <w:szCs w:val="26"/>
          <w:rtl w:val="0"/>
        </w:rPr>
        <w:t xml:space="preserve">3.2. GSTA1-1: High-Capacity Non-Catalytic Ligandin Function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GSTA1-1, which was historically known as </w:t>
      </w:r>
      <w:r w:rsidDel="00000000" w:rsidR="00000000" w:rsidRPr="00000000">
        <w:rPr>
          <w:b w:val="1"/>
          <w:color w:val="1b1c1d"/>
          <w:rtl w:val="0"/>
        </w:rPr>
        <w:t xml:space="preserve">Ligandin</w:t>
      </w:r>
      <w:r w:rsidDel="00000000" w:rsidR="00000000" w:rsidRPr="00000000">
        <w:rPr>
          <w:color w:val="1b1c1d"/>
          <w:rtl w:val="0"/>
        </w:rPr>
        <w:t xml:space="preserve">, functions as a major, high-capacity non-catalytic carrier protein, particularly abundant in the liver.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non-enzymatic function allows GSTA1-1 to bind and sequester a wide array of non-substrate, hydrophobic ligands, including organic anions, carcinogens, bilirubin, and various steroids and bile acids.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With respect to endogenous steroids, affinity-labelling studies indicate that steroid sulphates bind to the subunit interface region of hGSTA1-1.</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More detailed kinetic analyses using non-substrate anionic ligands such as </w:t>
      </w:r>
      <w:r w:rsidDel="00000000" w:rsidR="00000000" w:rsidRPr="00000000">
        <w:rPr>
          <w:b w:val="1"/>
          <w:color w:val="1b1c1d"/>
          <w:rtl w:val="0"/>
        </w:rPr>
        <w:t xml:space="preserve">oestradiol disulphate</w:t>
      </w:r>
      <w:r w:rsidDel="00000000" w:rsidR="00000000" w:rsidRPr="00000000">
        <w:rPr>
          <w:color w:val="1b1c1d"/>
          <w:rtl w:val="0"/>
        </w:rPr>
        <w:t xml:space="preserve"> and the bile acid </w:t>
      </w:r>
      <w:r w:rsidDel="00000000" w:rsidR="00000000" w:rsidRPr="00000000">
        <w:rPr>
          <w:b w:val="1"/>
          <w:color w:val="1b1c1d"/>
          <w:rtl w:val="0"/>
        </w:rPr>
        <w:t xml:space="preserve">lithocholate</w:t>
      </w:r>
      <w:r w:rsidDel="00000000" w:rsidR="00000000" w:rsidRPr="00000000">
        <w:rPr>
          <w:color w:val="1b1c1d"/>
          <w:rtl w:val="0"/>
        </w:rPr>
        <w:t xml:space="preserve"> established that these compounds act as competitive inhibitors toward catalytic substrates.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competitive inhibition pattern implies that the non-catalytic binding site for these large endogenous hydrophobic ligands overlaps significantly with, or is located immediately adjacent to, the H-site used for detoxification.</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biological consequence of this non-catalytic binding capacity is substantial: it provides a cellular reservoir for potentially toxic or active endogenous metabolites. Furthermore, the competitive nature of this interaction means that elevated cellular concentrations of non-substrate ligands, such as steroid sulfates or bile acids, can competitively saturate the H-site. This saturation directly impairs GSTA1-1's capacity to detoxify exogenous electrophiles, establishing a mechanism by which physiological hormone clearance is intrinsically linked to and potentially regulates cellular tolerance to environmental toxins and chemotherapy agents.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7soqjgxjm8i" w:id="12"/>
      <w:bookmarkEnd w:id="12"/>
      <w:r w:rsidDel="00000000" w:rsidR="00000000" w:rsidRPr="00000000">
        <w:rPr>
          <w:b w:val="1"/>
          <w:color w:val="1b1c1d"/>
          <w:sz w:val="26"/>
          <w:szCs w:val="26"/>
          <w:rtl w:val="0"/>
        </w:rPr>
        <w:t xml:space="preserve">3.3. GSTT2/GSTT2B Specialized Sulfatase Activity and General Detoxification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Theta class enzymes, GSTT2 and GSTT2B, are primarily involved in the conjugation of diverse exogenous and endogenous hydrophobic electrophiles.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In addition to this general detoxification role, human GSTT2/GSTT2B exhibit a unique specialized activity: </w:t>
      </w:r>
      <w:r w:rsidDel="00000000" w:rsidR="00000000" w:rsidRPr="00000000">
        <w:rPr>
          <w:b w:val="1"/>
          <w:color w:val="1b1c1d"/>
          <w:rtl w:val="0"/>
        </w:rPr>
        <w:t xml:space="preserve">sulfatase activity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and enzymatic studies confirm that hGSTT2-2 possesses sulfatase activity (EC 3.1.6.-), demonstrated through the cleavage of sulfate groups from model substrates like 1-menaphthyl sulfate.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unique functional capability is facilitated by a purpose-built sulfate-binding site within the enzyme.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direct catalytic transformation of $\Delta^5$-AD (as seen in GSTA3) is not attributed to the Theta class, its inclusion in the steroid-binding cluster, coupled with its sulfatase activity, suggests a potential indirect role in steroid metabolism. Many steroid precursors, such as DHEA, circulate as sulfated conjugates. GSTT2/GSTT2B’s ability to hydrolyze sulfate groups could modulate the local concentration of such sulfated steroids, thereby influencing their availability for subsequent endocrine pathways.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Mechanisms and Endogenous Functions of Clustered GST Isoforms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6533803964162"/>
        <w:gridCol w:w="1643.2655986967147"/>
        <w:gridCol w:w="2191.0207982622865"/>
        <w:gridCol w:w="1942.0411620961177"/>
        <w:gridCol w:w="1456.5308715720882"/>
        <w:tblGridChange w:id="0">
          <w:tblGrid>
            <w:gridCol w:w="1792.6533803964162"/>
            <w:gridCol w:w="1643.2655986967147"/>
            <w:gridCol w:w="2191.0207982622865"/>
            <w:gridCol w:w="1942.0411620961177"/>
            <w:gridCol w:w="1456.530871572088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Protein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Primary Catalytic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Steroid Interaction Mode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Key Endogenous Substrate/Ligand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Structural Feature of Interest</w:t>
            </w:r>
            <w:r w:rsidDel="00000000" w:rsidR="00000000" w:rsidRPr="00000000">
              <w:rPr>
                <w:rtl w:val="0"/>
              </w:rPr>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GSTA1-1 (Alpha)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Conjugation (Detoxification)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Non-Catalytic Ligandin/Storage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Oestradiol Disulphate, Lithocholate </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Prostaglandins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H-site/Subunit Interface Binding; C-terminal flexibility </w:t>
            </w:r>
            <w:r w:rsidDel="00000000" w:rsidR="00000000" w:rsidRPr="00000000">
              <w:rPr>
                <w:color w:val="444746"/>
                <w:sz w:val="40"/>
                <w:szCs w:val="40"/>
                <w:highlight w:val="white"/>
                <w:vertAlign w:val="superscript"/>
                <w:rtl w:val="0"/>
              </w:rPr>
              <w:t xml:space="preserve">16</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GSTA3-3 (Alpha)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Ketosteroid Isomerase (EC 5.3.3.-)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Catalytic Isomerization ($\Delta^5 \to \Delta^4$)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$\Delta^5$-Androstene-3,17-dione ($\Delta^5$-AD) </w:t>
            </w:r>
            <w:r w:rsidDel="00000000" w:rsidR="00000000" w:rsidRPr="00000000">
              <w:rPr>
                <w:color w:val="444746"/>
                <w:sz w:val="40"/>
                <w:szCs w:val="40"/>
                <w:highlight w:val="white"/>
                <w:vertAlign w:val="superscript"/>
                <w:rtl w:val="0"/>
              </w:rPr>
              <w:t xml:space="preserve">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H-site configuration provides 5000-fold specificity </w:t>
            </w:r>
            <w:r w:rsidDel="00000000" w:rsidR="00000000" w:rsidRPr="00000000">
              <w:rPr>
                <w:color w:val="444746"/>
                <w:sz w:val="40"/>
                <w:szCs w:val="40"/>
                <w:highlight w:val="white"/>
                <w:vertAlign w:val="superscript"/>
                <w:rtl w:val="0"/>
              </w:rPr>
              <w:t xml:space="preserve">22</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GSTT2/GSTT2B (Theta)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Conjugation &amp; Sulfatase Activity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Detoxification/Sulfate Cleavage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1-Menaphthyl Sulfate, Hydrophobic Electrophiles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Structured 40-residue C-terminal extension; buried active site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t4kuybq3lwl" w:id="13"/>
      <w:bookmarkEnd w:id="13"/>
      <w:r w:rsidDel="00000000" w:rsidR="00000000" w:rsidRPr="00000000">
        <w:rPr>
          <w:b w:val="1"/>
          <w:color w:val="1b1c1d"/>
          <w:sz w:val="34"/>
          <w:szCs w:val="34"/>
          <w:rtl w:val="0"/>
        </w:rPr>
        <w:t xml:space="preserve">IV. Pharmacogenomics, Polymorphism, and Clinical Relevance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variability within GST genes significantly influences individual susceptibility to disease, particularly cancer, and alters therapeutic efficacy, making GST pharmacogenomics a critical factor in clinical research.</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q3a9zc4nxfl" w:id="14"/>
      <w:bookmarkEnd w:id="14"/>
      <w:r w:rsidDel="00000000" w:rsidR="00000000" w:rsidRPr="00000000">
        <w:rPr>
          <w:b w:val="1"/>
          <w:color w:val="1b1c1d"/>
          <w:sz w:val="26"/>
          <w:szCs w:val="26"/>
          <w:rtl w:val="0"/>
        </w:rPr>
        <w:t xml:space="preserve">4.1. GSTA1 Promoter Polymorphisms and Expression Modulation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Inter-individual variation in GSTA1 activity is largely driven by polymorphisms in its promoter region, rather than coding sequence variations affecting enzyme kinetics.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two principal alleles are $\text{GSTA1}^*A$ and $\text{GSTA1}^*B$.</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These alleles are differentiated by three linked single nucleotide substitutions located at positions $-567$, $-69$, and $-52$ in the promoter region.</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substitution at position $-52$ is particularly influential, as it increases the transcriptional promoter activity of the $\text{GSTA1}^*A$ allele.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Consequently, individuals homozygous for the $\text{GSTA1}^*B$ allele ($\text{GSTA1}^*B/\text{B}$) exhibit significantly lower constitutive expression levels of GSTA1 in the liver compared to the wild-type $\text{GSTA1}^*A$ individuals.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reduced expression has clinical ramifications, particularly in oncology. Meta-analyses suggest that the $\text{GSTA1}^*B/\text{B}$ genotype is associated with an elevated risk of developing colorectal cancer, especially in Caucasian populations.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increased basal risk is hypothesized to result from a diminished capacity to detoxify reactive intermediates generated from environmental pollutants or endogenous processes.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hjkmjtkg3bk" w:id="15"/>
      <w:bookmarkEnd w:id="15"/>
      <w:r w:rsidDel="00000000" w:rsidR="00000000" w:rsidRPr="00000000">
        <w:rPr>
          <w:b w:val="1"/>
          <w:color w:val="1b1c1d"/>
          <w:sz w:val="26"/>
          <w:szCs w:val="26"/>
          <w:rtl w:val="0"/>
        </w:rPr>
        <w:t xml:space="preserve">4.2. GSTA Polymorphisms and Chemotherapy Pharmacokinetics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role of GSTA1 polymorphism is twofold: impacting basal disease risk and modulating drug metabolism, a phenomenon crucial for chemotherapy outcomes. GSTA1 detoxifies several key alkylating chemotherapeutic agents, including cyclophosphamide (CTX) and busulfan.</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impact of genotype on pharmacokinetics (PK) is significant. Patients carrying the $\text{GSTA1}^*A/\text{B}$ heterozygous variant demonstrate reduced exposure to the toxic, active metabolite 4-hydroxycyclophosphamide (4OHCTX) during treatment for conditions like lupus nephritis.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Similarly, differences in busulfan PK and associated drug toxicity between distinct ethnic groups (e.g., Chinese versus Caucasian patients) are partially explained by the varying distribution frequencies of $\text{GSTA1}$ gene polymorphisms.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relationship generates a complex clinical paradox in cancer treatment. While high GSTA1 expression in tumors is associated with multidrug resistance (MDR) and promotes metastasis and proliferation (e.g., in lung cancer) by rapidly detoxifying agents like chlorambucil </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low expression associated with the $\text{GSTA1}^*B/\text{B}$ genotype may be linked to increased efficacy of certain chemotherapies for breast cancer.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decreased enzymatic capacity in tumor cells carrying the low-expression allele results in reduced drug clearance, allowing the therapeutic agent to exert its cytotoxic effects more efficiently. This demands personalized treatment strategies incorporating $\text{GSTA1}$ genotyping to balance basal cancer risk against predicted therapeutic response.</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hcweaaonln8" w:id="16"/>
      <w:bookmarkEnd w:id="16"/>
      <w:r w:rsidDel="00000000" w:rsidR="00000000" w:rsidRPr="00000000">
        <w:rPr>
          <w:b w:val="1"/>
          <w:color w:val="1b1c1d"/>
          <w:sz w:val="26"/>
          <w:szCs w:val="26"/>
          <w:rtl w:val="0"/>
        </w:rPr>
        <w:t xml:space="preserve">4.3. GSTT2/GSTT2B Polymorphisms and Disease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Theta class, specifically GSTT2 and GSTT2B, is also subject to extensive polymorphism, including high-frequency deletion polymorphisms and copy number variants (CNVs).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GSTT2B gene, which may be a pseudogene in some populations, displays CNVs that have been analyzed for complex disease associations.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Specifically, the presence of the $\text{GSTT2B}$ deletion polymorphism has been suggested to confer a protective effect against the risk of oral squamous cell carcinoma (OSCC) in specific ethnic groups, such as the Mixed Ancestry South African population.</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GSTT2 is implicated in innate immunity and inflammation. The enzyme’s activity, particularly in the context of host-bacteria interactions, is crucial for regulating the cellular redox state. GSTT2 activity depletes intracellular GSH, which, in turn, leads to a net increase in Reactive Oxygen Species (ROS).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This mechanism is leveraged in immunotherapy: this ROS generation is believed to enhance the destruction of intracellular bacteria, such as </w:t>
      </w:r>
      <w:r w:rsidDel="00000000" w:rsidR="00000000" w:rsidRPr="00000000">
        <w:rPr>
          <w:i w:val="1"/>
          <w:color w:val="1b1c1d"/>
          <w:rtl w:val="0"/>
        </w:rPr>
        <w:t xml:space="preserve">Mycobacterium bovis</w:t>
      </w:r>
      <w:r w:rsidDel="00000000" w:rsidR="00000000" w:rsidRPr="00000000">
        <w:rPr>
          <w:color w:val="1b1c1d"/>
          <w:rtl w:val="0"/>
        </w:rPr>
        <w:t xml:space="preserve"> BCG, a treatment modality used for non-muscle invasive bladder cancer (NMIBC).</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Key Polymorphisms and Clinical Relevance of GSTA1 and GSTT2B</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8563544042977"/>
        <w:gridCol w:w="1940.0632864817135"/>
        <w:gridCol w:w="1971.6947531091328"/>
        <w:gridCol w:w="1771.3621311354773"/>
        <w:gridCol w:w="2414.5352858930023"/>
        <w:tblGridChange w:id="0">
          <w:tblGrid>
            <w:gridCol w:w="927.8563544042977"/>
            <w:gridCol w:w="1940.0632864817135"/>
            <w:gridCol w:w="1971.6947531091328"/>
            <w:gridCol w:w="1771.3621311354773"/>
            <w:gridCol w:w="2414.535285893002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Polymorphism/Allele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Structural/Functional Consequence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Clinical Correlate: Susceptibility/Risk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Clinical Correlate: Pharmacokinetics/Therapy</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GSTA1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$\text{GSTA1}^*B$ (Promoter variant) </w:t>
            </w:r>
            <w:r w:rsidDel="00000000" w:rsidR="00000000" w:rsidRPr="00000000">
              <w:rPr>
                <w:color w:val="444746"/>
                <w:sz w:val="40"/>
                <w:szCs w:val="40"/>
                <w:highlight w:val="white"/>
                <w:vertAlign w:val="superscript"/>
                <w:rtl w:val="0"/>
              </w:rPr>
              <w:t xml:space="preserve">26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Low constitutive hepatic expression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Increased risk of Colorectal Cancer (Caucasian populations) </w:t>
            </w:r>
            <w:r w:rsidDel="00000000" w:rsidR="00000000" w:rsidRPr="00000000">
              <w:rPr>
                <w:color w:val="444746"/>
                <w:sz w:val="40"/>
                <w:szCs w:val="40"/>
                <w:highlight w:val="white"/>
                <w:vertAlign w:val="superscript"/>
                <w:rtl w:val="0"/>
              </w:rPr>
              <w:t xml:space="preserve">27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exposure to 4-hydroxycyclophosphamide and busulfan PK </w:t>
            </w:r>
            <w:r w:rsidDel="00000000" w:rsidR="00000000" w:rsidRPr="00000000">
              <w:rPr>
                <w:color w:val="444746"/>
                <w:sz w:val="40"/>
                <w:szCs w:val="40"/>
                <w:highlight w:val="white"/>
                <w:vertAlign w:val="superscript"/>
                <w:rtl w:val="0"/>
              </w:rPr>
              <w:t xml:space="preserve">27</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GSTA3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I71L (Coding region variant)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 alteration in isomerase activity (low frequency)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Hypothesized relevance in steroid-dependent cancers </w:t>
            </w:r>
            <w:r w:rsidDel="00000000" w:rsidR="00000000" w:rsidRPr="00000000">
              <w:rPr>
                <w:color w:val="444746"/>
                <w:sz w:val="40"/>
                <w:szCs w:val="40"/>
                <w:highlight w:val="white"/>
                <w:vertAlign w:val="superscript"/>
                <w:rtl w:val="0"/>
              </w:rPr>
              <w:t xml:space="preserve">26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Role in chemotherapy unknown</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GSTT2B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Deletion/Copy Number Variants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Deletion may render gene pseudogene in some populations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Protective effect against Oral Squamous Cell Carcinoma (OSCC) reported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ROS levels, impacting innate immunity and BCG response </w:t>
            </w:r>
            <w:r w:rsidDel="00000000" w:rsidR="00000000" w:rsidRPr="00000000">
              <w:rPr>
                <w:color w:val="444746"/>
                <w:sz w:val="40"/>
                <w:szCs w:val="40"/>
                <w:highlight w:val="white"/>
                <w:vertAlign w:val="superscript"/>
                <w:rtl w:val="0"/>
              </w:rPr>
              <w:t xml:space="preserve">30</w:t>
            </w:r>
          </w:p>
        </w:tc>
      </w:tr>
    </w:tbl>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fzbnir5t0h2" w:id="17"/>
      <w:bookmarkEnd w:id="17"/>
      <w:r w:rsidDel="00000000" w:rsidR="00000000" w:rsidRPr="00000000">
        <w:rPr>
          <w:b w:val="1"/>
          <w:color w:val="1b1c1d"/>
          <w:sz w:val="34"/>
          <w:szCs w:val="34"/>
          <w:rtl w:val="0"/>
        </w:rPr>
        <w:t xml:space="preserve">V. Therapeutic Implications and Structure-Guided Inhibition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role of GSTs in endogenous metabolism and exogenous drug clearance makes them highly attractive targets for therapeutic modulation, especially in circumventing drug resistance in oncology.</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gyo4ktj7w50" w:id="18"/>
      <w:bookmarkEnd w:id="18"/>
      <w:r w:rsidDel="00000000" w:rsidR="00000000" w:rsidRPr="00000000">
        <w:rPr>
          <w:b w:val="1"/>
          <w:color w:val="1b1c1d"/>
          <w:sz w:val="26"/>
          <w:szCs w:val="26"/>
          <w:rtl w:val="0"/>
        </w:rPr>
        <w:t xml:space="preserve">5.1. Targeting GSTA1 for Chemosensitization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Overexpression of GSTA1 is a recognized factor contributing to multidrug resistance (MDR) in several human cancers, facilitating the detoxification of alkylating chemotherapeutics.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Consequently, the development of specific inhibitors for GSTA1-1 is an active area of drug design.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detailed study involving the anthraquinone dye Procion blue MX-R (PBMX-R) demonstrated its efficacy as a specific, irreversible inhibitor of hGSTA1-1.</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PBMX-R acts as a competitive inhibitor toward GSH, indicating interference at the G-site, and as a mixed-type inhibitor toward the electrophilic substrate 1-chloro-2,4-dinitrobenzene (CDNB).</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Molecular and protein chemistry analysis revealed the precise mechanism of irreversible inactivation: PBMX-R covalently modifies Cys112, a residue strategically located at the subunits interface near the solvent channel entrance.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Importantly, the kinetic analysis of PBMX-R binding suggests the presence of </w:t>
      </w:r>
      <w:r w:rsidDel="00000000" w:rsidR="00000000" w:rsidRPr="00000000">
        <w:rPr>
          <w:b w:val="1"/>
          <w:color w:val="1b1c1d"/>
          <w:rtl w:val="0"/>
        </w:rPr>
        <w:t xml:space="preserve">negative cooperativity</w:t>
      </w:r>
      <w:r w:rsidDel="00000000" w:rsidR="00000000" w:rsidRPr="00000000">
        <w:rPr>
          <w:color w:val="1b1c1d"/>
          <w:rtl w:val="0"/>
        </w:rPr>
        <w:t xml:space="preserve"> between the two subunits of the GSTA1-1 dimer.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means that the binding of the inhibitor molecule to the active site of one subunit structurally communicates across the dimer interface, reducing the affinity or reaction rate at the second subunit.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A comprehensive understanding of this allosteric communication is crucial for future rational drug design, ensuring that inhibitors designed for GSTA1-1 maximize their therapeutic effect by accounting for structural cross-talk within the dimeric enzyme.</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a0z88nuohn3" w:id="19"/>
      <w:bookmarkEnd w:id="19"/>
      <w:r w:rsidDel="00000000" w:rsidR="00000000" w:rsidRPr="00000000">
        <w:rPr>
          <w:b w:val="1"/>
          <w:color w:val="1b1c1d"/>
          <w:sz w:val="26"/>
          <w:szCs w:val="26"/>
          <w:rtl w:val="0"/>
        </w:rPr>
        <w:t xml:space="preserve">5.2. Inhibitor Development and Active Site Specificity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clear functional distinctions within this GST cluster necessitate highly selective inhibitor design. The substantial structural difference in how endogenous steroids bind (catalytically in GSTA3 vs. non-catalytically/competitively in GSTA1) must be exploited.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instance, an inhibitor designed to regulate steroidogenesis in endocrine-related pathologies requires precise targeting of GSTA3-3. Such a compound must selectively interfere with the unique geometric constraints of the GSTA3 H-site that facilitate the productive binding and isomerization of $\Delta^5$-AD.</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Non-specific inhibition that broadly affects GSTA1’s detoxification function would carry high risks of systemic toxicity by impairing general xenobiotic clearance.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Conversely, therapeutic agents could be designed to modulate the high-capacity ligandin function of GSTA1-1, aiming to interfere specifically with the binding of steroid sulphates or bile acids at the subunit interface. By disrupting the sequestration of endogenous steroid ligands without necessarily blocking the enzyme’s Phase II conjugation capacity, it may be possible to influence hormone signaling and cellular homeostasis indirectly, thereby offering novel therapeutic avenues.</w:t>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sxomyoad5jk" w:id="20"/>
      <w:bookmarkEnd w:id="20"/>
      <w:r w:rsidDel="00000000" w:rsidR="00000000" w:rsidRPr="00000000">
        <w:rPr>
          <w:b w:val="1"/>
          <w:color w:val="1b1c1d"/>
          <w:sz w:val="34"/>
          <w:szCs w:val="34"/>
          <w:rtl w:val="0"/>
        </w:rPr>
        <w:t xml:space="preserve">VI. Conclusion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GST isoforms GSTA1, GSTA3, and GSTT2/GSTT2B, despite spanning two distinct functional classes (Alpha and Theta), are unified by the conserved architecture of the </w:t>
      </w:r>
      <w:r w:rsidDel="00000000" w:rsidR="00000000" w:rsidRPr="00000000">
        <w:rPr>
          <w:b w:val="1"/>
          <w:color w:val="1b1c1d"/>
          <w:rtl w:val="0"/>
        </w:rPr>
        <w:t xml:space="preserve">thioredoxin-fold superfamily</w:t>
      </w:r>
      <w:r w:rsidDel="00000000" w:rsidR="00000000" w:rsidRPr="00000000">
        <w:rPr>
          <w:color w:val="1b1c1d"/>
          <w:rtl w:val="0"/>
        </w:rPr>
        <w:t xml:space="preserve">, a structural relationship successfully detected by protein language modeling. This shared topology provides the basic scaffold for binding the glutathione cofactor and hydrophobic ligands, justifying their annotation as steroid-binding proteins.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However, the functional analysis reveals that minor evolutionary divergences in the active site confer highly specialized and functionally segregated roles:</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GSTA3-3</w:t>
      </w:r>
      <w:r w:rsidDel="00000000" w:rsidR="00000000" w:rsidRPr="00000000">
        <w:rPr>
          <w:color w:val="1b1c1d"/>
          <w:rtl w:val="0"/>
        </w:rPr>
        <w:t xml:space="preserve"> has evolved specialized kinetics and an optimized H-site geometry to function as an efficient $\Delta^5-\Delta^4$ ketosteroid isomerase, an essential catalytic step in steroid hormone biosynthesis.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GSTA1-1</w:t>
      </w:r>
      <w:r w:rsidDel="00000000" w:rsidR="00000000" w:rsidRPr="00000000">
        <w:rPr>
          <w:color w:val="1b1c1d"/>
          <w:rtl w:val="0"/>
        </w:rPr>
        <w:t xml:space="preserve"> maintains a broad, non-catalytic </w:t>
      </w:r>
      <w:r w:rsidDel="00000000" w:rsidR="00000000" w:rsidRPr="00000000">
        <w:rPr>
          <w:b w:val="1"/>
          <w:color w:val="1b1c1d"/>
          <w:rtl w:val="0"/>
        </w:rPr>
        <w:t xml:space="preserve">ligandin</w:t>
      </w:r>
      <w:r w:rsidDel="00000000" w:rsidR="00000000" w:rsidRPr="00000000">
        <w:rPr>
          <w:color w:val="1b1c1d"/>
          <w:rtl w:val="0"/>
        </w:rPr>
        <w:t xml:space="preserve"> function, sequestering hydrophobic steroid sulfates (like oestradiol disulphate) and bile acids, which competitively modulate its primary detoxification activity.</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GSTT2/GSTT2B</w:t>
      </w:r>
      <w:r w:rsidDel="00000000" w:rsidR="00000000" w:rsidRPr="00000000">
        <w:rPr>
          <w:color w:val="1b1c1d"/>
          <w:rtl w:val="0"/>
        </w:rPr>
        <w:t xml:space="preserve"> possess a unique, occluded active site protected by a rigid C-terminal extension, coupled with a rare </w:t>
      </w:r>
      <w:r w:rsidDel="00000000" w:rsidR="00000000" w:rsidRPr="00000000">
        <w:rPr>
          <w:b w:val="1"/>
          <w:color w:val="1b1c1d"/>
          <w:rtl w:val="0"/>
        </w:rPr>
        <w:t xml:space="preserve">sulfatase activity</w:t>
      </w:r>
      <w:r w:rsidDel="00000000" w:rsidR="00000000" w:rsidRPr="00000000">
        <w:rPr>
          <w:color w:val="1b1c1d"/>
          <w:rtl w:val="0"/>
        </w:rPr>
        <w:t xml:space="preserve">, providing an independent pathway for processing sulfated endogenous compounds.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significance of this cluster is underscored by critical pharmacogenomic findings. Promoter variants in GSTA1 ($\text{GSTA1}^*B$) modulate expression levels, linking low detoxification capacity to increased risk of certain cancers, while also influencing the pharmacokinetics and efficacy of key chemotherapeutic agents, such as cyclophosphamide and busulfan.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investigations and translational efforts must focus on exploiting the high-resolution structural details, such as the specific binding orientation in GSTA3-3 and the allosteric communication (negative cooperativity) observed in GSTA1-1, to design highly selective modulators. Such structure-guided drug development is essential to create agents that can precisely regulate specialized functions like steroidogenesis or overcome multidrug resistance without compromising general detoxification pathways.</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