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6"/>
          <w:szCs w:val="36"/>
        </w:rPr>
      </w:pPr>
      <w:r w:rsidDel="00000000" w:rsidR="00000000" w:rsidRPr="00000000">
        <w:rPr>
          <w:sz w:val="36"/>
          <w:szCs w:val="36"/>
          <w:rtl w:val="0"/>
        </w:rPr>
        <w:t xml:space="preserve">Alpha-2 Adrenergic Receptor Subtypes (α2A, α2B, α2C) – Family, Function, and Steroid Interactions</w:t>
      </w:r>
    </w:p>
    <w:p w:rsidR="00000000" w:rsidDel="00000000" w:rsidP="00000000" w:rsidRDefault="00000000" w:rsidRPr="00000000" w14:paraId="00000002">
      <w:pPr>
        <w:rPr/>
      </w:pPr>
      <w:r w:rsidDel="00000000" w:rsidR="00000000" w:rsidRPr="00000000">
        <w:rPr>
          <w:rtl w:val="0"/>
        </w:rPr>
        <w:tab/>
        <w:tab/>
        <w:tab/>
        <w:tab/>
        <w:tab/>
      </w:r>
    </w:p>
    <w:p w:rsidR="00000000" w:rsidDel="00000000" w:rsidP="00000000" w:rsidRDefault="00000000" w:rsidRPr="00000000" w14:paraId="00000003">
      <w:pPr>
        <w:spacing w:after="240" w:before="240" w:lineRule="auto"/>
        <w:rPr/>
      </w:pPr>
      <w:r w:rsidDel="00000000" w:rsidR="00000000" w:rsidRPr="00000000">
        <w:rPr>
          <w:sz w:val="28"/>
          <w:szCs w:val="28"/>
          <w:rtl w:val="0"/>
        </w:rPr>
        <w:t xml:space="preserve">Overview of the α2-Adrenergic Receptor Family</w:t>
      </w:r>
      <w:r w:rsidDel="00000000" w:rsidR="00000000" w:rsidRPr="00000000">
        <w:rPr>
          <w:rtl w:val="0"/>
        </w:rPr>
        <w:tab/>
        <w:tab/>
        <w:tab/>
        <w:tab/>
        <w:tab/>
      </w:r>
    </w:p>
    <w:p w:rsidR="00000000" w:rsidDel="00000000" w:rsidP="00000000" w:rsidRDefault="00000000" w:rsidRPr="00000000" w14:paraId="00000004">
      <w:pPr>
        <w:spacing w:after="240" w:before="240" w:lineRule="auto"/>
        <w:rPr/>
      </w:pPr>
      <w:r w:rsidDel="00000000" w:rsidR="00000000" w:rsidRPr="00000000">
        <w:rPr>
          <w:sz w:val="18"/>
          <w:szCs w:val="18"/>
          <w:rtl w:val="0"/>
        </w:rPr>
        <w:t xml:space="preserve">The α2-adrenergic receptors (α2-ARs) are G protein-coupled receptors (GPCRs) that mediate the effects of the catecholamines epinephrine (adrenaline) and norepinephrine. In humans there are three highly homologous α2-AR subtypes – α2A, α2B, and α2C – all belonging to the class A (rhodopsin-like) GPCR family</w:t>
      </w:r>
      <w:r w:rsidDel="00000000" w:rsidR="00000000" w:rsidRPr="00000000">
        <w:rPr>
          <w:rtl w:val="0"/>
        </w:rPr>
        <w:tab/>
        <w:tab/>
        <w:tab/>
        <w:tab/>
      </w:r>
    </w:p>
    <w:p w:rsidR="00000000" w:rsidDel="00000000" w:rsidP="00000000" w:rsidRDefault="00000000" w:rsidRPr="00000000" w14:paraId="00000005">
      <w:pPr>
        <w:spacing w:after="240" w:before="240" w:lineRule="auto"/>
        <w:rPr/>
      </w:pPr>
      <w:r w:rsidDel="00000000" w:rsidR="00000000" w:rsidRPr="00000000">
        <w:rPr>
          <w:color w:val="333333"/>
          <w:sz w:val="12"/>
          <w:szCs w:val="12"/>
          <w:rtl w:val="0"/>
        </w:rPr>
        <w:t xml:space="preserve">1 2 </w:t>
      </w:r>
      <w:r w:rsidDel="00000000" w:rsidR="00000000" w:rsidRPr="00000000">
        <w:rPr>
          <w:sz w:val="18"/>
          <w:szCs w:val="18"/>
          <w:rtl w:val="0"/>
        </w:rPr>
        <w:t xml:space="preserve">. These receptors couple predominantly to Gi/Go proteins, and their activation leads to inhibition of adenylyl cyclase and reduced cAMP levels in target cells </w:t>
      </w:r>
      <w:r w:rsidDel="00000000" w:rsidR="00000000" w:rsidRPr="00000000">
        <w:rPr>
          <w:color w:val="333333"/>
          <w:sz w:val="12"/>
          <w:szCs w:val="12"/>
          <w:rtl w:val="0"/>
        </w:rPr>
        <w:t xml:space="preserve">3 </w:t>
      </w:r>
      <w:r w:rsidDel="00000000" w:rsidR="00000000" w:rsidRPr="00000000">
        <w:rPr>
          <w:sz w:val="18"/>
          <w:szCs w:val="18"/>
          <w:rtl w:val="0"/>
        </w:rPr>
        <w:t xml:space="preserve">. A key physiological role of α2-adrenergic receptors is the presynaptic regulation of neurotransmitter release from sympathetic nerves and central adrenergic neurons </w:t>
      </w:r>
      <w:r w:rsidDel="00000000" w:rsidR="00000000" w:rsidRPr="00000000">
        <w:rPr>
          <w:color w:val="333333"/>
          <w:sz w:val="12"/>
          <w:szCs w:val="12"/>
          <w:rtl w:val="0"/>
        </w:rPr>
        <w:t xml:space="preserve">1 4 </w:t>
      </w:r>
      <w:r w:rsidDel="00000000" w:rsidR="00000000" w:rsidRPr="00000000">
        <w:rPr>
          <w:rFonts w:ascii="Arial Unicode MS" w:cs="Arial Unicode MS" w:eastAsia="Arial Unicode MS" w:hAnsi="Arial Unicode MS"/>
          <w:sz w:val="18"/>
          <w:szCs w:val="18"/>
          <w:rtl w:val="0"/>
        </w:rPr>
        <w:t xml:space="preserve">. By acting as autoreceptors on nerve terminals, they provide a negative feedback mechanism to dampen excessive neurotransmitter (norepinephrine) release. All three subtypes are membrane proteins with the characteristic seven-transmembrane helical architecture of GPCRs. They share substantial sequence similarity (∼50–60% identity) with each other, while differing more markedly from other adrenoceptor classes (α1 or β) </w:t>
      </w:r>
      <w:r w:rsidDel="00000000" w:rsidR="00000000" w:rsidRPr="00000000">
        <w:rPr>
          <w:color w:val="333333"/>
          <w:sz w:val="12"/>
          <w:szCs w:val="12"/>
          <w:rtl w:val="0"/>
        </w:rPr>
        <w:t xml:space="preserve">2 5 </w:t>
      </w:r>
      <w:r w:rsidDel="00000000" w:rsidR="00000000" w:rsidRPr="00000000">
        <w:rPr>
          <w:sz w:val="18"/>
          <w:szCs w:val="18"/>
          <w:rtl w:val="0"/>
        </w:rPr>
        <w:t xml:space="preserve">. Each subtype is encoded by an intronless gene – the human ADRA2A, ADRA2B, and ADRA2C genes lack introns in their coding and untranslated regions </w:t>
      </w:r>
      <w:r w:rsidDel="00000000" w:rsidR="00000000" w:rsidRPr="00000000">
        <w:rPr>
          <w:color w:val="333333"/>
          <w:sz w:val="12"/>
          <w:szCs w:val="12"/>
          <w:rtl w:val="0"/>
        </w:rPr>
        <w:t xml:space="preserve">6</w:t>
      </w:r>
      <w:r w:rsidDel="00000000" w:rsidR="00000000" w:rsidRPr="00000000">
        <w:rPr>
          <w:rtl w:val="0"/>
        </w:rPr>
        <w:t xml:space="preserve"> </w:t>
      </w:r>
      <w:r w:rsidDel="00000000" w:rsidR="00000000" w:rsidRPr="00000000">
        <w:rPr>
          <w:color w:val="333333"/>
          <w:sz w:val="12"/>
          <w:szCs w:val="12"/>
          <w:rtl w:val="0"/>
        </w:rPr>
        <w:t xml:space="preserve">7 </w:t>
      </w:r>
      <w:r w:rsidDel="00000000" w:rsidR="00000000" w:rsidRPr="00000000">
        <w:rPr>
          <w:sz w:val="18"/>
          <w:szCs w:val="18"/>
          <w:rtl w:val="0"/>
        </w:rPr>
        <w:t xml:space="preserve">, resulting in single-exon transcripts around 1.3–1.4 kb that translate into ~450 amino acid receptors. Structurally, the α2-ARs possess canonical class A GPCR motifs such as the conserved DRY sequence in TM3 and NPxxY motif in TM7 for G-protein coupling and activation, as well as a palmitoylated cysteine in the cytosolic tail (helix 8) that helps anchor the receptor at the plasma membrane </w:t>
      </w:r>
      <w:r w:rsidDel="00000000" w:rsidR="00000000" w:rsidRPr="00000000">
        <w:rPr>
          <w:color w:val="333333"/>
          <w:sz w:val="12"/>
          <w:szCs w:val="12"/>
          <w:rtl w:val="0"/>
        </w:rPr>
        <w:t xml:space="preserve">8 9 </w:t>
      </w:r>
      <w:r w:rsidDel="00000000" w:rsidR="00000000" w:rsidRPr="00000000">
        <w:rPr>
          <w:sz w:val="18"/>
          <w:szCs w:val="18"/>
          <w:rtl w:val="0"/>
        </w:rPr>
        <w:t xml:space="preserve">. Notably, like many class A GPCRs, the α2-adrenergic receptors have been found to bind cholesterol, a sterol component of cell membranes, at specific sites on their transmembrane surface. This cholesterol interaction can allosterically modulate receptor conformation and signaling (discussed further below) </w:t>
      </w:r>
      <w:r w:rsidDel="00000000" w:rsidR="00000000" w:rsidRPr="00000000">
        <w:rPr>
          <w:color w:val="333333"/>
          <w:sz w:val="12"/>
          <w:szCs w:val="12"/>
          <w:rtl w:val="0"/>
        </w:rPr>
        <w:t xml:space="preserve">10 11 </w:t>
      </w:r>
      <w:r w:rsidDel="00000000" w:rsidR="00000000" w:rsidRPr="00000000">
        <w:rPr>
          <w:sz w:val="18"/>
          <w:szCs w:val="18"/>
          <w:rtl w:val="0"/>
        </w:rPr>
        <w:t xml:space="preserve">.</w:t>
      </w:r>
      <w:r w:rsidDel="00000000" w:rsidR="00000000" w:rsidRPr="00000000">
        <w:rPr>
          <w:rtl w:val="0"/>
        </w:rPr>
        <w:tab/>
        <w:tab/>
        <w:tab/>
        <w:tab/>
      </w:r>
    </w:p>
    <w:p w:rsidR="00000000" w:rsidDel="00000000" w:rsidP="00000000" w:rsidRDefault="00000000" w:rsidRPr="00000000" w14:paraId="00000006">
      <w:pPr>
        <w:spacing w:after="240" w:before="240" w:lineRule="auto"/>
        <w:rPr>
          <w:sz w:val="18"/>
          <w:szCs w:val="18"/>
        </w:rPr>
      </w:pPr>
      <w:r w:rsidDel="00000000" w:rsidR="00000000" w:rsidRPr="00000000">
        <w:rPr>
          <w:sz w:val="18"/>
          <w:szCs w:val="18"/>
          <w:rtl w:val="0"/>
        </w:rPr>
        <w:t xml:space="preserve">Physiologically, the three α2-AR subtypes have overlapping but distinct expression patterns and functions. All contribute to sympathoadrenal responses, but their roles differ by tissue and context. In general, α2A and α2C function as presynaptic autoreceptors in the central and peripheral nervous systems, inhibiting neurotransmitter release, whereas α2B is often expressed postsynaptically (for example, on vascular smooth muscle) mediating direct effector responses </w:t>
      </w:r>
      <w:r w:rsidDel="00000000" w:rsidR="00000000" w:rsidRPr="00000000">
        <w:rPr>
          <w:color w:val="333333"/>
          <w:sz w:val="12"/>
          <w:szCs w:val="12"/>
          <w:rtl w:val="0"/>
        </w:rPr>
        <w:t xml:space="preserve">4 12 </w:t>
      </w:r>
      <w:r w:rsidDel="00000000" w:rsidR="00000000" w:rsidRPr="00000000">
        <w:rPr>
          <w:sz w:val="18"/>
          <w:szCs w:val="18"/>
          <w:rtl w:val="0"/>
        </w:rPr>
        <w:t xml:space="preserve">. Gene knockout studies in mice have shown that both α2A and α2C subtypes are required for normal sympathetic neurotransmission: the α2A receptor inhibits transmitter release during high-frequency nerve stimulation, while α2C modulates release during lower levels of nerve activity </w:t>
      </w:r>
      <w:r w:rsidDel="00000000" w:rsidR="00000000" w:rsidRPr="00000000">
        <w:rPr>
          <w:color w:val="333333"/>
          <w:sz w:val="12"/>
          <w:szCs w:val="12"/>
          <w:rtl w:val="0"/>
        </w:rPr>
        <w:t xml:space="preserve">4 </w:t>
      </w:r>
      <w:r w:rsidDel="00000000" w:rsidR="00000000" w:rsidRPr="00000000">
        <w:rPr>
          <w:sz w:val="18"/>
          <w:szCs w:val="18"/>
          <w:rtl w:val="0"/>
        </w:rPr>
        <w:t xml:space="preserve">. Mice lacking both α2A and α2C display elevated circulating noradrenaline and develop cardiac hypertrophy with impaired heart contractility </w:t>
      </w:r>
      <w:r w:rsidDel="00000000" w:rsidR="00000000" w:rsidRPr="00000000">
        <w:rPr>
          <w:color w:val="333333"/>
          <w:sz w:val="12"/>
          <w:szCs w:val="12"/>
          <w:rtl w:val="0"/>
        </w:rPr>
        <w:t xml:space="preserve">13 </w:t>
      </w:r>
      <w:r w:rsidDel="00000000" w:rsidR="00000000" w:rsidRPr="00000000">
        <w:rPr>
          <w:sz w:val="18"/>
          <w:szCs w:val="18"/>
          <w:rtl w:val="0"/>
        </w:rPr>
        <w:t xml:space="preserve">, underscoring the importance of these receptors in cardiovascular homeostasis. All three subtypes can form homodimers and have also been reported to heterodimerize with each other, which may influence their trafficking or signaling </w:t>
      </w:r>
      <w:r w:rsidDel="00000000" w:rsidR="00000000" w:rsidRPr="00000000">
        <w:rPr>
          <w:color w:val="333333"/>
          <w:sz w:val="12"/>
          <w:szCs w:val="12"/>
          <w:rtl w:val="0"/>
        </w:rPr>
        <w:t xml:space="preserve">14 </w:t>
      </w:r>
      <w:r w:rsidDel="00000000" w:rsidR="00000000" w:rsidRPr="00000000">
        <w:rPr>
          <w:sz w:val="18"/>
          <w:szCs w:val="18"/>
          <w:rtl w:val="0"/>
        </w:rPr>
        <w:t xml:space="preserve">. In terms of clinical relevance, α2-agonist drugs (e.g. clonidine, dexmedetomidine) exploit these receptors’ inhibitory effects on sympathetic tone for treating hypertension, pain, or sedation, whereas α2-antagonists (e.g. yohimbine) block these receptors to increase sympathetic output when needed </w:t>
      </w:r>
      <w:r w:rsidDel="00000000" w:rsidR="00000000" w:rsidRPr="00000000">
        <w:rPr>
          <w:color w:val="333333"/>
          <w:sz w:val="12"/>
          <w:szCs w:val="12"/>
          <w:rtl w:val="0"/>
        </w:rPr>
        <w:t xml:space="preserve">15 16 </w:t>
      </w:r>
      <w:r w:rsidDel="00000000" w:rsidR="00000000" w:rsidRPr="00000000">
        <w:rPr>
          <w:sz w:val="18"/>
          <w:szCs w:val="18"/>
          <w:rtl w:val="0"/>
        </w:rPr>
        <w:t xml:space="preserve">. Below, we detail each subtype’s characteristics and their interactions with steroids or sterol-like molecules.</w:t>
      </w:r>
    </w:p>
    <w:p w:rsidR="00000000" w:rsidDel="00000000" w:rsidP="00000000" w:rsidRDefault="00000000" w:rsidRPr="00000000" w14:paraId="00000007">
      <w:pPr>
        <w:rPr/>
      </w:pPr>
      <w:r w:rsidDel="00000000" w:rsidR="00000000" w:rsidRPr="00000000">
        <w:rPr>
          <w:rtl w:val="0"/>
        </w:rPr>
        <w:tab/>
        <w:tab/>
        <w:tab/>
        <w:tab/>
      </w:r>
    </w:p>
    <w:p w:rsidR="00000000" w:rsidDel="00000000" w:rsidP="00000000" w:rsidRDefault="00000000" w:rsidRPr="00000000" w14:paraId="00000008">
      <w:pPr>
        <w:rPr/>
      </w:pPr>
      <w:r w:rsidDel="00000000" w:rsidR="00000000" w:rsidRPr="00000000">
        <w:rPr>
          <w:rtl w:val="0"/>
        </w:rPr>
        <w:tab/>
        <w:tab/>
        <w:tab/>
      </w:r>
    </w:p>
    <w:p w:rsidR="00000000" w:rsidDel="00000000" w:rsidP="00000000" w:rsidRDefault="00000000" w:rsidRPr="00000000" w14:paraId="00000009">
      <w:pPr>
        <w:rPr/>
      </w:pPr>
      <w:r w:rsidDel="00000000" w:rsidR="00000000" w:rsidRPr="00000000">
        <w:rPr>
          <w:rtl w:val="0"/>
        </w:rPr>
        <w:tab/>
        <w:tab/>
        <w:tab/>
      </w:r>
    </w:p>
    <w:p w:rsidR="00000000" w:rsidDel="00000000" w:rsidP="00000000" w:rsidRDefault="00000000" w:rsidRPr="00000000" w14:paraId="0000000A">
      <w:pPr>
        <w:rPr/>
      </w:pPr>
      <w:r w:rsidDel="00000000" w:rsidR="00000000" w:rsidRPr="00000000">
        <w:rPr>
          <w:rtl w:val="0"/>
        </w:rPr>
        <w:tab/>
        <w:tab/>
        <w:tab/>
        <w:tab/>
        <w:tab/>
      </w:r>
    </w:p>
    <w:p w:rsidR="00000000" w:rsidDel="00000000" w:rsidP="00000000" w:rsidRDefault="00000000" w:rsidRPr="00000000" w14:paraId="0000000B">
      <w:pPr>
        <w:spacing w:after="240" w:before="240" w:lineRule="auto"/>
        <w:rPr>
          <w:sz w:val="28"/>
          <w:szCs w:val="28"/>
        </w:rPr>
      </w:pPr>
      <w:r w:rsidDel="00000000" w:rsidR="00000000" w:rsidRPr="00000000">
        <w:rPr>
          <w:sz w:val="28"/>
          <w:szCs w:val="28"/>
          <w:rtl w:val="0"/>
        </w:rPr>
        <w:t xml:space="preserve">α2A-Adrenergic Receptor (ADRA2A)</w:t>
      </w:r>
    </w:p>
    <w:p w:rsidR="00000000" w:rsidDel="00000000" w:rsidP="00000000" w:rsidRDefault="00000000" w:rsidRPr="00000000" w14:paraId="0000000C">
      <w:pPr>
        <w:rPr/>
      </w:pPr>
      <w:r w:rsidDel="00000000" w:rsidR="00000000" w:rsidRPr="00000000">
        <w:rPr>
          <w:rtl w:val="0"/>
        </w:rPr>
        <w:tab/>
        <w:tab/>
        <w:tab/>
        <w:tab/>
        <w:tab/>
      </w:r>
    </w:p>
    <w:p w:rsidR="00000000" w:rsidDel="00000000" w:rsidP="00000000" w:rsidRDefault="00000000" w:rsidRPr="00000000" w14:paraId="0000000D">
      <w:pPr>
        <w:spacing w:after="240" w:before="240" w:lineRule="auto"/>
        <w:rPr>
          <w:sz w:val="18"/>
          <w:szCs w:val="18"/>
        </w:rPr>
      </w:pPr>
      <w:r w:rsidDel="00000000" w:rsidR="00000000" w:rsidRPr="00000000">
        <w:rPr>
          <w:sz w:val="18"/>
          <w:szCs w:val="18"/>
          <w:rtl w:val="0"/>
        </w:rPr>
        <w:t xml:space="preserve">α2A-AR is the predominant α2-receptor in the brain and sympathetic nerve terminals throughout the body. It plays a critical role as the chief presynaptic inhibitory autoreceptor regulating norepinephrine release. Activation of α2A receptors on neurons leads to reduced neurotransmitter exocytosis, yielding effects such as lowered sympathetic outflow, sedation, analgesia, and hypotension. For example, presynaptic α2A receptors in the brainstem mediate the blood-pressure-lowering effect of drugs like clonidine by inhibiting sympathetic drive </w:t>
      </w:r>
      <w:r w:rsidDel="00000000" w:rsidR="00000000" w:rsidRPr="00000000">
        <w:rPr>
          <w:color w:val="333333"/>
          <w:sz w:val="12"/>
          <w:szCs w:val="12"/>
          <w:rtl w:val="0"/>
        </w:rPr>
        <w:t xml:space="preserve">7 </w:t>
      </w:r>
      <w:r w:rsidDel="00000000" w:rsidR="00000000" w:rsidRPr="00000000">
        <w:rPr>
          <w:sz w:val="18"/>
          <w:szCs w:val="18"/>
          <w:rtl w:val="0"/>
        </w:rPr>
        <w:t xml:space="preserve">. Consistent with this, mice lacking α2A receptors exhibit a hyperadrenergic phenotype with elevated blood pressure and heart rate, and they fail to respond normally to α2 agonists (e.g. showing an attenuated hypotensive effect of clonidine) </w:t>
      </w:r>
      <w:r w:rsidDel="00000000" w:rsidR="00000000" w:rsidRPr="00000000">
        <w:rPr>
          <w:color w:val="333333"/>
          <w:sz w:val="12"/>
          <w:szCs w:val="12"/>
          <w:rtl w:val="0"/>
        </w:rPr>
        <w:t xml:space="preserve">7 </w:t>
      </w:r>
      <w:r w:rsidDel="00000000" w:rsidR="00000000" w:rsidRPr="00000000">
        <w:rPr>
          <w:sz w:val="18"/>
          <w:szCs w:val="18"/>
          <w:rtl w:val="0"/>
        </w:rPr>
        <w:t xml:space="preserve">. Peripherally, α2A is also expressed on pancreatic β-cells and sympathetic innervation of the pancreas, where its activation inhibits insulin secretion during stress (a mechanism by which epinephrine elevates blood glucose). The human ADRA2A gene is located on chromosome 10 and, like the other subtypes, is intron-free </w:t>
      </w:r>
      <w:r w:rsidDel="00000000" w:rsidR="00000000" w:rsidRPr="00000000">
        <w:rPr>
          <w:color w:val="333333"/>
          <w:sz w:val="12"/>
          <w:szCs w:val="12"/>
          <w:rtl w:val="0"/>
        </w:rPr>
        <w:t xml:space="preserve">7 </w:t>
      </w:r>
      <w:r w:rsidDel="00000000" w:rsidR="00000000" w:rsidRPr="00000000">
        <w:rPr>
          <w:sz w:val="18"/>
          <w:szCs w:val="18"/>
          <w:rtl w:val="0"/>
        </w:rPr>
        <w:t xml:space="preserve">. ADRA2A polymorphisms have been associated with disorders such as attention-deficit/hyperactivity disorder (ADHD) and metabolic conditions – for instance, certain variants in the ADRA2A gene affect receptor expression or function and have been linked to altered responses to medications and to insulin release regulation </w:t>
      </w:r>
      <w:r w:rsidDel="00000000" w:rsidR="00000000" w:rsidRPr="00000000">
        <w:rPr>
          <w:color w:val="333333"/>
          <w:sz w:val="12"/>
          <w:szCs w:val="12"/>
          <w:rtl w:val="0"/>
        </w:rPr>
        <w:t xml:space="preserve">17 18 </w:t>
      </w:r>
      <w:r w:rsidDel="00000000" w:rsidR="00000000" w:rsidRPr="00000000">
        <w:rPr>
          <w:sz w:val="18"/>
          <w:szCs w:val="18"/>
          <w:rtl w:val="0"/>
        </w:rPr>
        <w:t xml:space="preserve">.</w:t>
      </w:r>
    </w:p>
    <w:p w:rsidR="00000000" w:rsidDel="00000000" w:rsidP="00000000" w:rsidRDefault="00000000" w:rsidRPr="00000000" w14:paraId="0000000E">
      <w:pPr>
        <w:rPr/>
      </w:pPr>
      <w:r w:rsidDel="00000000" w:rsidR="00000000" w:rsidRPr="00000000">
        <w:rPr>
          <w:rtl w:val="0"/>
        </w:rPr>
        <w:tab/>
        <w:tab/>
        <w:tab/>
        <w:tab/>
        <w:tab/>
      </w:r>
    </w:p>
    <w:p w:rsidR="00000000" w:rsidDel="00000000" w:rsidP="00000000" w:rsidRDefault="00000000" w:rsidRPr="00000000" w14:paraId="0000000F">
      <w:pPr>
        <w:spacing w:after="240" w:before="240" w:lineRule="auto"/>
        <w:rPr>
          <w:sz w:val="18"/>
          <w:szCs w:val="18"/>
        </w:rPr>
      </w:pPr>
      <w:r w:rsidDel="00000000" w:rsidR="00000000" w:rsidRPr="00000000">
        <w:rPr>
          <w:sz w:val="18"/>
          <w:szCs w:val="18"/>
          <w:rtl w:val="0"/>
        </w:rPr>
        <w:t xml:space="preserve">Steroid Interactions: Although the α2A receptor’s endogenous ligands are catecholamines (not steroids), it displays important interactions with cholesterol, a structural sterol in the membrane. Like many Class A GPCRs, α2A-AR contains cholesterol-binding motifs in its transmembrane regions and can bind cholesterol at specific sites. While direct structural data on α2A-cholesterol binding are limited, by homology it is very likely that α2A has a cholesterol interaction site analogous to that observed in α2C (see below). Cholesterol binding to GPCRs can allosterically modulate their function – generally, it stabilizes particular conformations of the receptor and can alter ligand affinity or G-protein coupling </w:t>
      </w:r>
      <w:r w:rsidDel="00000000" w:rsidR="00000000" w:rsidRPr="00000000">
        <w:rPr>
          <w:color w:val="333333"/>
          <w:sz w:val="12"/>
          <w:szCs w:val="12"/>
          <w:rtl w:val="0"/>
        </w:rPr>
        <w:t xml:space="preserve">10 9 </w:t>
      </w:r>
      <w:r w:rsidDel="00000000" w:rsidR="00000000" w:rsidRPr="00000000">
        <w:rPr>
          <w:sz w:val="18"/>
          <w:szCs w:val="18"/>
          <w:rtl w:val="0"/>
        </w:rPr>
        <w:t xml:space="preserve">. Indeed, a broad review of Class A GPCRs notes that cholesterol binding often affects receptor activation and oligomerization</w:t>
      </w:r>
    </w:p>
    <w:p w:rsidR="00000000" w:rsidDel="00000000" w:rsidP="00000000" w:rsidRDefault="00000000" w:rsidRPr="00000000" w14:paraId="00000010">
      <w:pPr>
        <w:rPr/>
      </w:pPr>
      <w:r w:rsidDel="00000000" w:rsidR="00000000" w:rsidRPr="00000000">
        <w:rPr>
          <w:rtl w:val="0"/>
        </w:rPr>
        <w:tab/>
        <w:tab/>
        <w:tab/>
        <w:tab/>
        <w:tab/>
      </w:r>
    </w:p>
    <w:p w:rsidR="00000000" w:rsidDel="00000000" w:rsidP="00000000" w:rsidRDefault="00000000" w:rsidRPr="00000000" w14:paraId="00000011">
      <w:pPr>
        <w:spacing w:after="240" w:before="240" w:lineRule="auto"/>
        <w:rPr>
          <w:sz w:val="18"/>
          <w:szCs w:val="18"/>
        </w:rPr>
      </w:pPr>
      <w:r w:rsidDel="00000000" w:rsidR="00000000" w:rsidRPr="00000000">
        <w:rPr>
          <w:color w:val="333333"/>
          <w:sz w:val="12"/>
          <w:szCs w:val="12"/>
          <w:rtl w:val="0"/>
        </w:rPr>
        <w:t xml:space="preserve">10 </w:t>
      </w:r>
      <w:r w:rsidDel="00000000" w:rsidR="00000000" w:rsidRPr="00000000">
        <w:rPr>
          <w:sz w:val="18"/>
          <w:szCs w:val="18"/>
          <w:rtl w:val="0"/>
        </w:rPr>
        <w:t xml:space="preserve">.Inaphysiologicalcontext,evidencesuggeststhatambientcholesterollevelscanregulateα2Areceptor availability. Notably, platelets (which express α2A-adrenergic receptors as the primary subtype mediating epinephrine-induced aggregation) from patients with high cholesterol exhibit increased α2-adrenergic receptor density and heightened sensitivity to epinephrine </w:t>
      </w:r>
      <w:r w:rsidDel="00000000" w:rsidR="00000000" w:rsidRPr="00000000">
        <w:rPr>
          <w:color w:val="333333"/>
          <w:sz w:val="12"/>
          <w:szCs w:val="12"/>
          <w:rtl w:val="0"/>
        </w:rPr>
        <w:t xml:space="preserve">19 20 </w:t>
      </w:r>
      <w:r w:rsidDel="00000000" w:rsidR="00000000" w:rsidRPr="00000000">
        <w:rPr>
          <w:sz w:val="18"/>
          <w:szCs w:val="18"/>
          <w:rtl w:val="0"/>
        </w:rPr>
        <w:t xml:space="preserve">. In one study, hypercholesterolemic patients had significantly more platelet α2-binding sites (measured via [3H]yohimbine binding) compared to controls, and the receptor density correlated directly with plasma LDL cholesterol levels </w:t>
      </w:r>
      <w:r w:rsidDel="00000000" w:rsidR="00000000" w:rsidRPr="00000000">
        <w:rPr>
          <w:color w:val="333333"/>
          <w:sz w:val="12"/>
          <w:szCs w:val="12"/>
          <w:rtl w:val="0"/>
        </w:rPr>
        <w:t xml:space="preserve">21 20 </w:t>
      </w:r>
      <w:r w:rsidDel="00000000" w:rsidR="00000000" w:rsidRPr="00000000">
        <w:rPr>
          <w:sz w:val="18"/>
          <w:szCs w:val="18"/>
          <w:rtl w:val="0"/>
        </w:rPr>
        <w:t xml:space="preserve">. This suggests that chronically elevated cholesterol may upregulate or stabilize α2A receptors in cell membranes, potentiallycontributingtoexcessiveplateletreactivityandriskofthrombosisinsuchpatients </w:t>
      </w:r>
      <w:r w:rsidDel="00000000" w:rsidR="00000000" w:rsidRPr="00000000">
        <w:rPr>
          <w:color w:val="333333"/>
          <w:sz w:val="12"/>
          <w:szCs w:val="12"/>
          <w:rtl w:val="0"/>
        </w:rPr>
        <w:t xml:space="preserve">19 20 </w:t>
      </w:r>
      <w:r w:rsidDel="00000000" w:rsidR="00000000" w:rsidRPr="00000000">
        <w:rPr>
          <w:sz w:val="18"/>
          <w:szCs w:val="18"/>
          <w:rtl w:val="0"/>
        </w:rPr>
        <w:t xml:space="preserve">.Aside from cholesterol, α2A-AR is not known to bind other steroid hormones directly. However, there are indirect influences: for example, glucocorticoid and sex steroid hormones can regulate ADRA2A expression in certain tissues (as part of broader stress or endocrine responses), though the mechanisms are genomic rather than a direct ligand-receptor interaction. In summary, the main “sterol” interaction of α2A is with membrane cholesterol, which serves as an allosteric modulator of the receptor’s stability and function.</w:t>
      </w:r>
    </w:p>
    <w:p w:rsidR="00000000" w:rsidDel="00000000" w:rsidP="00000000" w:rsidRDefault="00000000" w:rsidRPr="00000000" w14:paraId="00000012">
      <w:pPr>
        <w:rPr/>
      </w:pPr>
      <w:r w:rsidDel="00000000" w:rsidR="00000000" w:rsidRPr="00000000">
        <w:rPr>
          <w:rtl w:val="0"/>
        </w:rPr>
        <w:tab/>
        <w:tab/>
        <w:tab/>
        <w:tab/>
        <w:tab/>
      </w:r>
    </w:p>
    <w:p w:rsidR="00000000" w:rsidDel="00000000" w:rsidP="00000000" w:rsidRDefault="00000000" w:rsidRPr="00000000" w14:paraId="00000013">
      <w:pPr>
        <w:spacing w:after="240" w:before="240" w:lineRule="auto"/>
        <w:rPr>
          <w:sz w:val="28"/>
          <w:szCs w:val="28"/>
        </w:rPr>
      </w:pPr>
      <w:r w:rsidDel="00000000" w:rsidR="00000000" w:rsidRPr="00000000">
        <w:rPr>
          <w:sz w:val="28"/>
          <w:szCs w:val="28"/>
          <w:rtl w:val="0"/>
        </w:rPr>
        <w:t xml:space="preserve">α2B-Adrenergic Receptor (ADRA2B)</w:t>
      </w:r>
    </w:p>
    <w:p w:rsidR="00000000" w:rsidDel="00000000" w:rsidP="00000000" w:rsidRDefault="00000000" w:rsidRPr="00000000" w14:paraId="00000014">
      <w:pPr>
        <w:rPr/>
      </w:pPr>
      <w:r w:rsidDel="00000000" w:rsidR="00000000" w:rsidRPr="00000000">
        <w:rPr>
          <w:rtl w:val="0"/>
        </w:rPr>
        <w:tab/>
        <w:tab/>
        <w:tab/>
        <w:tab/>
        <w:tab/>
      </w:r>
    </w:p>
    <w:p w:rsidR="00000000" w:rsidDel="00000000" w:rsidP="00000000" w:rsidRDefault="00000000" w:rsidRPr="00000000" w14:paraId="00000015">
      <w:pPr>
        <w:spacing w:after="240" w:before="240" w:lineRule="auto"/>
        <w:rPr>
          <w:sz w:val="18"/>
          <w:szCs w:val="18"/>
        </w:rPr>
      </w:pPr>
      <w:r w:rsidDel="00000000" w:rsidR="00000000" w:rsidRPr="00000000">
        <w:rPr>
          <w:sz w:val="18"/>
          <w:szCs w:val="18"/>
          <w:rtl w:val="0"/>
        </w:rPr>
        <w:t xml:space="preserve">α2B-AR is primarily found in peripheral tissues. It is abundantly expressed in vascular smooth muscle and some visceral organs. Unlike α2A and α2C, the α2B subtype is less involved in presynaptic neurotransmitter modulation and more in direct postsynaptic effects. For instance, α2B receptors on vascular smooth muscle cells mediate vasoconstriction in response to circulating catecholamines. Activation of α2B in blood vessels results in increased vascular tone and blood pressure; indeed, the transient hypertension seen with rapid administration of α2-agonists (like the initial pressor phase of intravenous clonidine) is attributed to α2B-</w:t>
      </w:r>
    </w:p>
    <w:p w:rsidR="00000000" w:rsidDel="00000000" w:rsidP="00000000" w:rsidRDefault="00000000" w:rsidRPr="00000000" w14:paraId="00000016">
      <w:pPr>
        <w:rPr/>
      </w:pPr>
      <w:r w:rsidDel="00000000" w:rsidR="00000000" w:rsidRPr="00000000">
        <w:rPr>
          <w:rtl w:val="0"/>
        </w:rPr>
        <w:tab/>
        <w:tab/>
        <w:tab/>
        <w:tab/>
        <w:tab/>
        <w:tab/>
        <w:tab/>
      </w:r>
    </w:p>
    <w:p w:rsidR="00000000" w:rsidDel="00000000" w:rsidP="00000000" w:rsidRDefault="00000000" w:rsidRPr="00000000" w14:paraId="00000017">
      <w:pPr>
        <w:spacing w:after="240" w:before="240" w:lineRule="auto"/>
        <w:rPr>
          <w:sz w:val="18"/>
          <w:szCs w:val="18"/>
        </w:rPr>
      </w:pPr>
      <w:r w:rsidDel="00000000" w:rsidR="00000000" w:rsidRPr="00000000">
        <w:rPr>
          <w:sz w:val="18"/>
          <w:szCs w:val="18"/>
          <w:rtl w:val="0"/>
        </w:rPr>
        <w:t xml:space="preserve">mediated vasoconstriction before the central α2A-mediated hypotensive effect dominates. The human ADRA2B gene (chromosome 2) is also intronless </w:t>
      </w:r>
      <w:r w:rsidDel="00000000" w:rsidR="00000000" w:rsidRPr="00000000">
        <w:rPr>
          <w:color w:val="333333"/>
          <w:sz w:val="12"/>
          <w:szCs w:val="12"/>
          <w:rtl w:val="0"/>
        </w:rPr>
        <w:t xml:space="preserve">6 </w:t>
      </w:r>
      <w:r w:rsidDel="00000000" w:rsidR="00000000" w:rsidRPr="00000000">
        <w:rPr>
          <w:sz w:val="18"/>
          <w:szCs w:val="18"/>
          <w:rtl w:val="0"/>
        </w:rPr>
        <w:t xml:space="preserve">. An interesting feature of α2B is the presence of a polymorphic variant in humans characterized by the deletion of a triplet of glutamic acid residues in the receptor’s third intracellular loop. This α2B-AR Glu^301-303 deletion variant has been shown to reduce receptor desensitization: the shortened α2B receptor exhibits diminished GRK (G protein-coupled receptor kinase)-mediated phosphorylation and internalization </w:t>
      </w:r>
      <w:r w:rsidDel="00000000" w:rsidR="00000000" w:rsidRPr="00000000">
        <w:rPr>
          <w:color w:val="333333"/>
          <w:sz w:val="12"/>
          <w:szCs w:val="12"/>
          <w:rtl w:val="0"/>
        </w:rPr>
        <w:t xml:space="preserve">22 </w:t>
      </w:r>
      <w:r w:rsidDel="00000000" w:rsidR="00000000" w:rsidRPr="00000000">
        <w:rPr>
          <w:sz w:val="18"/>
          <w:szCs w:val="18"/>
          <w:rtl w:val="0"/>
        </w:rPr>
        <w:t xml:space="preserve">. Functionally, this leads to more sustained signaling. Clinical studies have associated the α2B deletion variant with a lower basal metabolic rate in obese individuals </w:t>
      </w:r>
      <w:r w:rsidDel="00000000" w:rsidR="00000000" w:rsidRPr="00000000">
        <w:rPr>
          <w:color w:val="333333"/>
          <w:sz w:val="12"/>
          <w:szCs w:val="12"/>
          <w:rtl w:val="0"/>
        </w:rPr>
        <w:t xml:space="preserve">22 </w:t>
      </w:r>
      <w:r w:rsidDel="00000000" w:rsidR="00000000" w:rsidRPr="00000000">
        <w:rPr>
          <w:sz w:val="18"/>
          <w:szCs w:val="18"/>
          <w:rtl w:val="0"/>
        </w:rPr>
        <w:t xml:space="preserve">, suggesting a role in energy expenditure and possibly predisposing carriers to weight gain. Another line of research linked the same ADRA2B deletion polymorphism to emotional memory; carriers of the variant showed enhanced recall for emotionally arousing stimuli, and this genotype has been correlated with PTSD-like intrusive memories </w:t>
      </w:r>
      <w:r w:rsidDel="00000000" w:rsidR="00000000" w:rsidRPr="00000000">
        <w:rPr>
          <w:color w:val="333333"/>
          <w:sz w:val="12"/>
          <w:szCs w:val="12"/>
          <w:rtl w:val="0"/>
        </w:rPr>
        <w:t xml:space="preserve">23 </w:t>
      </w:r>
      <w:r w:rsidDel="00000000" w:rsidR="00000000" w:rsidRPr="00000000">
        <w:rPr>
          <w:sz w:val="18"/>
          <w:szCs w:val="18"/>
          <w:rtl w:val="0"/>
        </w:rPr>
        <w:t xml:space="preserve">. These findings highlight how genetic differences in a steroid-binding GPCR like α2B can have wide-ranging physiological and psychological effects.</w:t>
      </w:r>
    </w:p>
    <w:p w:rsidR="00000000" w:rsidDel="00000000" w:rsidP="00000000" w:rsidRDefault="00000000" w:rsidRPr="00000000" w14:paraId="00000018">
      <w:pPr>
        <w:rPr/>
      </w:pPr>
      <w:r w:rsidDel="00000000" w:rsidR="00000000" w:rsidRPr="00000000">
        <w:rPr>
          <w:rtl w:val="0"/>
        </w:rPr>
        <w:tab/>
        <w:tab/>
        <w:tab/>
        <w:tab/>
        <w:tab/>
      </w:r>
    </w:p>
    <w:p w:rsidR="00000000" w:rsidDel="00000000" w:rsidP="00000000" w:rsidRDefault="00000000" w:rsidRPr="00000000" w14:paraId="00000019">
      <w:pPr>
        <w:spacing w:after="240" w:before="240" w:lineRule="auto"/>
        <w:rPr>
          <w:sz w:val="18"/>
          <w:szCs w:val="18"/>
        </w:rPr>
      </w:pPr>
      <w:r w:rsidDel="00000000" w:rsidR="00000000" w:rsidRPr="00000000">
        <w:rPr>
          <w:sz w:val="18"/>
          <w:szCs w:val="18"/>
          <w:rtl w:val="0"/>
        </w:rPr>
        <w:t xml:space="preserve">Steroid Interactions: As with the other subtypes, the α2B receptor’s most pertinent interactions with “sterols” pertain to membrane cholesterol. By virtue of sequence and structural homology, α2B-AR likely possesses a cholesterol-binding site in its transmembrane bundle. (Although α2B crystal structures have been reported only recently, they presumably were stabilized by cholesterol or analogs during crystallography, similar to α2C and β-adrenergic receptor structures </w:t>
      </w:r>
      <w:r w:rsidDel="00000000" w:rsidR="00000000" w:rsidRPr="00000000">
        <w:rPr>
          <w:color w:val="333333"/>
          <w:sz w:val="12"/>
          <w:szCs w:val="12"/>
          <w:rtl w:val="0"/>
        </w:rPr>
        <w:t xml:space="preserve">24 11 </w:t>
      </w:r>
      <w:r w:rsidDel="00000000" w:rsidR="00000000" w:rsidRPr="00000000">
        <w:rPr>
          <w:sz w:val="18"/>
          <w:szCs w:val="18"/>
          <w:rtl w:val="0"/>
        </w:rPr>
        <w:t xml:space="preserve">.) Cholesterol molecules in the lipid bilayer can insert into specific grooves on the α2B receptor surface, influencing its conformation. The general phenomenon of GPCR-cholesterol interaction applies: cholesterol binding tends to enhance receptor stability and promote receptor oligomerization, and it can modulate the binding affinity of agonists or antagonists allosterically </w:t>
      </w:r>
      <w:r w:rsidDel="00000000" w:rsidR="00000000" w:rsidRPr="00000000">
        <w:rPr>
          <w:color w:val="333333"/>
          <w:sz w:val="12"/>
          <w:szCs w:val="12"/>
          <w:rtl w:val="0"/>
        </w:rPr>
        <w:t xml:space="preserve">10 </w:t>
      </w:r>
      <w:r w:rsidDel="00000000" w:rsidR="00000000" w:rsidRPr="00000000">
        <w:rPr>
          <w:sz w:val="18"/>
          <w:szCs w:val="18"/>
          <w:rtl w:val="0"/>
        </w:rPr>
        <w:t xml:space="preserve">. While direct experimental data on α2B are sparse, by analogy one can infer that a high-cholesterol membrane environment might increase α2B receptor signaling efficiency or surface retention. In terms of other steroids, there is no evidence that α2B directly binds steroid hormones (e.g. cortisol, estradiol) as ligands. However, hormonal regulation may occur indirectly. For example, some studies suggest that adrenal steroids (like cortisol) can upregulate adrenergic receptors including α2B in certain cell types, which could be part of the stress response facilitating vasoconstriction. Moreover, thyroid hormone (which has sterol-like structure) is known to modulate adrenergic receptor expression in the heart, though mainly β-ARs; any effect on α2B would be indirect. Overall, α2B’s key steroid interaction is with cholesterol in the membrane, contributing to its proper function. A pathological note is that hypercholesterolemia might exaggerate α2B-mediated vasoconstriction (similar to its effect on α2A in platelets), possibly contributing to hypertension – though α2B-specific data are needed. In summary, α2B shares the common theme of cholesterol as an allosteric regulator, even as its primary physiological role is executing catecholamine signals for vascular contraction and metabolic regulation.</w:t>
      </w:r>
    </w:p>
    <w:p w:rsidR="00000000" w:rsidDel="00000000" w:rsidP="00000000" w:rsidRDefault="00000000" w:rsidRPr="00000000" w14:paraId="0000001A">
      <w:pPr>
        <w:rPr/>
      </w:pPr>
      <w:r w:rsidDel="00000000" w:rsidR="00000000" w:rsidRPr="00000000">
        <w:rPr>
          <w:rtl w:val="0"/>
        </w:rPr>
        <w:tab/>
        <w:tab/>
        <w:tab/>
        <w:tab/>
        <w:tab/>
      </w:r>
    </w:p>
    <w:p w:rsidR="00000000" w:rsidDel="00000000" w:rsidP="00000000" w:rsidRDefault="00000000" w:rsidRPr="00000000" w14:paraId="0000001B">
      <w:pPr>
        <w:spacing w:after="240" w:before="240" w:lineRule="auto"/>
        <w:rPr>
          <w:sz w:val="28"/>
          <w:szCs w:val="28"/>
        </w:rPr>
      </w:pPr>
      <w:r w:rsidDel="00000000" w:rsidR="00000000" w:rsidRPr="00000000">
        <w:rPr>
          <w:sz w:val="28"/>
          <w:szCs w:val="28"/>
          <w:rtl w:val="0"/>
        </w:rPr>
        <w:t xml:space="preserve">α2C-Adrenergic Receptor (ADRA2C)</w:t>
      </w:r>
    </w:p>
    <w:p w:rsidR="00000000" w:rsidDel="00000000" w:rsidP="00000000" w:rsidRDefault="00000000" w:rsidRPr="00000000" w14:paraId="0000001C">
      <w:pPr>
        <w:rPr/>
      </w:pPr>
      <w:r w:rsidDel="00000000" w:rsidR="00000000" w:rsidRPr="00000000">
        <w:rPr>
          <w:rtl w:val="0"/>
        </w:rPr>
        <w:tab/>
        <w:tab/>
        <w:tab/>
        <w:tab/>
        <w:tab/>
      </w:r>
    </w:p>
    <w:p w:rsidR="00000000" w:rsidDel="00000000" w:rsidP="00000000" w:rsidRDefault="00000000" w:rsidRPr="00000000" w14:paraId="0000001D">
      <w:pPr>
        <w:spacing w:after="240" w:before="240" w:lineRule="auto"/>
        <w:rPr/>
      </w:pPr>
      <w:r w:rsidDel="00000000" w:rsidR="00000000" w:rsidRPr="00000000">
        <w:rPr>
          <w:sz w:val="18"/>
          <w:szCs w:val="18"/>
          <w:rtl w:val="0"/>
        </w:rPr>
        <w:t xml:space="preserve">α2C-AR is the third subtype, with distinctive patterns of expression in brain and peripheral tissues. In the central nervous system, α2C receptors are found in regions such as the striatum, olfactory system, and cortex, often on presynaptic neurons alongside α2A. They modulate neurotransmitter release, particularly under certain conditions. Studies in gene-knockout mice demonstrated that α2C receptors are recruited at lower levels of nerve activity to inhibit neurotransmission, complementing the α2A subtype which acts at higher stimulation frequencies </w:t>
      </w:r>
      <w:r w:rsidDel="00000000" w:rsidR="00000000" w:rsidRPr="00000000">
        <w:rPr>
          <w:color w:val="333333"/>
          <w:sz w:val="12"/>
          <w:szCs w:val="12"/>
          <w:rtl w:val="0"/>
        </w:rPr>
        <w:t xml:space="preserve">13 </w:t>
      </w:r>
      <w:r w:rsidDel="00000000" w:rsidR="00000000" w:rsidRPr="00000000">
        <w:rPr>
          <w:sz w:val="18"/>
          <w:szCs w:val="18"/>
          <w:rtl w:val="0"/>
        </w:rPr>
        <w:t xml:space="preserve">. Thus, α2C fine-tunes neurotransmitter output during basal sympathetic tone or modest neuronal firing. Peripherally, α2C is notably expressed in the vasculature of the skin and extremities. A unique functional role of α2C-AR is in cold-induced vasoconstriction: at normal body temperature, many α2C receptors in peripheral arteries remain intracellular and inactive, but upon cold exposure they translocate to the cell surface of vascular smooth muscle and mediate vasospasm in</w:t>
      </w:r>
      <w:r w:rsidDel="00000000" w:rsidR="00000000" w:rsidRPr="00000000">
        <w:rPr>
          <w:rtl w:val="0"/>
        </w:rPr>
        <w:tab/>
        <w:tab/>
        <w:tab/>
        <w:tab/>
      </w:r>
    </w:p>
    <w:p w:rsidR="00000000" w:rsidDel="00000000" w:rsidP="00000000" w:rsidRDefault="00000000" w:rsidRPr="00000000" w14:paraId="0000001E">
      <w:pPr>
        <w:rPr/>
      </w:pPr>
      <w:r w:rsidDel="00000000" w:rsidR="00000000" w:rsidRPr="00000000">
        <w:rPr>
          <w:rtl w:val="0"/>
        </w:rPr>
        <w:tab/>
        <w:tab/>
        <w:tab/>
        <w:tab/>
        <w:tab/>
      </w:r>
    </w:p>
    <w:p w:rsidR="00000000" w:rsidDel="00000000" w:rsidP="00000000" w:rsidRDefault="00000000" w:rsidRPr="00000000" w14:paraId="0000001F">
      <w:pPr>
        <w:spacing w:after="240" w:before="240" w:lineRule="auto"/>
        <w:rPr>
          <w:sz w:val="18"/>
          <w:szCs w:val="18"/>
        </w:rPr>
      </w:pPr>
      <w:r w:rsidDel="00000000" w:rsidR="00000000" w:rsidRPr="00000000">
        <w:rPr>
          <w:sz w:val="18"/>
          <w:szCs w:val="18"/>
          <w:rtl w:val="0"/>
        </w:rPr>
        <w:t xml:space="preserve">cutaneous arteries </w:t>
      </w:r>
      <w:r w:rsidDel="00000000" w:rsidR="00000000" w:rsidRPr="00000000">
        <w:rPr>
          <w:color w:val="333333"/>
          <w:sz w:val="12"/>
          <w:szCs w:val="12"/>
          <w:rtl w:val="0"/>
        </w:rPr>
        <w:t xml:space="preserve">25 26 </w:t>
      </w:r>
      <w:r w:rsidDel="00000000" w:rsidR="00000000" w:rsidRPr="00000000">
        <w:rPr>
          <w:sz w:val="18"/>
          <w:szCs w:val="18"/>
          <w:rtl w:val="0"/>
        </w:rPr>
        <w:t xml:space="preserve">. This mechanism reduces blood flow to the skin to conserve heat. However, if exaggerated, it contributes to Raynaud’s phenomenon, a condition of episodic digital ischemia in response to cold or stress. Indeed, local cooling robustly increases α2C-adrenergic activity in cutaneous vessels </w:t>
      </w:r>
      <w:r w:rsidDel="00000000" w:rsidR="00000000" w:rsidRPr="00000000">
        <w:rPr>
          <w:color w:val="333333"/>
          <w:sz w:val="12"/>
          <w:szCs w:val="12"/>
          <w:rtl w:val="0"/>
        </w:rPr>
        <w:t xml:space="preserve">27 </w:t>
      </w:r>
      <w:r w:rsidDel="00000000" w:rsidR="00000000" w:rsidRPr="00000000">
        <w:rPr>
          <w:sz w:val="18"/>
          <w:szCs w:val="18"/>
          <w:rtl w:val="0"/>
        </w:rPr>
        <w:t xml:space="preserve">, and a common ADRA2C gene variant (a deletion of four amino acids in the α2C third loop, found more frequently in certain populations) has been investigated for its impact on cold-induced vasoconstriction </w:t>
      </w:r>
      <w:r w:rsidDel="00000000" w:rsidR="00000000" w:rsidRPr="00000000">
        <w:rPr>
          <w:color w:val="333333"/>
          <w:sz w:val="12"/>
          <w:szCs w:val="12"/>
          <w:rtl w:val="0"/>
        </w:rPr>
        <w:t xml:space="preserve">28 </w:t>
      </w:r>
      <w:r w:rsidDel="00000000" w:rsidR="00000000" w:rsidRPr="00000000">
        <w:rPr>
          <w:sz w:val="18"/>
          <w:szCs w:val="18"/>
          <w:rtl w:val="0"/>
        </w:rPr>
        <w:t xml:space="preserve">. The ADRA2Cgene(chromosome4)isintronlessandencodesa462-amino-acidprotein </w:t>
      </w:r>
      <w:r w:rsidDel="00000000" w:rsidR="00000000" w:rsidRPr="00000000">
        <w:rPr>
          <w:color w:val="333333"/>
          <w:sz w:val="12"/>
          <w:szCs w:val="12"/>
          <w:rtl w:val="0"/>
        </w:rPr>
        <w:t xml:space="preserve">29 </w:t>
      </w:r>
      <w:r w:rsidDel="00000000" w:rsidR="00000000" w:rsidRPr="00000000">
        <w:rPr>
          <w:sz w:val="18"/>
          <w:szCs w:val="18"/>
          <w:rtl w:val="0"/>
        </w:rPr>
        <w:t xml:space="preserve">.Ithasseveralknown aliases (including “α2-AR subtype C4” from early cloning experiments) </w:t>
      </w:r>
      <w:r w:rsidDel="00000000" w:rsidR="00000000" w:rsidRPr="00000000">
        <w:rPr>
          <w:color w:val="333333"/>
          <w:sz w:val="12"/>
          <w:szCs w:val="12"/>
          <w:rtl w:val="0"/>
        </w:rPr>
        <w:t xml:space="preserve">30 </w:t>
      </w:r>
      <w:r w:rsidDel="00000000" w:rsidR="00000000" w:rsidRPr="00000000">
        <w:rPr>
          <w:sz w:val="18"/>
          <w:szCs w:val="18"/>
          <w:rtl w:val="0"/>
        </w:rPr>
        <w:t xml:space="preserve">. Polymorphisms in ADRA2C have clinical associations – for example, the α2C del322-325 variant (loss of four C-terminal amino acids in the third intracellular loop) has been linked to altered sympathetic responses and increased risk of heart failure in some studies, as well as Raynaud disease predisposition </w:t>
      </w:r>
      <w:r w:rsidDel="00000000" w:rsidR="00000000" w:rsidRPr="00000000">
        <w:rPr>
          <w:color w:val="333333"/>
          <w:sz w:val="12"/>
          <w:szCs w:val="12"/>
          <w:rtl w:val="0"/>
        </w:rPr>
        <w:t xml:space="preserve">31 </w:t>
      </w:r>
      <w:r w:rsidDel="00000000" w:rsidR="00000000" w:rsidRPr="00000000">
        <w:rPr>
          <w:sz w:val="18"/>
          <w:szCs w:val="18"/>
          <w:rtl w:val="0"/>
        </w:rPr>
        <w:t xml:space="preserve">. There is also evidence for ADRA2C involvement in psychiatric conditions (e.g. modulating dopamine release in frontal cortex), and it is a target of some antipsychotic drugs (e.g. α2C antagonism by atypical antipsychotics may improve cognitive or negative symptoms). In 2019, the first high-resolution structures of the human α2C receptor were solved, in the inactive state bound to the antagonist RS-79948 </w:t>
      </w:r>
      <w:r w:rsidDel="00000000" w:rsidR="00000000" w:rsidRPr="00000000">
        <w:rPr>
          <w:color w:val="333333"/>
          <w:sz w:val="12"/>
          <w:szCs w:val="12"/>
          <w:rtl w:val="0"/>
        </w:rPr>
        <w:t xml:space="preserve">32 </w:t>
      </w:r>
      <w:r w:rsidDel="00000000" w:rsidR="00000000" w:rsidRPr="00000000">
        <w:rPr>
          <w:sz w:val="18"/>
          <w:szCs w:val="18"/>
          <w:rtl w:val="0"/>
        </w:rPr>
        <w:t xml:space="preserve">. These crystal structures revealed the detailed ligand-binding pocket and confirmed the overall similarity to other GPCRs, while highlighting subtle differences that underlie subtype-selective drug binding </w:t>
      </w:r>
      <w:r w:rsidDel="00000000" w:rsidR="00000000" w:rsidRPr="00000000">
        <w:rPr>
          <w:color w:val="333333"/>
          <w:sz w:val="12"/>
          <w:szCs w:val="12"/>
          <w:rtl w:val="0"/>
        </w:rPr>
        <w:t xml:space="preserve">24 </w:t>
      </w:r>
      <w:r w:rsidDel="00000000" w:rsidR="00000000" w:rsidRPr="00000000">
        <w:rPr>
          <w:sz w:val="18"/>
          <w:szCs w:val="18"/>
          <w:rtl w:val="0"/>
        </w:rPr>
        <w:t xml:space="preserve">.</w:t>
      </w:r>
    </w:p>
    <w:p w:rsidR="00000000" w:rsidDel="00000000" w:rsidP="00000000" w:rsidRDefault="00000000" w:rsidRPr="00000000" w14:paraId="00000020">
      <w:pPr>
        <w:rPr/>
      </w:pPr>
      <w:r w:rsidDel="00000000" w:rsidR="00000000" w:rsidRPr="00000000">
        <w:rPr>
          <w:rtl w:val="0"/>
        </w:rPr>
        <w:tab/>
        <w:tab/>
        <w:tab/>
        <w:tab/>
        <w:tab/>
      </w:r>
    </w:p>
    <w:p w:rsidR="00000000" w:rsidDel="00000000" w:rsidP="00000000" w:rsidRDefault="00000000" w:rsidRPr="00000000" w14:paraId="00000021">
      <w:pPr>
        <w:spacing w:after="240" w:before="240" w:lineRule="auto"/>
        <w:rPr>
          <w:color w:val="333333"/>
          <w:sz w:val="12"/>
          <w:szCs w:val="12"/>
        </w:rPr>
      </w:pPr>
      <w:r w:rsidDel="00000000" w:rsidR="00000000" w:rsidRPr="00000000">
        <w:rPr>
          <w:sz w:val="18"/>
          <w:szCs w:val="18"/>
          <w:rtl w:val="0"/>
        </w:rPr>
        <w:t xml:space="preserve">Steroid Interactions: Among the α2 subtypes, α2C-adrenergic receptor has the most direct evidence of sterol binding. The crystal structure of α2C-AR (PDB ID: 6KUW) was obtained with cholesterol present, and notably a cholesterol molecule was observed bound within a crevice formed by transmembrane helices 1 and 7 </w:t>
      </w:r>
      <w:r w:rsidDel="00000000" w:rsidR="00000000" w:rsidRPr="00000000">
        <w:rPr>
          <w:color w:val="333333"/>
          <w:sz w:val="12"/>
          <w:szCs w:val="12"/>
          <w:rtl w:val="0"/>
        </w:rPr>
        <w:t xml:space="preserve">11 </w:t>
      </w:r>
      <w:r w:rsidDel="00000000" w:rsidR="00000000" w:rsidRPr="00000000">
        <w:rPr>
          <w:sz w:val="18"/>
          <w:szCs w:val="18"/>
          <w:rtl w:val="0"/>
        </w:rPr>
        <w:t xml:space="preserve">. This corresponds to a cholesterol-binding site on the receptor’s outer leaflet side. In the structure, a single cholesterol is nestled at that site (adjacent to helix 7 near the NPxxY motif and helix 1), likely stabilizing the receptor in the inactive conformation </w:t>
      </w:r>
      <w:r w:rsidDel="00000000" w:rsidR="00000000" w:rsidRPr="00000000">
        <w:rPr>
          <w:color w:val="333333"/>
          <w:sz w:val="12"/>
          <w:szCs w:val="12"/>
          <w:rtl w:val="0"/>
        </w:rPr>
        <w:t xml:space="preserve">11 </w:t>
      </w:r>
      <w:r w:rsidDel="00000000" w:rsidR="00000000" w:rsidRPr="00000000">
        <w:rPr>
          <w:sz w:val="18"/>
          <w:szCs w:val="18"/>
          <w:rtl w:val="0"/>
        </w:rPr>
        <w:t xml:space="preserve">. Such a location is consistent with the so- called “cholesterol consensus motif” (CCM) identified in many class A GPCRs, which involves a set of conserved aromatic and basic residues that interact with the sterol’s ring system and hydroxyl group </w:t>
      </w:r>
      <w:r w:rsidDel="00000000" w:rsidR="00000000" w:rsidRPr="00000000">
        <w:rPr>
          <w:color w:val="333333"/>
          <w:sz w:val="12"/>
          <w:szCs w:val="12"/>
          <w:rtl w:val="0"/>
        </w:rPr>
        <w:t xml:space="preserve">11</w:t>
      </w:r>
    </w:p>
    <w:p w:rsidR="00000000" w:rsidDel="00000000" w:rsidP="00000000" w:rsidRDefault="00000000" w:rsidRPr="00000000" w14:paraId="00000022">
      <w:pPr>
        <w:rPr/>
      </w:pPr>
      <w:r w:rsidDel="00000000" w:rsidR="00000000" w:rsidRPr="00000000">
        <w:rPr>
          <w:rtl w:val="0"/>
        </w:rPr>
        <w:tab/>
        <w:tab/>
        <w:tab/>
        <w:tab/>
        <w:tab/>
      </w:r>
    </w:p>
    <w:p w:rsidR="00000000" w:rsidDel="00000000" w:rsidP="00000000" w:rsidRDefault="00000000" w:rsidRPr="00000000" w14:paraId="00000023">
      <w:pPr>
        <w:spacing w:after="240" w:before="240" w:lineRule="auto"/>
        <w:rPr>
          <w:sz w:val="18"/>
          <w:szCs w:val="18"/>
        </w:rPr>
      </w:pPr>
      <w:r w:rsidDel="00000000" w:rsidR="00000000" w:rsidRPr="00000000">
        <w:rPr>
          <w:color w:val="333333"/>
          <w:sz w:val="12"/>
          <w:szCs w:val="12"/>
          <w:rtl w:val="0"/>
        </w:rPr>
        <w:t xml:space="preserve">33 </w:t>
      </w:r>
      <w:r w:rsidDel="00000000" w:rsidR="00000000" w:rsidRPr="00000000">
        <w:rPr>
          <w:sz w:val="18"/>
          <w:szCs w:val="18"/>
          <w:rtl w:val="0"/>
        </w:rPr>
        <w:t xml:space="preserve">.Beyondthisspecificsite,α2C(likeotherGPCRs)mayaccommodateadditionalcholesterolmoleculesat other non-canonical sites or within the lipid-facing surfaces. The functional impact of cholesterol binding to α2C is allosteric modulation: cholesterol can enhance the receptor’s stability in the membrane and influence its signaling efficacy </w:t>
      </w:r>
      <w:r w:rsidDel="00000000" w:rsidR="00000000" w:rsidRPr="00000000">
        <w:rPr>
          <w:color w:val="333333"/>
          <w:sz w:val="12"/>
          <w:szCs w:val="12"/>
          <w:rtl w:val="0"/>
        </w:rPr>
        <w:t xml:space="preserve">10 34 </w:t>
      </w:r>
      <w:r w:rsidDel="00000000" w:rsidR="00000000" w:rsidRPr="00000000">
        <w:rPr>
          <w:sz w:val="18"/>
          <w:szCs w:val="18"/>
          <w:rtl w:val="0"/>
        </w:rPr>
        <w:t xml:space="preserve">. For instance, cholesterol binding might favor the inactive state or alter the receptor’s ability to switch to its active conformation, thus tuning the cell’s sensitivity to catecholamines. Moreover, cholesterol-rich membrane microdomains (lipid rafts) might sequester α2C receptors and promote their oligomerization, affecting signaling complexes </w:t>
      </w:r>
      <w:r w:rsidDel="00000000" w:rsidR="00000000" w:rsidRPr="00000000">
        <w:rPr>
          <w:color w:val="333333"/>
          <w:sz w:val="12"/>
          <w:szCs w:val="12"/>
          <w:rtl w:val="0"/>
        </w:rPr>
        <w:t xml:space="preserve">10 9 </w:t>
      </w:r>
      <w:r w:rsidDel="00000000" w:rsidR="00000000" w:rsidRPr="00000000">
        <w:rPr>
          <w:sz w:val="18"/>
          <w:szCs w:val="18"/>
          <w:rtl w:val="0"/>
        </w:rPr>
        <w:t xml:space="preserve">.</w:t>
      </w:r>
    </w:p>
    <w:p w:rsidR="00000000" w:rsidDel="00000000" w:rsidP="00000000" w:rsidRDefault="00000000" w:rsidRPr="00000000" w14:paraId="00000024">
      <w:pPr>
        <w:rPr/>
      </w:pPr>
      <w:r w:rsidDel="00000000" w:rsidR="00000000" w:rsidRPr="00000000">
        <w:rPr>
          <w:rtl w:val="0"/>
        </w:rPr>
        <w:tab/>
        <w:tab/>
        <w:tab/>
        <w:tab/>
        <w:tab/>
      </w:r>
    </w:p>
    <w:p w:rsidR="00000000" w:rsidDel="00000000" w:rsidP="00000000" w:rsidRDefault="00000000" w:rsidRPr="00000000" w14:paraId="00000025">
      <w:pPr>
        <w:spacing w:after="240" w:before="240" w:lineRule="auto"/>
        <w:rPr/>
      </w:pPr>
      <w:r w:rsidDel="00000000" w:rsidR="00000000" w:rsidRPr="00000000">
        <w:rPr>
          <w:sz w:val="18"/>
          <w:szCs w:val="18"/>
          <w:rtl w:val="0"/>
        </w:rPr>
        <w:t xml:space="preserve">Beyond cholesterol, steroid hormones also intersect with α2C receptor function, albeit indirectly. A striking example is the effect of estrogen. It has been shown that 17β-estradiol (estrogen) upregulates α2C- adrenergic receptor expression in vascular smooth muscle cells via a cAMP/Epac/JNK/AP-1 signaling pathway </w:t>
      </w:r>
      <w:r w:rsidDel="00000000" w:rsidR="00000000" w:rsidRPr="00000000">
        <w:rPr>
          <w:color w:val="333333"/>
          <w:sz w:val="12"/>
          <w:szCs w:val="12"/>
          <w:rtl w:val="0"/>
        </w:rPr>
        <w:t xml:space="preserve">35 36 </w:t>
      </w:r>
      <w:r w:rsidDel="00000000" w:rsidR="00000000" w:rsidRPr="00000000">
        <w:rPr>
          <w:sz w:val="18"/>
          <w:szCs w:val="18"/>
          <w:rtl w:val="0"/>
        </w:rPr>
        <w:t xml:space="preserve">. In other words, estrogen at physiologic concentrations activates intracellular signaling that increases the transcription of the ADRA2C gene and the surface expression of α2C receptors. Functionally, this estrogen-induced upregulation potentiates cold-induced vasoconstriction mediated by α2C </w:t>
      </w:r>
      <w:r w:rsidDel="00000000" w:rsidR="00000000" w:rsidRPr="00000000">
        <w:rPr>
          <w:color w:val="333333"/>
          <w:sz w:val="12"/>
          <w:szCs w:val="12"/>
          <w:rtl w:val="0"/>
        </w:rPr>
        <w:t xml:space="preserve">36 </w:t>
      </w:r>
      <w:r w:rsidDel="00000000" w:rsidR="00000000" w:rsidRPr="00000000">
        <w:rPr>
          <w:sz w:val="18"/>
          <w:szCs w:val="18"/>
          <w:rtl w:val="0"/>
        </w:rPr>
        <w:t xml:space="preserve">. This provides a mechanistic explanation for why Raynaud’s phenomenon is more prevalent in premenopausal women – higher estrogen levels enhance α2C receptor-mediated vasospasm in response to cold </w:t>
      </w:r>
      <w:r w:rsidDel="00000000" w:rsidR="00000000" w:rsidRPr="00000000">
        <w:rPr>
          <w:color w:val="333333"/>
          <w:sz w:val="12"/>
          <w:szCs w:val="12"/>
          <w:rtl w:val="0"/>
        </w:rPr>
        <w:t xml:space="preserve">35 36 </w:t>
      </w:r>
      <w:r w:rsidDel="00000000" w:rsidR="00000000" w:rsidRPr="00000000">
        <w:rPr>
          <w:sz w:val="18"/>
          <w:szCs w:val="18"/>
          <w:rtl w:val="0"/>
        </w:rPr>
        <w:t xml:space="preserve">. In an experimental study, estradiol treatment increased α2C levels in cutaneous arteriole cells and correspondingly augmented the vasoconstrictive response to cooling; blocking the JNK pathway or the AP-1 transcription factor prevented this effect </w:t>
      </w:r>
      <w:r w:rsidDel="00000000" w:rsidR="00000000" w:rsidRPr="00000000">
        <w:rPr>
          <w:color w:val="333333"/>
          <w:sz w:val="12"/>
          <w:szCs w:val="12"/>
          <w:rtl w:val="0"/>
        </w:rPr>
        <w:t xml:space="preserve">37 36 </w:t>
      </w:r>
      <w:r w:rsidDel="00000000" w:rsidR="00000000" w:rsidRPr="00000000">
        <w:rPr>
          <w:sz w:val="18"/>
          <w:szCs w:val="18"/>
          <w:rtl w:val="0"/>
        </w:rPr>
        <w:t xml:space="preserve">. Thus, while estrogen is not a ligand for α2C-AR, it indirectly influences α2C by acting on nuclear or membrane estrogen receptors that trigger signaling cascades, ultimately modulating the α2C receptor’s expression. This is an example of cross-talk between steroid hormone signaling and GPCR regulation. It underscores that α2C, as part of the stress-response</w:t>
      </w:r>
      <w:r w:rsidDel="00000000" w:rsidR="00000000" w:rsidRPr="00000000">
        <w:rPr>
          <w:rtl w:val="0"/>
        </w:rPr>
        <w:tab/>
        <w:tab/>
        <w:tab/>
      </w:r>
    </w:p>
    <w:p w:rsidR="00000000" w:rsidDel="00000000" w:rsidP="00000000" w:rsidRDefault="00000000" w:rsidRPr="00000000" w14:paraId="00000026">
      <w:pPr>
        <w:rPr/>
      </w:pPr>
      <w:r w:rsidDel="00000000" w:rsidR="00000000" w:rsidRPr="00000000">
        <w:rPr>
          <w:rtl w:val="0"/>
        </w:rPr>
        <w:tab/>
        <w:tab/>
        <w:tab/>
        <w:tab/>
        <w:tab/>
      </w:r>
    </w:p>
    <w:p w:rsidR="00000000" w:rsidDel="00000000" w:rsidP="00000000" w:rsidRDefault="00000000" w:rsidRPr="00000000" w14:paraId="00000027">
      <w:pPr>
        <w:spacing w:after="240" w:before="240" w:lineRule="auto"/>
        <w:rPr>
          <w:sz w:val="18"/>
          <w:szCs w:val="18"/>
        </w:rPr>
      </w:pPr>
      <w:r w:rsidDel="00000000" w:rsidR="00000000" w:rsidRPr="00000000">
        <w:rPr>
          <w:sz w:val="18"/>
          <w:szCs w:val="18"/>
          <w:rtl w:val="0"/>
        </w:rPr>
        <w:t xml:space="preserve">system, can be fine-tuned by the endocrine milieu. Another steroid interaction to note is with cortisol and glucocorticoids: stress-level glucocorticoids can upregulate α2C (and α2A) in certain brain regions as part of the adaptive response to chronic stress, although detailed mechanisms are still under investigation.</w:t>
      </w:r>
    </w:p>
    <w:p w:rsidR="00000000" w:rsidDel="00000000" w:rsidP="00000000" w:rsidRDefault="00000000" w:rsidRPr="00000000" w14:paraId="00000028">
      <w:pPr>
        <w:rPr/>
      </w:pPr>
      <w:r w:rsidDel="00000000" w:rsidR="00000000" w:rsidRPr="00000000">
        <w:rPr>
          <w:rtl w:val="0"/>
        </w:rPr>
        <w:tab/>
        <w:tab/>
        <w:tab/>
        <w:tab/>
        <w:tab/>
      </w:r>
    </w:p>
    <w:p w:rsidR="00000000" w:rsidDel="00000000" w:rsidP="00000000" w:rsidRDefault="00000000" w:rsidRPr="00000000" w14:paraId="00000029">
      <w:pPr>
        <w:spacing w:after="240" w:before="240" w:lineRule="auto"/>
        <w:rPr>
          <w:sz w:val="18"/>
          <w:szCs w:val="18"/>
        </w:rPr>
      </w:pPr>
      <w:r w:rsidDel="00000000" w:rsidR="00000000" w:rsidRPr="00000000">
        <w:rPr>
          <w:sz w:val="18"/>
          <w:szCs w:val="18"/>
          <w:rtl w:val="0"/>
        </w:rPr>
        <w:t xml:space="preserve">In summary, α2C-adrenergic receptors bind the membrane sterol cholesterol at specific sites, which stabilizes and modulates the receptor’s activity. Additionally, steroid hormones (notably estrogen) profoundly affect α2C receptor expression and function, illustrating a physiological convergence of the catecholamine and steroid signaling systems in vascular regulation and stress responses.</w:t>
      </w:r>
    </w:p>
    <w:p w:rsidR="00000000" w:rsidDel="00000000" w:rsidP="00000000" w:rsidRDefault="00000000" w:rsidRPr="00000000" w14:paraId="0000002A">
      <w:pPr>
        <w:rPr/>
      </w:pPr>
      <w:r w:rsidDel="00000000" w:rsidR="00000000" w:rsidRPr="00000000">
        <w:rPr>
          <w:rtl w:val="0"/>
        </w:rPr>
        <w:tab/>
        <w:tab/>
        <w:tab/>
        <w:tab/>
        <w:tab/>
      </w:r>
    </w:p>
    <w:p w:rsidR="00000000" w:rsidDel="00000000" w:rsidP="00000000" w:rsidRDefault="00000000" w:rsidRPr="00000000" w14:paraId="0000002B">
      <w:pPr>
        <w:spacing w:after="240" w:before="240" w:lineRule="auto"/>
        <w:rPr>
          <w:sz w:val="28"/>
          <w:szCs w:val="28"/>
        </w:rPr>
      </w:pPr>
      <w:r w:rsidDel="00000000" w:rsidR="00000000" w:rsidRPr="00000000">
        <w:rPr>
          <w:sz w:val="28"/>
          <w:szCs w:val="28"/>
          <w:rtl w:val="0"/>
        </w:rPr>
        <w:t xml:space="preserve">Shared Features and Common Themes across α2A, α2B, α2C</w:t>
      </w:r>
    </w:p>
    <w:p w:rsidR="00000000" w:rsidDel="00000000" w:rsidP="00000000" w:rsidRDefault="00000000" w:rsidRPr="00000000" w14:paraId="0000002C">
      <w:pPr>
        <w:rPr/>
      </w:pPr>
      <w:r w:rsidDel="00000000" w:rsidR="00000000" w:rsidRPr="00000000">
        <w:rPr>
          <w:rtl w:val="0"/>
        </w:rPr>
        <w:tab/>
        <w:tab/>
        <w:tab/>
        <w:tab/>
        <w:tab/>
      </w:r>
    </w:p>
    <w:p w:rsidR="00000000" w:rsidDel="00000000" w:rsidP="00000000" w:rsidRDefault="00000000" w:rsidRPr="00000000" w14:paraId="0000002D">
      <w:pPr>
        <w:spacing w:after="240" w:before="240" w:lineRule="auto"/>
        <w:rPr>
          <w:sz w:val="18"/>
          <w:szCs w:val="18"/>
        </w:rPr>
      </w:pPr>
      <w:r w:rsidDel="00000000" w:rsidR="00000000" w:rsidRPr="00000000">
        <w:rPr>
          <w:sz w:val="18"/>
          <w:szCs w:val="18"/>
          <w:rtl w:val="0"/>
        </w:rPr>
        <w:t xml:space="preserve">All three α2-adrenergic receptor subtypes are members of the amine-binding GPCR subfamily, sharing a conserved orthosteric binding pocket for catecholamines. Key amino acids for ligand binding (such as an aspartate in TM3 that anchors the protonated amine, and serines in TM5 that interact with catechol hydroxyls) are conserved among α2A, α2B, and α2C </w:t>
      </w:r>
      <w:r w:rsidDel="00000000" w:rsidR="00000000" w:rsidRPr="00000000">
        <w:rPr>
          <w:color w:val="333333"/>
          <w:sz w:val="12"/>
          <w:szCs w:val="12"/>
          <w:rtl w:val="0"/>
        </w:rPr>
        <w:t xml:space="preserve">38 39 </w:t>
      </w:r>
      <w:r w:rsidDel="00000000" w:rsidR="00000000" w:rsidRPr="00000000">
        <w:rPr>
          <w:sz w:val="18"/>
          <w:szCs w:val="18"/>
          <w:rtl w:val="0"/>
        </w:rPr>
        <w:t xml:space="preserve">. This explains why epinephrine and norepinephrine bind to all α2 subtypes with reasonably high affinity, and why most α2-agonists/antagonists are not absolutely subtype-selective. Despite this, the subtypes exhibit different tissue distributions and regulatory mechanisms, allowing for specialization. All α2 receptors couple to Gi/o proteins to inhibit adenylate cyclase, but they can also signal via β-arrestins and other pathways upon prolonged activation, contributing to desensitization or alternative signaling (e.g. ERK pathway activation). The genes for α2A, α2B, α2C have no introns, which is relatively unusual and means no mRNA splicing variants; however, post- transcriptional and post-translational modifications (like phosphorylation, palmitoylation) provide regulatory diversity </w:t>
      </w:r>
      <w:r w:rsidDel="00000000" w:rsidR="00000000" w:rsidRPr="00000000">
        <w:rPr>
          <w:color w:val="333333"/>
          <w:sz w:val="12"/>
          <w:szCs w:val="12"/>
          <w:rtl w:val="0"/>
        </w:rPr>
        <w:t xml:space="preserve">22 40 </w:t>
      </w:r>
      <w:r w:rsidDel="00000000" w:rsidR="00000000" w:rsidRPr="00000000">
        <w:rPr>
          <w:sz w:val="18"/>
          <w:szCs w:val="18"/>
          <w:rtl w:val="0"/>
        </w:rPr>
        <w:t xml:space="preserve">. Each receptor has a long third intracellular loop and C-terminal tail that confer subtype-specific interactions with cellular proteins (for example, α2B’s C-terminus can bind the protein eIF-2B, linking to translation regulation </w:t>
      </w:r>
      <w:r w:rsidDel="00000000" w:rsidR="00000000" w:rsidRPr="00000000">
        <w:rPr>
          <w:color w:val="333333"/>
          <w:sz w:val="12"/>
          <w:szCs w:val="12"/>
          <w:rtl w:val="0"/>
        </w:rPr>
        <w:t xml:space="preserve">41 </w:t>
      </w:r>
      <w:r w:rsidDel="00000000" w:rsidR="00000000" w:rsidRPr="00000000">
        <w:rPr>
          <w:sz w:val="18"/>
          <w:szCs w:val="18"/>
          <w:rtl w:val="0"/>
        </w:rPr>
        <w:t xml:space="preserve">).</w:t>
      </w:r>
    </w:p>
    <w:p w:rsidR="00000000" w:rsidDel="00000000" w:rsidP="00000000" w:rsidRDefault="00000000" w:rsidRPr="00000000" w14:paraId="0000002E">
      <w:pPr>
        <w:rPr/>
      </w:pPr>
      <w:r w:rsidDel="00000000" w:rsidR="00000000" w:rsidRPr="00000000">
        <w:rPr>
          <w:rtl w:val="0"/>
        </w:rPr>
        <w:tab/>
        <w:tab/>
        <w:tab/>
        <w:tab/>
        <w:tab/>
      </w:r>
    </w:p>
    <w:p w:rsidR="00000000" w:rsidDel="00000000" w:rsidP="00000000" w:rsidRDefault="00000000" w:rsidRPr="00000000" w14:paraId="0000002F">
      <w:pPr>
        <w:spacing w:after="240" w:before="240" w:lineRule="auto"/>
        <w:rPr>
          <w:sz w:val="18"/>
          <w:szCs w:val="18"/>
        </w:rPr>
      </w:pPr>
      <w:r w:rsidDel="00000000" w:rsidR="00000000" w:rsidRPr="00000000">
        <w:rPr>
          <w:sz w:val="18"/>
          <w:szCs w:val="18"/>
          <w:rtl w:val="0"/>
        </w:rPr>
        <w:t xml:space="preserve">A particularly notable commonality is that all three α2-adrenergic receptors interact with membrane sterols (cholesterol). This appears to be a general feature of class A GPCRs: a cholesterol consensus motif has been identified in many biogenic amine receptors (including β-adrenergic, adenosine, opioid receptors, etc.), and cholesterol molecules were co-crystallized with both α2C and β2 receptors, among others </w:t>
      </w:r>
      <w:r w:rsidDel="00000000" w:rsidR="00000000" w:rsidRPr="00000000">
        <w:rPr>
          <w:color w:val="333333"/>
          <w:sz w:val="12"/>
          <w:szCs w:val="12"/>
          <w:rtl w:val="0"/>
        </w:rPr>
        <w:t xml:space="preserve">11 42 </w:t>
      </w:r>
      <w:r w:rsidDel="00000000" w:rsidR="00000000" w:rsidRPr="00000000">
        <w:rPr>
          <w:sz w:val="18"/>
          <w:szCs w:val="18"/>
          <w:rtl w:val="0"/>
        </w:rPr>
        <w:t xml:space="preserve">. The binding of cholesterol can occur at canonical sites (such as a groove between certain TMs, e.g. TM1-7 or TM2-4 interfaces) that are enriched in aromatic and basic residues accommodating the sterol </w:t>
      </w:r>
      <w:r w:rsidDel="00000000" w:rsidR="00000000" w:rsidRPr="00000000">
        <w:rPr>
          <w:color w:val="333333"/>
          <w:sz w:val="12"/>
          <w:szCs w:val="12"/>
          <w:rtl w:val="0"/>
        </w:rPr>
        <w:t xml:space="preserve">11 </w:t>
      </w:r>
      <w:r w:rsidDel="00000000" w:rsidR="00000000" w:rsidRPr="00000000">
        <w:rPr>
          <w:sz w:val="18"/>
          <w:szCs w:val="18"/>
          <w:rtl w:val="0"/>
        </w:rPr>
        <w:t xml:space="preserve">. Interestingly, the positions of cholesterol in α2C-AR (monomer at TM1/TM7) and in β2-AR (dimer at TM2/TM3/TM4 interface) are analogous to sites seen in other GPCRs, suggesting that these pockets are evolutionary “hot spots” for sterol interaction </w:t>
      </w:r>
      <w:r w:rsidDel="00000000" w:rsidR="00000000" w:rsidRPr="00000000">
        <w:rPr>
          <w:color w:val="333333"/>
          <w:sz w:val="12"/>
          <w:szCs w:val="12"/>
          <w:rtl w:val="0"/>
        </w:rPr>
        <w:t xml:space="preserve">11 42 </w:t>
      </w:r>
      <w:r w:rsidDel="00000000" w:rsidR="00000000" w:rsidRPr="00000000">
        <w:rPr>
          <w:sz w:val="18"/>
          <w:szCs w:val="18"/>
          <w:rtl w:val="0"/>
        </w:rPr>
        <w:t xml:space="preserve">. Thus, one cross-cutting theme is that cholesterol acts as an allosteric modulator for the α2-adrenergic receptors. As reviewed by Jakubík et al. (2021), cholesterol binding to class A GPCRs can alter ligand affinity, affect receptor activation kinetics, and influence dimerization/oligomerization </w:t>
      </w:r>
      <w:r w:rsidDel="00000000" w:rsidR="00000000" w:rsidRPr="00000000">
        <w:rPr>
          <w:color w:val="333333"/>
          <w:sz w:val="12"/>
          <w:szCs w:val="12"/>
          <w:rtl w:val="0"/>
        </w:rPr>
        <w:t xml:space="preserve">10 9 </w:t>
      </w:r>
      <w:r w:rsidDel="00000000" w:rsidR="00000000" w:rsidRPr="00000000">
        <w:rPr>
          <w:sz w:val="18"/>
          <w:szCs w:val="18"/>
          <w:rtl w:val="0"/>
        </w:rPr>
        <w:t xml:space="preserve">. In practical terms, the membrane lipid environment is integral to α2-AR function: high membrane cholesterol tends to stabilize receptors and could dampen excessive signaling (or in some cases promote specific active/inactive conformations), whereas low cholesterol might increase receptor mobility but reduce structural integrity </w:t>
      </w:r>
      <w:r w:rsidDel="00000000" w:rsidR="00000000" w:rsidRPr="00000000">
        <w:rPr>
          <w:color w:val="333333"/>
          <w:sz w:val="12"/>
          <w:szCs w:val="12"/>
          <w:rtl w:val="0"/>
        </w:rPr>
        <w:t xml:space="preserve">10 9 </w:t>
      </w:r>
      <w:r w:rsidDel="00000000" w:rsidR="00000000" w:rsidRPr="00000000">
        <w:rPr>
          <w:sz w:val="18"/>
          <w:szCs w:val="18"/>
          <w:rtl w:val="0"/>
        </w:rPr>
        <w:t xml:space="preserve">. Experimental evidence across GPCRs shows cholesterol can either enhance or inhibit agonist binding depending on whether it favors the inactive or active state </w:t>
      </w:r>
      <w:r w:rsidDel="00000000" w:rsidR="00000000" w:rsidRPr="00000000">
        <w:rPr>
          <w:color w:val="333333"/>
          <w:sz w:val="12"/>
          <w:szCs w:val="12"/>
          <w:rtl w:val="0"/>
        </w:rPr>
        <w:t xml:space="preserve">10 </w:t>
      </w:r>
      <w:r w:rsidDel="00000000" w:rsidR="00000000" w:rsidRPr="00000000">
        <w:rPr>
          <w:sz w:val="18"/>
          <w:szCs w:val="18"/>
          <w:rtl w:val="0"/>
        </w:rPr>
        <w:t xml:space="preserve">. For α2-adrenergic receptors, cholesterol’s presence is required in some purification/ reconstitution systems to maintain agonist binding, underscoring its stabilizing role </w:t>
      </w:r>
      <w:r w:rsidDel="00000000" w:rsidR="00000000" w:rsidRPr="00000000">
        <w:rPr>
          <w:color w:val="333333"/>
          <w:sz w:val="12"/>
          <w:szCs w:val="12"/>
          <w:rtl w:val="0"/>
        </w:rPr>
        <w:t xml:space="preserve">34 </w:t>
      </w:r>
      <w:r w:rsidDel="00000000" w:rsidR="00000000" w:rsidRPr="00000000">
        <w:rPr>
          <w:sz w:val="18"/>
          <w:szCs w:val="18"/>
          <w:rtl w:val="0"/>
        </w:rPr>
        <w:t xml:space="preserve">.</w:t>
      </w:r>
    </w:p>
    <w:p w:rsidR="00000000" w:rsidDel="00000000" w:rsidP="00000000" w:rsidRDefault="00000000" w:rsidRPr="00000000" w14:paraId="00000030">
      <w:pPr>
        <w:rPr/>
      </w:pPr>
      <w:r w:rsidDel="00000000" w:rsidR="00000000" w:rsidRPr="00000000">
        <w:rPr>
          <w:rtl w:val="0"/>
        </w:rPr>
        <w:tab/>
        <w:tab/>
        <w:tab/>
        <w:tab/>
        <w:tab/>
      </w:r>
    </w:p>
    <w:p w:rsidR="00000000" w:rsidDel="00000000" w:rsidP="00000000" w:rsidRDefault="00000000" w:rsidRPr="00000000" w14:paraId="00000031">
      <w:pPr>
        <w:spacing w:after="240" w:before="240" w:lineRule="auto"/>
        <w:rPr/>
      </w:pPr>
      <w:r w:rsidDel="00000000" w:rsidR="00000000" w:rsidRPr="00000000">
        <w:rPr>
          <w:sz w:val="18"/>
          <w:szCs w:val="18"/>
          <w:rtl w:val="0"/>
        </w:rPr>
        <w:t xml:space="preserve">Another shared aspect is that steroid hormones can regulate α2-receptor expression. We saw the example of estrogen upregulating α2C; similarly, glucocorticoid response elements have been identified near the ADRA2A gene, and stress hormones can induce α2A expression in certain brain regions, presumably as a feedback mechanism to curb overexcitation. There is also evidence that thyroid hormones (which are tyrosine-derived like catecholamines, but act via nuclear receptors) can influence adrenergic receptor densities, including possibly α2, during development and in hyperthyroid states (though more prominently affecting β1-receptors in heart). This interplay between endocrine signals and adrenergic receptors is a broad biological principle: GPCRs do not function in isolation but are integrated into the body’s hormonal and metabolic state.</w:t>
      </w:r>
      <w:r w:rsidDel="00000000" w:rsidR="00000000" w:rsidRPr="00000000">
        <w:rPr>
          <w:rtl w:val="0"/>
        </w:rPr>
        <w:tab/>
        <w:tab/>
        <w:tab/>
        <w:tab/>
      </w:r>
    </w:p>
    <w:p w:rsidR="00000000" w:rsidDel="00000000" w:rsidP="00000000" w:rsidRDefault="00000000" w:rsidRPr="00000000" w14:paraId="00000032">
      <w:pPr>
        <w:spacing w:after="240" w:before="240" w:lineRule="auto"/>
        <w:rPr/>
      </w:pPr>
      <w:r w:rsidDel="00000000" w:rsidR="00000000" w:rsidRPr="00000000">
        <w:rPr>
          <w:sz w:val="18"/>
          <w:szCs w:val="18"/>
          <w:rtl w:val="0"/>
        </w:rPr>
        <w:t xml:space="preserve">In terms of motifs and mechanisms, all α2 subtypes possess the DRY motif at the cytoplasmic end of TM3 critical for G-protein activation, and a conserved tyrosine in TM7 (part of NPxxY) that is involved in the conformational switch. They also have one or two cysteine residues in extracellular loops that form disulfide bonds stabilizing the receptor fold </w:t>
      </w:r>
      <w:r w:rsidDel="00000000" w:rsidR="00000000" w:rsidRPr="00000000">
        <w:rPr>
          <w:color w:val="333333"/>
          <w:sz w:val="12"/>
          <w:szCs w:val="12"/>
          <w:rtl w:val="0"/>
        </w:rPr>
        <w:t xml:space="preserve">43 </w:t>
      </w:r>
      <w:r w:rsidDel="00000000" w:rsidR="00000000" w:rsidRPr="00000000">
        <w:rPr>
          <w:sz w:val="18"/>
          <w:szCs w:val="18"/>
          <w:rtl w:val="0"/>
        </w:rPr>
        <w:t xml:space="preserve">. Each receptor is palmitoylated at a juxtamembrane cysteine (e.g. α2A at Cys^442 </w:t>
      </w:r>
      <w:r w:rsidDel="00000000" w:rsidR="00000000" w:rsidRPr="00000000">
        <w:rPr>
          <w:color w:val="333333"/>
          <w:sz w:val="12"/>
          <w:szCs w:val="12"/>
          <w:rtl w:val="0"/>
        </w:rPr>
        <w:t xml:space="preserve">44 </w:t>
      </w:r>
      <w:r w:rsidDel="00000000" w:rsidR="00000000" w:rsidRPr="00000000">
        <w:rPr>
          <w:sz w:val="18"/>
          <w:szCs w:val="18"/>
          <w:rtl w:val="0"/>
        </w:rPr>
        <w:t xml:space="preserve">), a reversible lipidation that can modulate coupling efficacy and membrane localization. Notably, palmitoylation often works in concert with cholesterol – for example, a cholesterol molecule was seen in β2AR wedged against helix 8 near a palmitoylated cysteine, implying a cooperative structural role</w:t>
      </w:r>
      <w:r w:rsidDel="00000000" w:rsidR="00000000" w:rsidRPr="00000000">
        <w:rPr>
          <w:rtl w:val="0"/>
        </w:rPr>
        <w:tab/>
        <w:tab/>
        <w:tab/>
        <w:tab/>
      </w:r>
    </w:p>
    <w:p w:rsidR="00000000" w:rsidDel="00000000" w:rsidP="00000000" w:rsidRDefault="00000000" w:rsidRPr="00000000" w14:paraId="00000033">
      <w:pPr>
        <w:spacing w:after="240" w:before="240" w:lineRule="auto"/>
        <w:rPr>
          <w:sz w:val="18"/>
          <w:szCs w:val="18"/>
        </w:rPr>
      </w:pPr>
      <w:r w:rsidDel="00000000" w:rsidR="00000000" w:rsidRPr="00000000">
        <w:rPr>
          <w:sz w:val="18"/>
          <w:szCs w:val="18"/>
          <w:rtl w:val="0"/>
        </w:rPr>
        <w:t xml:space="preserve">Functionally, the α2A, α2B, α2C receptors all inhibit adenylate cyclase via Gi, leading to decreased cAMP, which causes effects like platelet aggregation (α2A on platelets), decreased insulin release (α2 on pancreatic islets), and vascular smooth muscle contraction (through reduced cAMP-mediated relaxation). They also activate K+ channels and inhibit Ca2+ channels in neurons, contributing to hyperpolarization and reduced neurotransmitter release. These shared signaling pathways explain why all subtypes can cause sedation, analgesia, and sympatholysis when activated, albeit in different contexts or tissue distributions </w:t>
      </w:r>
      <w:r w:rsidDel="00000000" w:rsidR="00000000" w:rsidRPr="00000000">
        <w:rPr>
          <w:color w:val="333333"/>
          <w:sz w:val="12"/>
          <w:szCs w:val="12"/>
          <w:rtl w:val="0"/>
        </w:rPr>
        <w:t xml:space="preserve">1 47 </w:t>
      </w:r>
      <w:r w:rsidDel="00000000" w:rsidR="00000000" w:rsidRPr="00000000">
        <w:rPr>
          <w:sz w:val="18"/>
          <w:szCs w:val="18"/>
          <w:rtl w:val="0"/>
        </w:rPr>
        <w:t xml:space="preserve">.</w:t>
      </w:r>
    </w:p>
    <w:p w:rsidR="00000000" w:rsidDel="00000000" w:rsidP="00000000" w:rsidRDefault="00000000" w:rsidRPr="00000000" w14:paraId="00000034">
      <w:pPr>
        <w:rPr/>
      </w:pPr>
      <w:r w:rsidDel="00000000" w:rsidR="00000000" w:rsidRPr="00000000">
        <w:rPr>
          <w:rtl w:val="0"/>
        </w:rPr>
        <w:tab/>
        <w:tab/>
        <w:tab/>
        <w:tab/>
        <w:tab/>
      </w:r>
    </w:p>
    <w:p w:rsidR="00000000" w:rsidDel="00000000" w:rsidP="00000000" w:rsidRDefault="00000000" w:rsidRPr="00000000" w14:paraId="00000035">
      <w:pPr>
        <w:spacing w:after="240" w:before="240" w:lineRule="auto"/>
        <w:rPr>
          <w:sz w:val="18"/>
          <w:szCs w:val="18"/>
        </w:rPr>
      </w:pPr>
      <w:r w:rsidDel="00000000" w:rsidR="00000000" w:rsidRPr="00000000">
        <w:rPr>
          <w:sz w:val="18"/>
          <w:szCs w:val="18"/>
          <w:rtl w:val="0"/>
        </w:rPr>
        <w:t xml:space="preserve">In disease, all three α2 subtypes have been implicated in various conditions: α2A in ADHD and hypotensive disorders, α2B in vascular diseases and metabolic syndrome (the variant associating with obesity and possibly insulin resistance </w:t>
      </w:r>
      <w:r w:rsidDel="00000000" w:rsidR="00000000" w:rsidRPr="00000000">
        <w:rPr>
          <w:color w:val="333333"/>
          <w:sz w:val="12"/>
          <w:szCs w:val="12"/>
          <w:rtl w:val="0"/>
        </w:rPr>
        <w:t xml:space="preserve">22 </w:t>
      </w:r>
      <w:r w:rsidDel="00000000" w:rsidR="00000000" w:rsidRPr="00000000">
        <w:rPr>
          <w:sz w:val="18"/>
          <w:szCs w:val="18"/>
          <w:rtl w:val="0"/>
        </w:rPr>
        <w:t xml:space="preserve">), and α2C in Raynaud’s phenomenon, heart failure (some populations with the α2C deletion variant show increased heart failure risk due to impaired presynaptic inhibition of cardiac noradrenaline release), and psychiatric disorders. What unites these is that α2 receptors serve as crucial modulators of neurotransmitter and hormone release, linking the nervous system with endocrine and cardiovascular systems. The fact that they are “annotated as steroid-binding proteins” in some databases likely reflects their cholesterol-binding capacity and regulatory control by steroid hormones. In a broader sense, the α2-adrenergic receptors exemplify how membrane receptors can be regulated by the lipid environment and cross-talk with steroid hormone signaling. They contain common structural motifs for sterol interaction and their activity can be fine-tuned by the composition of the membrane and the hormonal state of the organism. This integrative characteristic ensures that α2-adrenergic signaling appropriately adapts to physiological conditions – for instance, during stress (high cortisol and catecholamine levels), during cold exposure (sympathetic activation and in females, high estrogen facilitating vasoconstriction), or in metabolic imbalance (hyperlipidemia increasing receptor density).</w:t>
      </w:r>
    </w:p>
    <w:p w:rsidR="00000000" w:rsidDel="00000000" w:rsidP="00000000" w:rsidRDefault="00000000" w:rsidRPr="00000000" w14:paraId="00000036">
      <w:pPr>
        <w:rPr/>
      </w:pPr>
      <w:r w:rsidDel="00000000" w:rsidR="00000000" w:rsidRPr="00000000">
        <w:rPr>
          <w:rtl w:val="0"/>
        </w:rPr>
        <w:tab/>
        <w:tab/>
        <w:tab/>
        <w:tab/>
        <w:tab/>
      </w:r>
    </w:p>
    <w:p w:rsidR="00000000" w:rsidDel="00000000" w:rsidP="00000000" w:rsidRDefault="00000000" w:rsidRPr="00000000" w14:paraId="00000037">
      <w:pPr>
        <w:spacing w:after="240" w:before="240" w:lineRule="auto"/>
        <w:rPr>
          <w:sz w:val="18"/>
          <w:szCs w:val="18"/>
        </w:rPr>
      </w:pPr>
      <w:r w:rsidDel="00000000" w:rsidR="00000000" w:rsidRPr="00000000">
        <w:rPr>
          <w:sz w:val="18"/>
          <w:szCs w:val="18"/>
          <w:rtl w:val="0"/>
        </w:rPr>
        <w:t xml:space="preserve">In conclusion, the α2A, α2B, and α2C adrenergic receptors are a closely related group of GPCRs that inhibit adenylate cyclase and regulate sympathetic neurotransmission. They share structural features such as seven transmembrane domains, intronless genes, and conserved catecholamine-binding residues. Critically, they also share the ability to bind cholesterol and are subject to modulation by sterol interactions. Each subtype has unique physiological roles – α2A and α2C as presynaptic modulators (with α2A active at high and α2C at low nerve firing), and α2B as a postsynaptic effector especially in vasculature – yet they operate on common pathways. The sterol-binding aspect (including cholesterol and indirect regulation by steroid hormones) is a unifying theme that highlights the intersection of membrane biophysics and endocrine regulation in controlling these neurotransmitter receptors. Understanding these shared and specific features of α2-adrenergic receptors is important not only for basic biology but also for pharmacology, as drugs targeting these receptors must consider the subtype differences and the influence of the membrane environment on receptor behavior </w:t>
      </w:r>
      <w:r w:rsidDel="00000000" w:rsidR="00000000" w:rsidRPr="00000000">
        <w:rPr>
          <w:color w:val="333333"/>
          <w:sz w:val="12"/>
          <w:szCs w:val="12"/>
          <w:rtl w:val="0"/>
        </w:rPr>
        <w:t xml:space="preserve">10 35 </w:t>
      </w:r>
      <w:r w:rsidDel="00000000" w:rsidR="00000000" w:rsidRPr="00000000">
        <w:rPr>
          <w:sz w:val="18"/>
          <w:szCs w:val="18"/>
          <w:rtl w:val="0"/>
        </w:rPr>
        <w:t xml:space="preserve">. The cluster of α2-adrenergic receptors thus presents a rich example of how protein structure, lipid interactions, and hormonal regulation converge to fine-tune critical physiological processes.</w:t>
      </w:r>
    </w:p>
    <w:p w:rsidR="00000000" w:rsidDel="00000000" w:rsidP="00000000" w:rsidRDefault="00000000" w:rsidRPr="00000000" w14:paraId="00000038">
      <w:pPr>
        <w:rPr/>
      </w:pPr>
      <w:r w:rsidDel="00000000" w:rsidR="00000000" w:rsidRPr="00000000">
        <w:rPr>
          <w:rtl w:val="0"/>
        </w:rPr>
        <w:tab/>
        <w:tab/>
        <w:tab/>
        <w:tab/>
        <w:tab/>
      </w:r>
    </w:p>
    <w:p w:rsidR="00000000" w:rsidDel="00000000" w:rsidP="00000000" w:rsidRDefault="00000000" w:rsidRPr="00000000" w14:paraId="00000039">
      <w:pPr>
        <w:spacing w:after="240" w:before="240" w:lineRule="auto"/>
        <w:rPr>
          <w:sz w:val="18"/>
          <w:szCs w:val="18"/>
        </w:rPr>
      </w:pPr>
      <w:r w:rsidDel="00000000" w:rsidR="00000000" w:rsidRPr="00000000">
        <w:rPr>
          <w:rtl w:val="0"/>
        </w:rPr>
      </w:r>
    </w:p>
    <w:p w:rsidR="00000000" w:rsidDel="00000000" w:rsidP="00000000" w:rsidRDefault="00000000" w:rsidRPr="00000000" w14:paraId="0000003A">
      <w:pPr>
        <w:spacing w:after="240" w:before="240" w:lineRule="auto"/>
        <w:rPr>
          <w:sz w:val="18"/>
          <w:szCs w:val="18"/>
        </w:rPr>
      </w:pPr>
      <w:r w:rsidDel="00000000" w:rsidR="00000000" w:rsidRPr="00000000">
        <w:rPr>
          <w:sz w:val="18"/>
          <w:szCs w:val="18"/>
          <w:rtl w:val="0"/>
        </w:rPr>
        <w:t xml:space="preserve">Sources: References include gene and protein databases, structural biology studies, and pharmacological research articles that detail the functions of α2-adrenergic receptor subtypes and their interactions with sterols and steroids </w:t>
      </w:r>
      <w:r w:rsidDel="00000000" w:rsidR="00000000" w:rsidRPr="00000000">
        <w:rPr>
          <w:color w:val="333333"/>
          <w:sz w:val="12"/>
          <w:szCs w:val="12"/>
          <w:rtl w:val="0"/>
        </w:rPr>
        <w:t xml:space="preserve">1 13 21 11 35 36 10 </w:t>
      </w:r>
      <w:r w:rsidDel="00000000" w:rsidR="00000000" w:rsidRPr="00000000">
        <w:rPr>
          <w:sz w:val="18"/>
          <w:szCs w:val="18"/>
          <w:rtl w:val="0"/>
        </w:rPr>
        <w:t xml:space="preserve">, among others. These provide evidence for the roles of α2A, α2B, α2C in neurotransmission and vascular regulation, as well as the mechanisms by which cholesterol and hormones modulate their activity. Each citation supports specific facts about receptor function, structure, or steroid interaction as discussed above.</w:t>
      </w:r>
    </w:p>
    <w:p w:rsidR="00000000" w:rsidDel="00000000" w:rsidP="00000000" w:rsidRDefault="00000000" w:rsidRPr="00000000" w14:paraId="0000003B">
      <w:pPr>
        <w:rPr/>
      </w:pPr>
      <w:r w:rsidDel="00000000" w:rsidR="00000000" w:rsidRPr="00000000">
        <w:rPr>
          <w:rtl w:val="0"/>
        </w:rPr>
        <w:tab/>
        <w:tab/>
        <w:tab/>
        <w:tab/>
        <w:tab/>
      </w:r>
    </w:p>
    <w:p w:rsidR="00000000" w:rsidDel="00000000" w:rsidP="00000000" w:rsidRDefault="00000000" w:rsidRPr="00000000" w14:paraId="0000003C">
      <w:pPr>
        <w:spacing w:after="240" w:before="240" w:lineRule="auto"/>
        <w:rPr>
          <w:color w:val="5d5d5d"/>
          <w:sz w:val="16"/>
          <w:szCs w:val="16"/>
        </w:rPr>
      </w:pPr>
      <w:r w:rsidDel="00000000" w:rsidR="00000000" w:rsidRPr="00000000">
        <w:rPr>
          <w:color w:val="333333"/>
          <w:sz w:val="12"/>
          <w:szCs w:val="12"/>
          <w:rtl w:val="0"/>
        </w:rPr>
        <w:t xml:space="preserve">1 3 14 29 30 31 </w:t>
      </w:r>
      <w:r w:rsidDel="00000000" w:rsidR="00000000" w:rsidRPr="00000000">
        <w:rPr>
          <w:sz w:val="18"/>
          <w:szCs w:val="18"/>
          <w:rtl w:val="0"/>
        </w:rPr>
        <w:t xml:space="preserve">ADRA2C Gene - GeneCards | ADA2C Protein | ADA2C Antibody </w:t>
      </w:r>
      <w:r w:rsidDel="00000000" w:rsidR="00000000" w:rsidRPr="00000000">
        <w:rPr>
          <w:color w:val="5d5d5d"/>
          <w:sz w:val="16"/>
          <w:szCs w:val="16"/>
          <w:rtl w:val="0"/>
        </w:rPr>
        <w:t xml:space="preserve">https://www.genecards.org/cgi-bin/carddisp.pl?gene=ADRA2C</w:t>
      </w:r>
    </w:p>
    <w:p w:rsidR="00000000" w:rsidDel="00000000" w:rsidP="00000000" w:rsidRDefault="00000000" w:rsidRPr="00000000" w14:paraId="0000003D">
      <w:pPr>
        <w:rPr/>
      </w:pPr>
      <w:r w:rsidDel="00000000" w:rsidR="00000000" w:rsidRPr="00000000">
        <w:rPr>
          <w:rtl w:val="0"/>
        </w:rPr>
        <w:tab/>
        <w:tab/>
        <w:tab/>
        <w:tab/>
        <w:tab/>
      </w:r>
    </w:p>
    <w:p w:rsidR="00000000" w:rsidDel="00000000" w:rsidP="00000000" w:rsidRDefault="00000000" w:rsidRPr="00000000" w14:paraId="0000003E">
      <w:pPr>
        <w:spacing w:after="240" w:before="240" w:lineRule="auto"/>
        <w:rPr>
          <w:color w:val="5d5d5d"/>
          <w:sz w:val="16"/>
          <w:szCs w:val="16"/>
        </w:rPr>
      </w:pPr>
      <w:r w:rsidDel="00000000" w:rsidR="00000000" w:rsidRPr="00000000">
        <w:rPr>
          <w:color w:val="333333"/>
          <w:sz w:val="12"/>
          <w:szCs w:val="12"/>
          <w:rtl w:val="0"/>
        </w:rPr>
        <w:t xml:space="preserve">2 5 16 24 38 39 </w:t>
      </w:r>
      <w:r w:rsidDel="00000000" w:rsidR="00000000" w:rsidRPr="00000000">
        <w:rPr>
          <w:sz w:val="18"/>
          <w:szCs w:val="18"/>
          <w:rtl w:val="0"/>
        </w:rPr>
        <w:t xml:space="preserve">Ligands of Adrenergic Receptors: A Structural Point of View </w:t>
      </w:r>
      <w:r w:rsidDel="00000000" w:rsidR="00000000" w:rsidRPr="00000000">
        <w:rPr>
          <w:color w:val="5d5d5d"/>
          <w:sz w:val="16"/>
          <w:szCs w:val="16"/>
          <w:rtl w:val="0"/>
        </w:rPr>
        <w:t xml:space="preserve">https://www.mdpi.com/2218-273X/11/7/936</w:t>
      </w:r>
    </w:p>
    <w:p w:rsidR="00000000" w:rsidDel="00000000" w:rsidP="00000000" w:rsidRDefault="00000000" w:rsidRPr="00000000" w14:paraId="0000003F">
      <w:pPr>
        <w:rPr/>
      </w:pPr>
      <w:r w:rsidDel="00000000" w:rsidR="00000000" w:rsidRPr="00000000">
        <w:rPr>
          <w:rtl w:val="0"/>
        </w:rPr>
        <w:tab/>
        <w:tab/>
        <w:tab/>
        <w:tab/>
        <w:tab/>
      </w:r>
    </w:p>
    <w:p w:rsidR="00000000" w:rsidDel="00000000" w:rsidP="00000000" w:rsidRDefault="00000000" w:rsidRPr="00000000" w14:paraId="00000040">
      <w:pPr>
        <w:spacing w:after="240" w:before="240" w:lineRule="auto"/>
        <w:rPr>
          <w:color w:val="5d5d5d"/>
          <w:sz w:val="16"/>
          <w:szCs w:val="16"/>
        </w:rPr>
      </w:pPr>
      <w:r w:rsidDel="00000000" w:rsidR="00000000" w:rsidRPr="00000000">
        <w:rPr>
          <w:color w:val="333333"/>
          <w:sz w:val="12"/>
          <w:szCs w:val="12"/>
          <w:rtl w:val="0"/>
        </w:rPr>
        <w:t xml:space="preserve">4 13 15 47 </w:t>
      </w:r>
      <w:r w:rsidDel="00000000" w:rsidR="00000000" w:rsidRPr="00000000">
        <w:rPr>
          <w:sz w:val="18"/>
          <w:szCs w:val="18"/>
          <w:rtl w:val="0"/>
        </w:rPr>
        <w:t xml:space="preserve">Two functionally distinct alpha2-adrenergic receptors regulate sympathetic neurotransmission - PubMed</w:t>
        <w:br w:type="textWrapping"/>
        <w:t xml:space="preserve"> </w:t>
      </w:r>
      <w:r w:rsidDel="00000000" w:rsidR="00000000" w:rsidRPr="00000000">
        <w:rPr>
          <w:color w:val="5d5d5d"/>
          <w:sz w:val="16"/>
          <w:szCs w:val="16"/>
          <w:rtl w:val="0"/>
        </w:rPr>
        <w:t xml:space="preserve">https://pubmed.ncbi.nlm.nih.gov/10647009/</w:t>
      </w:r>
    </w:p>
    <w:p w:rsidR="00000000" w:rsidDel="00000000" w:rsidP="00000000" w:rsidRDefault="00000000" w:rsidRPr="00000000" w14:paraId="00000041">
      <w:pPr>
        <w:rPr/>
      </w:pPr>
      <w:r w:rsidDel="00000000" w:rsidR="00000000" w:rsidRPr="00000000">
        <w:rPr>
          <w:rtl w:val="0"/>
        </w:rPr>
        <w:tab/>
        <w:tab/>
        <w:tab/>
        <w:tab/>
        <w:tab/>
      </w:r>
    </w:p>
    <w:p w:rsidR="00000000" w:rsidDel="00000000" w:rsidP="00000000" w:rsidRDefault="00000000" w:rsidRPr="00000000" w14:paraId="00000042">
      <w:pPr>
        <w:spacing w:after="240" w:before="240" w:lineRule="auto"/>
        <w:rPr>
          <w:color w:val="5d5d5d"/>
          <w:sz w:val="16"/>
          <w:szCs w:val="16"/>
        </w:rPr>
      </w:pPr>
      <w:r w:rsidDel="00000000" w:rsidR="00000000" w:rsidRPr="00000000">
        <w:rPr>
          <w:color w:val="333333"/>
          <w:sz w:val="12"/>
          <w:szCs w:val="12"/>
          <w:rtl w:val="0"/>
        </w:rPr>
        <w:t xml:space="preserve">6 12 22 23 41 </w:t>
      </w:r>
      <w:r w:rsidDel="00000000" w:rsidR="00000000" w:rsidRPr="00000000">
        <w:rPr>
          <w:sz w:val="18"/>
          <w:szCs w:val="18"/>
          <w:rtl w:val="0"/>
        </w:rPr>
        <w:t xml:space="preserve">Alpha-2B adrenergic receptor - Wikipedia </w:t>
      </w:r>
      <w:r w:rsidDel="00000000" w:rsidR="00000000" w:rsidRPr="00000000">
        <w:rPr>
          <w:color w:val="5d5d5d"/>
          <w:sz w:val="16"/>
          <w:szCs w:val="16"/>
          <w:rtl w:val="0"/>
        </w:rPr>
        <w:t xml:space="preserve">https://en.wikipedia.org/wiki/Alpha-2B_adrenergic_receptor</w:t>
      </w:r>
    </w:p>
    <w:p w:rsidR="00000000" w:rsidDel="00000000" w:rsidP="00000000" w:rsidRDefault="00000000" w:rsidRPr="00000000" w14:paraId="00000043">
      <w:pPr>
        <w:rPr/>
      </w:pPr>
      <w:r w:rsidDel="00000000" w:rsidR="00000000" w:rsidRPr="00000000">
        <w:rPr>
          <w:rtl w:val="0"/>
        </w:rPr>
        <w:tab/>
        <w:tab/>
        <w:tab/>
        <w:tab/>
        <w:tab/>
      </w:r>
    </w:p>
    <w:p w:rsidR="00000000" w:rsidDel="00000000" w:rsidP="00000000" w:rsidRDefault="00000000" w:rsidRPr="00000000" w14:paraId="00000044">
      <w:pPr>
        <w:spacing w:after="240" w:before="240" w:lineRule="auto"/>
        <w:rPr>
          <w:color w:val="5d5d5d"/>
          <w:sz w:val="16"/>
          <w:szCs w:val="16"/>
        </w:rPr>
      </w:pPr>
      <w:r w:rsidDel="00000000" w:rsidR="00000000" w:rsidRPr="00000000">
        <w:rPr>
          <w:color w:val="333333"/>
          <w:sz w:val="12"/>
          <w:szCs w:val="12"/>
          <w:rtl w:val="0"/>
        </w:rPr>
        <w:t xml:space="preserve">7 18 </w:t>
      </w:r>
      <w:r w:rsidDel="00000000" w:rsidR="00000000" w:rsidRPr="00000000">
        <w:rPr>
          <w:sz w:val="18"/>
          <w:szCs w:val="18"/>
          <w:rtl w:val="0"/>
        </w:rPr>
        <w:t xml:space="preserve">Influence of Receptor Polymorphisms on the Response to α-Adrenergic Receptor Blockers in Pheochromocytoma Patients - PMC</w:t>
        <w:br w:type="textWrapping"/>
        <w:t xml:space="preserve"> </w:t>
      </w:r>
      <w:r w:rsidDel="00000000" w:rsidR="00000000" w:rsidRPr="00000000">
        <w:rPr>
          <w:color w:val="5d5d5d"/>
          <w:sz w:val="16"/>
          <w:szCs w:val="16"/>
          <w:rtl w:val="0"/>
        </w:rPr>
        <w:t xml:space="preserve">https://pmc.ncbi.nlm.nih.gov/articles/PMC9028965/</w:t>
      </w:r>
    </w:p>
    <w:p w:rsidR="00000000" w:rsidDel="00000000" w:rsidP="00000000" w:rsidRDefault="00000000" w:rsidRPr="00000000" w14:paraId="00000045">
      <w:pPr>
        <w:rPr/>
      </w:pPr>
      <w:r w:rsidDel="00000000" w:rsidR="00000000" w:rsidRPr="00000000">
        <w:rPr>
          <w:rtl w:val="0"/>
        </w:rPr>
        <w:tab/>
        <w:tab/>
        <w:tab/>
        <w:tab/>
        <w:tab/>
      </w:r>
    </w:p>
    <w:p w:rsidR="00000000" w:rsidDel="00000000" w:rsidP="00000000" w:rsidRDefault="00000000" w:rsidRPr="00000000" w14:paraId="00000046">
      <w:pPr>
        <w:spacing w:after="240" w:before="240" w:lineRule="auto"/>
        <w:rPr>
          <w:color w:val="5d5d5d"/>
          <w:sz w:val="16"/>
          <w:szCs w:val="16"/>
        </w:rPr>
      </w:pPr>
      <w:r w:rsidDel="00000000" w:rsidR="00000000" w:rsidRPr="00000000">
        <w:rPr>
          <w:color w:val="333333"/>
          <w:sz w:val="12"/>
          <w:szCs w:val="12"/>
          <w:rtl w:val="0"/>
        </w:rPr>
        <w:t xml:space="preserve">8 9 10 43 </w:t>
      </w:r>
      <w:r w:rsidDel="00000000" w:rsidR="00000000" w:rsidRPr="00000000">
        <w:rPr>
          <w:sz w:val="18"/>
          <w:szCs w:val="18"/>
          <w:rtl w:val="0"/>
        </w:rPr>
        <w:t xml:space="preserve">Allosteric Modulation of GPCRs of Class A by Cholesterol </w:t>
      </w:r>
      <w:r w:rsidDel="00000000" w:rsidR="00000000" w:rsidRPr="00000000">
        <w:rPr>
          <w:color w:val="5d5d5d"/>
          <w:sz w:val="16"/>
          <w:szCs w:val="16"/>
          <w:rtl w:val="0"/>
        </w:rPr>
        <w:t xml:space="preserve">https://www.mdpi.com/1422-0067/22/4/1953</w:t>
      </w:r>
    </w:p>
    <w:p w:rsidR="00000000" w:rsidDel="00000000" w:rsidP="00000000" w:rsidRDefault="00000000" w:rsidRPr="00000000" w14:paraId="00000047">
      <w:pPr>
        <w:rPr/>
      </w:pPr>
      <w:r w:rsidDel="00000000" w:rsidR="00000000" w:rsidRPr="00000000">
        <w:rPr>
          <w:rtl w:val="0"/>
        </w:rPr>
        <w:tab/>
        <w:tab/>
        <w:tab/>
        <w:tab/>
        <w:tab/>
      </w:r>
    </w:p>
    <w:p w:rsidR="00000000" w:rsidDel="00000000" w:rsidP="00000000" w:rsidRDefault="00000000" w:rsidRPr="00000000" w14:paraId="00000048">
      <w:pPr>
        <w:spacing w:after="240" w:before="240" w:lineRule="auto"/>
        <w:rPr>
          <w:color w:val="5d5d5d"/>
          <w:sz w:val="16"/>
          <w:szCs w:val="16"/>
        </w:rPr>
      </w:pPr>
      <w:r w:rsidDel="00000000" w:rsidR="00000000" w:rsidRPr="00000000">
        <w:rPr>
          <w:color w:val="333333"/>
          <w:sz w:val="12"/>
          <w:szCs w:val="12"/>
          <w:rtl w:val="0"/>
        </w:rPr>
        <w:t xml:space="preserve">11 42 46 </w:t>
      </w:r>
      <w:r w:rsidDel="00000000" w:rsidR="00000000" w:rsidRPr="00000000">
        <w:rPr>
          <w:sz w:val="18"/>
          <w:szCs w:val="18"/>
          <w:rtl w:val="0"/>
        </w:rPr>
        <w:t xml:space="preserve">Binding of Cholesterol to GPCRs | Encyclopedia MDPI </w:t>
      </w:r>
      <w:r w:rsidDel="00000000" w:rsidR="00000000" w:rsidRPr="00000000">
        <w:rPr>
          <w:color w:val="5d5d5d"/>
          <w:sz w:val="16"/>
          <w:szCs w:val="16"/>
          <w:rtl w:val="0"/>
        </w:rPr>
        <w:t xml:space="preserve">https://encyclopedia.pub/entry/8232</w:t>
      </w:r>
    </w:p>
    <w:p w:rsidR="00000000" w:rsidDel="00000000" w:rsidP="00000000" w:rsidRDefault="00000000" w:rsidRPr="00000000" w14:paraId="00000049">
      <w:pPr>
        <w:rPr/>
      </w:pPr>
      <w:r w:rsidDel="00000000" w:rsidR="00000000" w:rsidRPr="00000000">
        <w:rPr>
          <w:rtl w:val="0"/>
        </w:rPr>
        <w:tab/>
        <w:tab/>
        <w:tab/>
        <w:tab/>
        <w:tab/>
      </w:r>
    </w:p>
    <w:p w:rsidR="00000000" w:rsidDel="00000000" w:rsidP="00000000" w:rsidRDefault="00000000" w:rsidRPr="00000000" w14:paraId="0000004A">
      <w:pPr>
        <w:spacing w:after="240" w:before="240" w:lineRule="auto"/>
        <w:rPr>
          <w:color w:val="5d5d5d"/>
          <w:sz w:val="16"/>
          <w:szCs w:val="16"/>
        </w:rPr>
      </w:pPr>
      <w:r w:rsidDel="00000000" w:rsidR="00000000" w:rsidRPr="00000000">
        <w:rPr>
          <w:color w:val="333333"/>
          <w:sz w:val="12"/>
          <w:szCs w:val="12"/>
          <w:rtl w:val="0"/>
        </w:rPr>
        <w:t xml:space="preserve">17 </w:t>
      </w:r>
      <w:r w:rsidDel="00000000" w:rsidR="00000000" w:rsidRPr="00000000">
        <w:rPr>
          <w:sz w:val="18"/>
          <w:szCs w:val="18"/>
          <w:rtl w:val="0"/>
        </w:rPr>
        <w:t xml:space="preserve">Association between alpha-2a-adrenergic receptor gene and ADHD ... </w:t>
      </w:r>
      <w:r w:rsidDel="00000000" w:rsidR="00000000" w:rsidRPr="00000000">
        <w:rPr>
          <w:color w:val="5d5d5d"/>
          <w:sz w:val="16"/>
          <w:szCs w:val="16"/>
          <w:rtl w:val="0"/>
        </w:rPr>
        <w:t xml:space="preserve">https://pubmed.ncbi.nlm.nih.gov/16806103/</w:t>
      </w:r>
    </w:p>
    <w:p w:rsidR="00000000" w:rsidDel="00000000" w:rsidP="00000000" w:rsidRDefault="00000000" w:rsidRPr="00000000" w14:paraId="0000004B">
      <w:pPr>
        <w:rPr/>
      </w:pPr>
      <w:r w:rsidDel="00000000" w:rsidR="00000000" w:rsidRPr="00000000">
        <w:rPr>
          <w:rtl w:val="0"/>
        </w:rPr>
        <w:tab/>
        <w:tab/>
        <w:tab/>
        <w:tab/>
        <w:tab/>
      </w:r>
    </w:p>
    <w:p w:rsidR="00000000" w:rsidDel="00000000" w:rsidP="00000000" w:rsidRDefault="00000000" w:rsidRPr="00000000" w14:paraId="0000004C">
      <w:pPr>
        <w:spacing w:after="240" w:before="240" w:lineRule="auto"/>
        <w:rPr>
          <w:color w:val="5d5d5d"/>
          <w:sz w:val="16"/>
          <w:szCs w:val="16"/>
        </w:rPr>
      </w:pPr>
      <w:r w:rsidDel="00000000" w:rsidR="00000000" w:rsidRPr="00000000">
        <w:rPr>
          <w:color w:val="333333"/>
          <w:sz w:val="12"/>
          <w:szCs w:val="12"/>
          <w:rtl w:val="0"/>
        </w:rPr>
        <w:t xml:space="preserve">19 20 21 </w:t>
      </w:r>
      <w:r w:rsidDel="00000000" w:rsidR="00000000" w:rsidRPr="00000000">
        <w:rPr>
          <w:sz w:val="18"/>
          <w:szCs w:val="18"/>
          <w:rtl w:val="0"/>
        </w:rPr>
        <w:t xml:space="preserve">Platelet alpha 2-adrenergic receptors in hypercholesterolemia: relationship between binding studies and epinephrine-induced platelet aggregation - PubMed</w:t>
        <w:br w:type="textWrapping"/>
        <w:t xml:space="preserve"> </w:t>
      </w:r>
      <w:r w:rsidDel="00000000" w:rsidR="00000000" w:rsidRPr="00000000">
        <w:rPr>
          <w:color w:val="5d5d5d"/>
          <w:sz w:val="16"/>
          <w:szCs w:val="16"/>
          <w:rtl w:val="0"/>
        </w:rPr>
        <w:t xml:space="preserve">https://pubmed.ncbi.nlm.nih.gov/9209252/</w:t>
      </w:r>
    </w:p>
    <w:p w:rsidR="00000000" w:rsidDel="00000000" w:rsidP="00000000" w:rsidRDefault="00000000" w:rsidRPr="00000000" w14:paraId="0000004D">
      <w:pPr>
        <w:rPr/>
      </w:pPr>
      <w:r w:rsidDel="00000000" w:rsidR="00000000" w:rsidRPr="00000000">
        <w:rPr>
          <w:rtl w:val="0"/>
        </w:rPr>
        <w:tab/>
        <w:tab/>
        <w:tab/>
        <w:tab/>
        <w:tab/>
      </w:r>
    </w:p>
    <w:p w:rsidR="00000000" w:rsidDel="00000000" w:rsidP="00000000" w:rsidRDefault="00000000" w:rsidRPr="00000000" w14:paraId="0000004E">
      <w:pPr>
        <w:spacing w:after="240" w:before="240" w:lineRule="auto"/>
        <w:rPr>
          <w:color w:val="5d5d5d"/>
          <w:sz w:val="16"/>
          <w:szCs w:val="16"/>
        </w:rPr>
      </w:pPr>
      <w:r w:rsidDel="00000000" w:rsidR="00000000" w:rsidRPr="00000000">
        <w:rPr>
          <w:color w:val="333333"/>
          <w:sz w:val="12"/>
          <w:szCs w:val="12"/>
          <w:rtl w:val="0"/>
        </w:rPr>
        <w:t xml:space="preserve">25 </w:t>
      </w:r>
      <w:r w:rsidDel="00000000" w:rsidR="00000000" w:rsidRPr="00000000">
        <w:rPr>
          <w:sz w:val="18"/>
          <w:szCs w:val="18"/>
          <w:rtl w:val="0"/>
        </w:rPr>
        <w:t xml:space="preserve">α2 adrenoceptors, cold-induced vasoconstriction, and Raynaud's ... </w:t>
      </w:r>
      <w:r w:rsidDel="00000000" w:rsidR="00000000" w:rsidRPr="00000000">
        <w:rPr>
          <w:color w:val="5d5d5d"/>
          <w:sz w:val="16"/>
          <w:szCs w:val="16"/>
          <w:rtl w:val="0"/>
        </w:rPr>
        <w:t xml:space="preserve">https://pmc.ncbi.nlm.nih.gov/articles/PMC12143316/</w:t>
      </w:r>
    </w:p>
    <w:p w:rsidR="00000000" w:rsidDel="00000000" w:rsidP="00000000" w:rsidRDefault="00000000" w:rsidRPr="00000000" w14:paraId="0000004F">
      <w:pPr>
        <w:rPr/>
      </w:pPr>
      <w:r w:rsidDel="00000000" w:rsidR="00000000" w:rsidRPr="00000000">
        <w:rPr>
          <w:rtl w:val="0"/>
        </w:rPr>
        <w:tab/>
        <w:tab/>
        <w:tab/>
        <w:tab/>
        <w:tab/>
      </w:r>
    </w:p>
    <w:p w:rsidR="00000000" w:rsidDel="00000000" w:rsidP="00000000" w:rsidRDefault="00000000" w:rsidRPr="00000000" w14:paraId="00000050">
      <w:pPr>
        <w:spacing w:after="240" w:before="240" w:lineRule="auto"/>
        <w:rPr>
          <w:color w:val="5d5d5d"/>
          <w:sz w:val="16"/>
          <w:szCs w:val="16"/>
        </w:rPr>
      </w:pPr>
      <w:r w:rsidDel="00000000" w:rsidR="00000000" w:rsidRPr="00000000">
        <w:rPr>
          <w:color w:val="333333"/>
          <w:sz w:val="12"/>
          <w:szCs w:val="12"/>
          <w:rtl w:val="0"/>
        </w:rPr>
        <w:t xml:space="preserve">26 </w:t>
      </w:r>
      <w:r w:rsidDel="00000000" w:rsidR="00000000" w:rsidRPr="00000000">
        <w:rPr>
          <w:sz w:val="18"/>
          <w:szCs w:val="18"/>
          <w:rtl w:val="0"/>
        </w:rPr>
        <w:t xml:space="preserve">Rho Kinase Mediates Cold-Induced Constriction of Cutaneous Arteries </w:t>
      </w:r>
      <w:r w:rsidDel="00000000" w:rsidR="00000000" w:rsidRPr="00000000">
        <w:rPr>
          <w:color w:val="5d5d5d"/>
          <w:sz w:val="16"/>
          <w:szCs w:val="16"/>
          <w:rtl w:val="0"/>
        </w:rPr>
        <w:t xml:space="preserve">https://www.ahajournals.org/doi/10.1161/01.res.0000128407.45014.58</w:t>
      </w:r>
    </w:p>
    <w:p w:rsidR="00000000" w:rsidDel="00000000" w:rsidP="00000000" w:rsidRDefault="00000000" w:rsidRPr="00000000" w14:paraId="00000051">
      <w:pPr>
        <w:rPr/>
      </w:pPr>
      <w:r w:rsidDel="00000000" w:rsidR="00000000" w:rsidRPr="00000000">
        <w:rPr>
          <w:rtl w:val="0"/>
        </w:rPr>
        <w:tab/>
        <w:tab/>
        <w:tab/>
        <w:tab/>
      </w:r>
    </w:p>
    <w:p w:rsidR="00000000" w:rsidDel="00000000" w:rsidP="00000000" w:rsidRDefault="00000000" w:rsidRPr="00000000" w14:paraId="00000052">
      <w:pPr>
        <w:rPr/>
      </w:pPr>
      <w:r w:rsidDel="00000000" w:rsidR="00000000" w:rsidRPr="00000000">
        <w:rPr>
          <w:rtl w:val="0"/>
        </w:rPr>
        <w:tab/>
        <w:tab/>
        <w:tab/>
      </w:r>
    </w:p>
    <w:p w:rsidR="00000000" w:rsidDel="00000000" w:rsidP="00000000" w:rsidRDefault="00000000" w:rsidRPr="00000000" w14:paraId="00000053">
      <w:pPr>
        <w:rPr/>
      </w:pPr>
      <w:r w:rsidDel="00000000" w:rsidR="00000000" w:rsidRPr="00000000">
        <w:rPr>
          <w:rtl w:val="0"/>
        </w:rPr>
        <w:tab/>
        <w:tab/>
        <w:tab/>
        <w:t xml:space="preserve"> </w:t>
        <w:tab/>
        <w:tab/>
        <w:tab/>
      </w:r>
    </w:p>
    <w:p w:rsidR="00000000" w:rsidDel="00000000" w:rsidP="00000000" w:rsidRDefault="00000000" w:rsidRPr="00000000" w14:paraId="00000054">
      <w:pPr>
        <w:rPr/>
      </w:pPr>
      <w:r w:rsidDel="00000000" w:rsidR="00000000" w:rsidRPr="00000000">
        <w:rPr>
          <w:rtl w:val="0"/>
        </w:rPr>
        <w:tab/>
        <w:tab/>
        <w:tab/>
        <w:tab/>
      </w:r>
    </w:p>
    <w:p w:rsidR="00000000" w:rsidDel="00000000" w:rsidP="00000000" w:rsidRDefault="00000000" w:rsidRPr="00000000" w14:paraId="00000055">
      <w:pPr>
        <w:rPr/>
      </w:pPr>
      <w:r w:rsidDel="00000000" w:rsidR="00000000" w:rsidRPr="00000000">
        <w:rPr>
          <w:rtl w:val="0"/>
        </w:rPr>
        <w:tab/>
        <w:tab/>
        <w:tab/>
        <w:tab/>
        <w:tab/>
      </w:r>
    </w:p>
    <w:p w:rsidR="00000000" w:rsidDel="00000000" w:rsidP="00000000" w:rsidRDefault="00000000" w:rsidRPr="00000000" w14:paraId="00000056">
      <w:pPr>
        <w:spacing w:after="240" w:before="240" w:lineRule="auto"/>
        <w:rPr>
          <w:color w:val="6e6e6e"/>
          <w:sz w:val="18"/>
          <w:szCs w:val="18"/>
        </w:rPr>
      </w:pPr>
      <w:r w:rsidDel="00000000" w:rsidR="00000000" w:rsidRPr="00000000">
        <w:rPr>
          <w:color w:val="6e6e6e"/>
          <w:sz w:val="18"/>
          <w:szCs w:val="18"/>
          <w:rtl w:val="0"/>
        </w:rPr>
        <w:t xml:space="preserve">7</w:t>
      </w:r>
    </w:p>
    <w:p w:rsidR="00000000" w:rsidDel="00000000" w:rsidP="00000000" w:rsidRDefault="00000000" w:rsidRPr="00000000" w14:paraId="00000057">
      <w:pPr>
        <w:rPr/>
      </w:pPr>
      <w:r w:rsidDel="00000000" w:rsidR="00000000" w:rsidRPr="00000000">
        <w:rPr>
          <w:rtl w:val="0"/>
        </w:rPr>
        <w:tab/>
        <w:tab/>
        <w:tab/>
        <w:tab/>
      </w:r>
    </w:p>
    <w:p w:rsidR="00000000" w:rsidDel="00000000" w:rsidP="00000000" w:rsidRDefault="00000000" w:rsidRPr="00000000" w14:paraId="00000058">
      <w:pPr>
        <w:rPr/>
      </w:pPr>
      <w:r w:rsidDel="00000000" w:rsidR="00000000" w:rsidRPr="00000000">
        <w:rPr>
          <w:rtl w:val="0"/>
        </w:rPr>
        <w:tab/>
        <w:tab/>
        <w:tab/>
      </w:r>
    </w:p>
    <w:p w:rsidR="00000000" w:rsidDel="00000000" w:rsidP="00000000" w:rsidRDefault="00000000" w:rsidRPr="00000000" w14:paraId="00000059">
      <w:pPr>
        <w:rPr/>
      </w:pPr>
      <w:r w:rsidDel="00000000" w:rsidR="00000000" w:rsidRPr="00000000">
        <w:rPr>
          <w:rtl w:val="0"/>
        </w:rPr>
        <w:tab/>
        <w:tab/>
      </w:r>
    </w:p>
    <w:p w:rsidR="00000000" w:rsidDel="00000000" w:rsidP="00000000" w:rsidRDefault="00000000" w:rsidRPr="00000000" w14:paraId="0000005A">
      <w:pPr>
        <w:rPr/>
      </w:pPr>
      <w:r w:rsidDel="00000000" w:rsidR="00000000" w:rsidRPr="00000000">
        <w:rPr>
          <w:rtl w:val="0"/>
        </w:rPr>
        <w:tab/>
        <w:tab/>
      </w:r>
    </w:p>
    <w:p w:rsidR="00000000" w:rsidDel="00000000" w:rsidP="00000000" w:rsidRDefault="00000000" w:rsidRPr="00000000" w14:paraId="0000005B">
      <w:pPr>
        <w:rPr/>
      </w:pPr>
      <w:r w:rsidDel="00000000" w:rsidR="00000000" w:rsidRPr="00000000">
        <w:rPr>
          <w:rtl w:val="0"/>
        </w:rPr>
        <w:tab/>
        <w:tab/>
        <w:tab/>
      </w:r>
    </w:p>
    <w:p w:rsidR="00000000" w:rsidDel="00000000" w:rsidP="00000000" w:rsidRDefault="00000000" w:rsidRPr="00000000" w14:paraId="0000005C">
      <w:pPr>
        <w:rPr/>
      </w:pPr>
      <w:r w:rsidDel="00000000" w:rsidR="00000000" w:rsidRPr="00000000">
        <w:rPr>
          <w:rtl w:val="0"/>
        </w:rPr>
        <w:tab/>
        <w:tab/>
        <w:tab/>
        <w:tab/>
      </w:r>
    </w:p>
    <w:p w:rsidR="00000000" w:rsidDel="00000000" w:rsidP="00000000" w:rsidRDefault="00000000" w:rsidRPr="00000000" w14:paraId="0000005D">
      <w:pPr>
        <w:rPr/>
      </w:pPr>
      <w:r w:rsidDel="00000000" w:rsidR="00000000" w:rsidRPr="00000000">
        <w:rPr>
          <w:rtl w:val="0"/>
        </w:rPr>
        <w:tab/>
        <w:tab/>
        <w:tab/>
        <w:tab/>
        <w:tab/>
      </w:r>
    </w:p>
    <w:p w:rsidR="00000000" w:rsidDel="00000000" w:rsidP="00000000" w:rsidRDefault="00000000" w:rsidRPr="00000000" w14:paraId="0000005E">
      <w:pPr>
        <w:spacing w:after="240" w:before="240" w:lineRule="auto"/>
        <w:rPr>
          <w:color w:val="5d5d5d"/>
          <w:sz w:val="16"/>
          <w:szCs w:val="16"/>
        </w:rPr>
      </w:pPr>
      <w:r w:rsidDel="00000000" w:rsidR="00000000" w:rsidRPr="00000000">
        <w:rPr>
          <w:color w:val="333333"/>
          <w:sz w:val="12"/>
          <w:szCs w:val="12"/>
          <w:rtl w:val="0"/>
        </w:rPr>
        <w:t xml:space="preserve">27 </w:t>
      </w:r>
      <w:r w:rsidDel="00000000" w:rsidR="00000000" w:rsidRPr="00000000">
        <w:rPr>
          <w:sz w:val="18"/>
          <w:szCs w:val="18"/>
          <w:rtl w:val="0"/>
        </w:rPr>
        <w:t xml:space="preserve">adrenoceptors and cold-induced constriction of cutaneous arteries </w:t>
      </w:r>
      <w:r w:rsidDel="00000000" w:rsidR="00000000" w:rsidRPr="00000000">
        <w:rPr>
          <w:color w:val="5d5d5d"/>
          <w:sz w:val="16"/>
          <w:szCs w:val="16"/>
          <w:rtl w:val="0"/>
        </w:rPr>
        <w:t xml:space="preserve">https://journals.physiology.org/doi/abs/10.1152/ajpheart.00306.2007</w:t>
      </w:r>
    </w:p>
    <w:p w:rsidR="00000000" w:rsidDel="00000000" w:rsidP="00000000" w:rsidRDefault="00000000" w:rsidRPr="00000000" w14:paraId="0000005F">
      <w:pPr>
        <w:rPr/>
      </w:pPr>
      <w:r w:rsidDel="00000000" w:rsidR="00000000" w:rsidRPr="00000000">
        <w:rPr>
          <w:rtl w:val="0"/>
        </w:rPr>
        <w:tab/>
        <w:tab/>
        <w:tab/>
        <w:tab/>
        <w:tab/>
      </w:r>
    </w:p>
    <w:p w:rsidR="00000000" w:rsidDel="00000000" w:rsidP="00000000" w:rsidRDefault="00000000" w:rsidRPr="00000000" w14:paraId="00000060">
      <w:pPr>
        <w:spacing w:after="240" w:before="240" w:lineRule="auto"/>
        <w:rPr>
          <w:color w:val="5d5d5d"/>
          <w:sz w:val="16"/>
          <w:szCs w:val="16"/>
        </w:rPr>
      </w:pPr>
      <w:r w:rsidDel="00000000" w:rsidR="00000000" w:rsidRPr="00000000">
        <w:rPr>
          <w:color w:val="333333"/>
          <w:sz w:val="12"/>
          <w:szCs w:val="12"/>
          <w:rtl w:val="0"/>
        </w:rPr>
        <w:t xml:space="preserve">28 </w:t>
      </w:r>
      <w:r w:rsidDel="00000000" w:rsidR="00000000" w:rsidRPr="00000000">
        <w:rPr>
          <w:sz w:val="18"/>
          <w:szCs w:val="18"/>
          <w:rtl w:val="0"/>
        </w:rPr>
        <w:t xml:space="preserve">The α2C-adrenoceptor deletion322-325 variant and cold-induced ... </w:t>
      </w:r>
      <w:r w:rsidDel="00000000" w:rsidR="00000000" w:rsidRPr="00000000">
        <w:rPr>
          <w:color w:val="5d5d5d"/>
          <w:sz w:val="16"/>
          <w:szCs w:val="16"/>
          <w:rtl w:val="0"/>
        </w:rPr>
        <w:t xml:space="preserve">https://pmc.ncbi.nlm.nih.gov/articles/PMC2739683/</w:t>
      </w:r>
    </w:p>
    <w:p w:rsidR="00000000" w:rsidDel="00000000" w:rsidP="00000000" w:rsidRDefault="00000000" w:rsidRPr="00000000" w14:paraId="00000061">
      <w:pPr>
        <w:rPr/>
      </w:pPr>
      <w:r w:rsidDel="00000000" w:rsidR="00000000" w:rsidRPr="00000000">
        <w:rPr>
          <w:rtl w:val="0"/>
        </w:rPr>
        <w:tab/>
        <w:tab/>
        <w:tab/>
        <w:tab/>
        <w:tab/>
      </w:r>
    </w:p>
    <w:p w:rsidR="00000000" w:rsidDel="00000000" w:rsidP="00000000" w:rsidRDefault="00000000" w:rsidRPr="00000000" w14:paraId="00000062">
      <w:pPr>
        <w:spacing w:after="240" w:before="240" w:lineRule="auto"/>
        <w:rPr>
          <w:color w:val="5d5d5d"/>
          <w:sz w:val="16"/>
          <w:szCs w:val="16"/>
        </w:rPr>
      </w:pPr>
      <w:r w:rsidDel="00000000" w:rsidR="00000000" w:rsidRPr="00000000">
        <w:rPr>
          <w:color w:val="333333"/>
          <w:sz w:val="12"/>
          <w:szCs w:val="12"/>
          <w:rtl w:val="0"/>
        </w:rPr>
        <w:t xml:space="preserve">32 </w:t>
      </w:r>
      <w:r w:rsidDel="00000000" w:rsidR="00000000" w:rsidRPr="00000000">
        <w:rPr>
          <w:sz w:val="18"/>
          <w:szCs w:val="18"/>
          <w:rtl w:val="0"/>
        </w:rPr>
        <w:t xml:space="preserve">Report Molecular Mechanism for Ligand Recognition and Subtype ... </w:t>
      </w:r>
      <w:r w:rsidDel="00000000" w:rsidR="00000000" w:rsidRPr="00000000">
        <w:rPr>
          <w:color w:val="5d5d5d"/>
          <w:sz w:val="16"/>
          <w:szCs w:val="16"/>
          <w:rtl w:val="0"/>
        </w:rPr>
        <w:t xml:space="preserve">https://www.sciencedirect.com/science/article/pii/S2211124719314457</w:t>
      </w:r>
    </w:p>
    <w:p w:rsidR="00000000" w:rsidDel="00000000" w:rsidP="00000000" w:rsidRDefault="00000000" w:rsidRPr="00000000" w14:paraId="00000063">
      <w:pPr>
        <w:rPr/>
      </w:pPr>
      <w:r w:rsidDel="00000000" w:rsidR="00000000" w:rsidRPr="00000000">
        <w:rPr>
          <w:rtl w:val="0"/>
        </w:rPr>
        <w:tab/>
        <w:tab/>
        <w:tab/>
        <w:tab/>
        <w:tab/>
      </w:r>
    </w:p>
    <w:p w:rsidR="00000000" w:rsidDel="00000000" w:rsidP="00000000" w:rsidRDefault="00000000" w:rsidRPr="00000000" w14:paraId="00000064">
      <w:pPr>
        <w:spacing w:after="240" w:before="240" w:lineRule="auto"/>
        <w:rPr>
          <w:color w:val="5d5d5d"/>
          <w:sz w:val="16"/>
          <w:szCs w:val="16"/>
        </w:rPr>
      </w:pPr>
      <w:r w:rsidDel="00000000" w:rsidR="00000000" w:rsidRPr="00000000">
        <w:rPr>
          <w:color w:val="333333"/>
          <w:sz w:val="12"/>
          <w:szCs w:val="12"/>
          <w:rtl w:val="0"/>
        </w:rPr>
        <w:t xml:space="preserve">33 34 45 </w:t>
      </w:r>
      <w:r w:rsidDel="00000000" w:rsidR="00000000" w:rsidRPr="00000000">
        <w:rPr>
          <w:sz w:val="18"/>
          <w:szCs w:val="18"/>
          <w:rtl w:val="0"/>
        </w:rPr>
        <w:t xml:space="preserve">Allosteric Modulation of GPCRs of Class A by Cholesterol - PubMed </w:t>
      </w:r>
      <w:r w:rsidDel="00000000" w:rsidR="00000000" w:rsidRPr="00000000">
        <w:rPr>
          <w:color w:val="5d5d5d"/>
          <w:sz w:val="16"/>
          <w:szCs w:val="16"/>
          <w:rtl w:val="0"/>
        </w:rPr>
        <w:t xml:space="preserve">https://pubmed.ncbi.nlm.nih.gov/33669406/</w:t>
      </w:r>
    </w:p>
    <w:p w:rsidR="00000000" w:rsidDel="00000000" w:rsidP="00000000" w:rsidRDefault="00000000" w:rsidRPr="00000000" w14:paraId="00000065">
      <w:pPr>
        <w:rPr/>
      </w:pPr>
      <w:r w:rsidDel="00000000" w:rsidR="00000000" w:rsidRPr="00000000">
        <w:rPr>
          <w:rtl w:val="0"/>
        </w:rPr>
        <w:tab/>
        <w:tab/>
        <w:tab/>
        <w:tab/>
        <w:tab/>
      </w:r>
    </w:p>
    <w:p w:rsidR="00000000" w:rsidDel="00000000" w:rsidP="00000000" w:rsidRDefault="00000000" w:rsidRPr="00000000" w14:paraId="00000066">
      <w:pPr>
        <w:spacing w:after="240" w:before="240" w:lineRule="auto"/>
        <w:rPr>
          <w:color w:val="5d5d5d"/>
          <w:sz w:val="16"/>
          <w:szCs w:val="16"/>
        </w:rPr>
      </w:pPr>
      <w:r w:rsidDel="00000000" w:rsidR="00000000" w:rsidRPr="00000000">
        <w:rPr>
          <w:color w:val="333333"/>
          <w:sz w:val="12"/>
          <w:szCs w:val="12"/>
          <w:rtl w:val="0"/>
        </w:rPr>
        <w:t xml:space="preserve">35 36 37 </w:t>
      </w:r>
      <w:r w:rsidDel="00000000" w:rsidR="00000000" w:rsidRPr="00000000">
        <w:rPr>
          <w:sz w:val="18"/>
          <w:szCs w:val="18"/>
          <w:rtl w:val="0"/>
        </w:rPr>
        <w:t xml:space="preserve">Estrogen increases expression of vascular alpha 2C adrenoceptor through the cAMP/Epac/JNK/ AP-1 pathway and potentiates cold-induced vasoconstriction - PubMed </w:t>
      </w:r>
      <w:r w:rsidDel="00000000" w:rsidR="00000000" w:rsidRPr="00000000">
        <w:rPr>
          <w:color w:val="5d5d5d"/>
          <w:sz w:val="16"/>
          <w:szCs w:val="16"/>
          <w:rtl w:val="0"/>
        </w:rPr>
        <w:t xml:space="preserve">https://pubmed.ncbi.nlm.nih.gov/32407896/</w:t>
      </w:r>
    </w:p>
    <w:p w:rsidR="00000000" w:rsidDel="00000000" w:rsidP="00000000" w:rsidRDefault="00000000" w:rsidRPr="00000000" w14:paraId="00000067">
      <w:pPr>
        <w:rPr/>
      </w:pPr>
      <w:r w:rsidDel="00000000" w:rsidR="00000000" w:rsidRPr="00000000">
        <w:rPr>
          <w:rtl w:val="0"/>
        </w:rPr>
        <w:tab/>
        <w:tab/>
        <w:tab/>
        <w:tab/>
        <w:tab/>
      </w:r>
    </w:p>
    <w:p w:rsidR="00000000" w:rsidDel="00000000" w:rsidP="00000000" w:rsidRDefault="00000000" w:rsidRPr="00000000" w14:paraId="00000068">
      <w:pPr>
        <w:spacing w:after="240" w:before="240" w:lineRule="auto"/>
        <w:rPr>
          <w:color w:val="5d5d5d"/>
          <w:sz w:val="16"/>
          <w:szCs w:val="16"/>
        </w:rPr>
      </w:pPr>
      <w:r w:rsidDel="00000000" w:rsidR="00000000" w:rsidRPr="00000000">
        <w:rPr>
          <w:color w:val="333333"/>
          <w:sz w:val="12"/>
          <w:szCs w:val="12"/>
          <w:rtl w:val="0"/>
        </w:rPr>
        <w:t xml:space="preserve">40 </w:t>
      </w:r>
      <w:r w:rsidDel="00000000" w:rsidR="00000000" w:rsidRPr="00000000">
        <w:rPr>
          <w:sz w:val="18"/>
          <w:szCs w:val="18"/>
          <w:rtl w:val="0"/>
        </w:rPr>
        <w:t xml:space="preserve">The palmitoylated cysteine of the cytoplasmic tail of alpha 2A ... </w:t>
      </w:r>
      <w:r w:rsidDel="00000000" w:rsidR="00000000" w:rsidRPr="00000000">
        <w:rPr>
          <w:color w:val="5d5d5d"/>
          <w:sz w:val="16"/>
          <w:szCs w:val="16"/>
          <w:rtl w:val="0"/>
        </w:rPr>
        <w:t xml:space="preserve">https://pubmed.ncbi.nlm.nih.gov/7972030/</w:t>
      </w:r>
    </w:p>
    <w:p w:rsidR="00000000" w:rsidDel="00000000" w:rsidP="00000000" w:rsidRDefault="00000000" w:rsidRPr="00000000" w14:paraId="00000069">
      <w:pPr>
        <w:rPr/>
      </w:pPr>
      <w:r w:rsidDel="00000000" w:rsidR="00000000" w:rsidRPr="00000000">
        <w:rPr>
          <w:rtl w:val="0"/>
        </w:rPr>
        <w:tab/>
        <w:tab/>
        <w:tab/>
        <w:tab/>
        <w:tab/>
      </w:r>
    </w:p>
    <w:p w:rsidR="00000000" w:rsidDel="00000000" w:rsidP="00000000" w:rsidRDefault="00000000" w:rsidRPr="00000000" w14:paraId="0000006A">
      <w:pPr>
        <w:spacing w:after="240" w:before="240" w:lineRule="auto"/>
        <w:rPr>
          <w:color w:val="5d5d5d"/>
          <w:sz w:val="16"/>
          <w:szCs w:val="16"/>
        </w:rPr>
      </w:pPr>
      <w:r w:rsidDel="00000000" w:rsidR="00000000" w:rsidRPr="00000000">
        <w:rPr>
          <w:color w:val="333333"/>
          <w:sz w:val="12"/>
          <w:szCs w:val="12"/>
          <w:rtl w:val="0"/>
        </w:rPr>
        <w:t xml:space="preserve">44 </w:t>
      </w:r>
      <w:r w:rsidDel="00000000" w:rsidR="00000000" w:rsidRPr="00000000">
        <w:rPr>
          <w:sz w:val="18"/>
          <w:szCs w:val="18"/>
          <w:rtl w:val="0"/>
        </w:rPr>
        <w:t xml:space="preserve">Mutations of the alpha 2A-adrenergic receptor that eliminate ... </w:t>
      </w:r>
      <w:r w:rsidDel="00000000" w:rsidR="00000000" w:rsidRPr="00000000">
        <w:rPr>
          <w:color w:val="5d5d5d"/>
          <w:sz w:val="16"/>
          <w:szCs w:val="16"/>
          <w:rtl w:val="0"/>
        </w:rPr>
        <w:t xml:space="preserve">https://www.sciencedirect.com/science/article/pii/S0021925818530568</w:t>
      </w:r>
    </w:p>
    <w:p w:rsidR="00000000" w:rsidDel="00000000" w:rsidP="00000000" w:rsidRDefault="00000000" w:rsidRPr="00000000" w14:paraId="0000006B">
      <w:pPr>
        <w:rPr/>
      </w:pPr>
      <w:r w:rsidDel="00000000" w:rsidR="00000000" w:rsidRPr="00000000">
        <w:rPr>
          <w:rtl w:val="0"/>
        </w:rPr>
        <w:tab/>
        <w:tab/>
        <w:tab/>
        <w:tab/>
      </w:r>
    </w:p>
    <w:p w:rsidR="00000000" w:rsidDel="00000000" w:rsidP="00000000" w:rsidRDefault="00000000" w:rsidRPr="00000000" w14:paraId="0000006C">
      <w:pPr>
        <w:rPr/>
      </w:pPr>
      <w:r w:rsidDel="00000000" w:rsidR="00000000" w:rsidRPr="00000000">
        <w:rPr>
          <w:rtl w:val="0"/>
        </w:rPr>
        <w:tab/>
        <w:tab/>
        <w:tab/>
      </w:r>
    </w:p>
    <w:p w:rsidR="00000000" w:rsidDel="00000000" w:rsidP="00000000" w:rsidRDefault="00000000" w:rsidRPr="00000000" w14:paraId="0000006D">
      <w:pPr>
        <w:rPr/>
      </w:pPr>
      <w:r w:rsidDel="00000000" w:rsidR="00000000" w:rsidRPr="00000000">
        <w:rPr>
          <w:rtl w:val="0"/>
        </w:rPr>
        <w:tab/>
        <w:tab/>
        <w:tab/>
      </w:r>
    </w:p>
    <w:p w:rsidR="00000000" w:rsidDel="00000000" w:rsidP="00000000" w:rsidRDefault="00000000" w:rsidRPr="00000000" w14:paraId="0000006E">
      <w:pPr>
        <w:rPr/>
      </w:pPr>
      <w:r w:rsidDel="00000000" w:rsidR="00000000" w:rsidRPr="00000000">
        <w:rPr>
          <w:rtl w:val="0"/>
        </w:rPr>
        <w:tab/>
        <w:tab/>
        <w:tab/>
        <w:tab/>
      </w:r>
    </w:p>
    <w:p w:rsidR="00000000" w:rsidDel="00000000" w:rsidP="00000000" w:rsidRDefault="00000000" w:rsidRPr="00000000" w14:paraId="0000006F">
      <w:pPr>
        <w:rPr/>
      </w:pPr>
      <w:r w:rsidDel="00000000" w:rsidR="00000000" w:rsidRPr="00000000">
        <w:rPr>
          <w:rtl w:val="0"/>
        </w:rPr>
        <w:tab/>
        <w:tab/>
        <w:tab/>
        <w:tab/>
        <w:tab/>
      </w:r>
    </w:p>
    <w:p w:rsidR="00000000" w:rsidDel="00000000" w:rsidP="00000000" w:rsidRDefault="00000000" w:rsidRPr="00000000" w14:paraId="00000070">
      <w:pPr>
        <w:spacing w:after="240" w:before="240" w:lineRule="auto"/>
        <w:rPr>
          <w:color w:val="6e6e6e"/>
          <w:sz w:val="18"/>
          <w:szCs w:val="18"/>
        </w:rPr>
      </w:pPr>
      <w:r w:rsidDel="00000000" w:rsidR="00000000" w:rsidRPr="00000000">
        <w:rPr>
          <w:color w:val="6e6e6e"/>
          <w:sz w:val="18"/>
          <w:szCs w:val="18"/>
          <w:rtl w:val="0"/>
        </w:rPr>
        <w:t xml:space="preserve">8 </w:t>
      </w:r>
    </w:p>
    <w:p w:rsidR="00000000" w:rsidDel="00000000" w:rsidP="00000000" w:rsidRDefault="00000000" w:rsidRPr="00000000" w14:paraId="00000071">
      <w:pPr>
        <w:rPr/>
      </w:pPr>
      <w:r w:rsidDel="00000000" w:rsidR="00000000" w:rsidRPr="00000000">
        <w:rPr>
          <w:rtl w:val="0"/>
        </w:rPr>
        <w:tab/>
        <w:tab/>
        <w:tab/>
        <w:tab/>
      </w:r>
    </w:p>
    <w:p w:rsidR="00000000" w:rsidDel="00000000" w:rsidP="00000000" w:rsidRDefault="00000000" w:rsidRPr="00000000" w14:paraId="00000072">
      <w:pPr>
        <w:rPr/>
      </w:pPr>
      <w:r w:rsidDel="00000000" w:rsidR="00000000" w:rsidRPr="00000000">
        <w:rPr>
          <w:rtl w:val="0"/>
        </w:rPr>
        <w:tab/>
        <w:tab/>
        <w:tab/>
      </w:r>
    </w:p>
    <w:p w:rsidR="00000000" w:rsidDel="00000000" w:rsidP="00000000" w:rsidRDefault="00000000" w:rsidRPr="00000000" w14:paraId="00000073">
      <w:pPr>
        <w:rPr/>
      </w:pPr>
      <w:r w:rsidDel="00000000" w:rsidR="00000000" w:rsidRPr="00000000">
        <w:rPr>
          <w:rtl w:val="0"/>
        </w:rPr>
        <w:tab/>
        <w:tab/>
      </w:r>
    </w:p>
    <w:p w:rsidR="00000000" w:rsidDel="00000000" w:rsidP="00000000" w:rsidRDefault="00000000" w:rsidRPr="00000000" w14:paraId="0000007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