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61gq2zbfdfqw" w:id="0"/>
      <w:bookmarkEnd w:id="0"/>
      <w:r w:rsidDel="00000000" w:rsidR="00000000" w:rsidRPr="00000000">
        <w:rPr>
          <w:b w:val="1"/>
          <w:color w:val="1b1c1d"/>
          <w:sz w:val="46"/>
          <w:szCs w:val="46"/>
          <w:rtl w:val="0"/>
        </w:rPr>
        <w:t xml:space="preserve">Comprehensive Reference Report: Latent Homology and Steroid-Binding Capacity within the Cytochrome b562/SLC22 Protein Cluster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amymy216ubp" w:id="1"/>
      <w:bookmarkEnd w:id="1"/>
      <w:r w:rsidDel="00000000" w:rsidR="00000000" w:rsidRPr="00000000">
        <w:rPr>
          <w:b w:val="1"/>
          <w:color w:val="1b1c1d"/>
          <w:sz w:val="34"/>
          <w:szCs w:val="34"/>
          <w:rtl w:val="0"/>
        </w:rPr>
        <w:t xml:space="preserve">I. Executive Summary: Synthesis of the Steroid-Binding Cluster and PLM Homology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details a structurally and functionally divergent cluster of proteins identified through high-dimensional Protein Language Model (PLM) embedding analysis, all annotated as steroid-binding. This cluster comprises the Soluble Cytochrome b562 (Cyt b562), a small, prokaryotic redox protein, alongside the complex eukaryotic membrane transporters, Organic Anion Transporter 2 (OAT2/SLC22A7) and Organic Anion Transporter 4 (OAT4/SLC22A11).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paradox resolved by this computational grouping is the link between a simple, four-helix bundle (Cyt b562) and multi-transmembrane exchangers (OATs). The computational homology is attributed to a shared necessity for constructing a </w:t>
      </w:r>
      <w:r w:rsidDel="00000000" w:rsidR="00000000" w:rsidRPr="00000000">
        <w:rPr>
          <w:b w:val="1"/>
          <w:color w:val="1b1c1d"/>
          <w:rtl w:val="0"/>
        </w:rPr>
        <w:t xml:space="preserve">robust, highly packed, $\alpha$-helical hydrophobic domain</w:t>
      </w:r>
      <w:r w:rsidDel="00000000" w:rsidR="00000000" w:rsidRPr="00000000">
        <w:rPr>
          <w:color w:val="1b1c1d"/>
          <w:rtl w:val="0"/>
        </w:rPr>
        <w:t xml:space="preserve">. In Cyt b562, this domain accommodates the rigid, polycyclic heme prosthetic group.</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 OAT2 and OAT4, this structural requirement is utilized to recognize the large, rigid sterol core of conjugated steroids, such as dehydroepiandrosterone sulfate (DHEAS).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While OATs actively transport these vital anionic hormone metabolites, Cyt b562's steroid annotation reflects its inherent structural capacity to serve as a customizable, high-affinity hydrophobic scaffold.</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PLM clustering, therefore, reveals a deep, latent structural syntax shared across evolution, conserved specifically for managing interactions with large, non-polar molecules via $\alpha$-helical domains.</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73fqhjl715y" w:id="2"/>
      <w:bookmarkEnd w:id="2"/>
      <w:r w:rsidDel="00000000" w:rsidR="00000000" w:rsidRPr="00000000">
        <w:rPr>
          <w:b w:val="1"/>
          <w:color w:val="1b1c1d"/>
          <w:sz w:val="34"/>
          <w:szCs w:val="34"/>
          <w:rtl w:val="0"/>
        </w:rPr>
        <w:t xml:space="preserve">II. General Biochemistry and Structural Characteristics of Cluster Members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zddsheq6lj0" w:id="3"/>
      <w:bookmarkEnd w:id="3"/>
      <w:r w:rsidDel="00000000" w:rsidR="00000000" w:rsidRPr="00000000">
        <w:rPr>
          <w:b w:val="1"/>
          <w:color w:val="1b1c1d"/>
          <w:sz w:val="26"/>
          <w:szCs w:val="26"/>
          <w:rtl w:val="0"/>
        </w:rPr>
        <w:t xml:space="preserve">A. Soluble Cytochrome b562 ($\textit{Escherichia coli}$)</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1xqwnsj6yc2" w:id="4"/>
      <w:bookmarkEnd w:id="4"/>
      <w:r w:rsidDel="00000000" w:rsidR="00000000" w:rsidRPr="00000000">
        <w:rPr>
          <w:b w:val="1"/>
          <w:color w:val="1b1c1d"/>
          <w:sz w:val="22"/>
          <w:szCs w:val="22"/>
          <w:rtl w:val="0"/>
        </w:rPr>
        <w:t xml:space="preserve">1. Molecular Identity, Localization, and Redox Function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Cytochrome b562 (Cyt b562) is a small, anionic, monomeric heme protein originating predominantly from </w:t>
      </w:r>
      <w:r w:rsidDel="00000000" w:rsidR="00000000" w:rsidRPr="00000000">
        <w:rPr>
          <w:i w:val="1"/>
          <w:color w:val="1b1c1d"/>
          <w:rtl w:val="0"/>
        </w:rPr>
        <w:t xml:space="preserve">Escherichia coli</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mature protein is characterized by a molecular weight of approximately 12.7 kDa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and is composed of about 106 amino acid residues.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Cyt b562 is soluble and resides in the </w:t>
      </w:r>
      <w:r w:rsidDel="00000000" w:rsidR="00000000" w:rsidRPr="00000000">
        <w:rPr>
          <w:b w:val="1"/>
          <w:color w:val="1b1c1d"/>
          <w:rtl w:val="0"/>
        </w:rPr>
        <w:t xml:space="preserve">periplasm</w:t>
      </w:r>
      <w:r w:rsidDel="00000000" w:rsidR="00000000" w:rsidRPr="00000000">
        <w:rPr>
          <w:color w:val="1b1c1d"/>
          <w:rtl w:val="0"/>
        </w:rPr>
        <w:t xml:space="preserve"> of </w:t>
      </w:r>
      <w:r w:rsidDel="00000000" w:rsidR="00000000" w:rsidRPr="00000000">
        <w:rPr>
          <w:i w:val="1"/>
          <w:color w:val="1b1c1d"/>
          <w:rtl w:val="0"/>
        </w:rPr>
        <w:t xml:space="preserve">E. coli</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Its expression requires an N-terminal leader sequence that facilitates transport across the inner membrane and is subsequently cleaved.</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Functionally, it is an electron transfer protein.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It non-covalently binds a b-type heme prosthetic group.</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Spectroscopic analysis reveals a Met/His axial ligation pattern for the heme iron, resulting in a redox potential similar to that of Cytochrome c, though Cyt b562 exhibits an opposite surface charge.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While the exact physiological function in </w:t>
      </w:r>
      <w:r w:rsidDel="00000000" w:rsidR="00000000" w:rsidRPr="00000000">
        <w:rPr>
          <w:i w:val="1"/>
          <w:color w:val="1b1c1d"/>
          <w:rtl w:val="0"/>
        </w:rPr>
        <w:t xml:space="preserve">E. coli</w:t>
      </w:r>
      <w:r w:rsidDel="00000000" w:rsidR="00000000" w:rsidRPr="00000000">
        <w:rPr>
          <w:color w:val="1b1c1d"/>
          <w:rtl w:val="0"/>
        </w:rPr>
        <w:t xml:space="preserve"> remains unspecified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studies in related thermoacidophilic archaea, such as </w:t>
      </w:r>
      <w:r w:rsidDel="00000000" w:rsidR="00000000" w:rsidRPr="00000000">
        <w:rPr>
          <w:i w:val="1"/>
          <w:color w:val="1b1c1d"/>
          <w:rtl w:val="0"/>
        </w:rPr>
        <w:t xml:space="preserve">Sulfolobus</w:t>
      </w:r>
      <w:r w:rsidDel="00000000" w:rsidR="00000000" w:rsidRPr="00000000">
        <w:rPr>
          <w:color w:val="1b1c1d"/>
          <w:rtl w:val="0"/>
        </w:rPr>
        <w:t xml:space="preserve"> sp., indicate that the b-type cytochrome functions as an intermediate electron transmitter within the respiratory terminal oxidase supercomplex.</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490f15f497u" w:id="5"/>
      <w:bookmarkEnd w:id="5"/>
      <w:r w:rsidDel="00000000" w:rsidR="00000000" w:rsidRPr="00000000">
        <w:rPr>
          <w:b w:val="1"/>
          <w:color w:val="1b1c1d"/>
          <w:sz w:val="22"/>
          <w:szCs w:val="22"/>
          <w:rtl w:val="0"/>
        </w:rPr>
        <w:t xml:space="preserve">2. Structural Characteristics and Folding Dynamics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three-dimensional structure of Cyt b562 folds into a classic, whole $\alpha$-helical </w:t>
      </w:r>
      <w:r w:rsidDel="00000000" w:rsidR="00000000" w:rsidRPr="00000000">
        <w:rPr>
          <w:b w:val="1"/>
          <w:color w:val="1b1c1d"/>
          <w:rtl w:val="0"/>
        </w:rPr>
        <w:t xml:space="preserve">four-helix bundle</w:t>
      </w:r>
      <w:r w:rsidDel="00000000" w:rsidR="00000000" w:rsidRPr="00000000">
        <w:rPr>
          <w:color w:val="1b1c1d"/>
          <w:rtl w:val="0"/>
        </w:rPr>
        <w:t xml:space="preserve"> motif.</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structure is remarkably thermally stable, a stability largely attributed to its </w:t>
      </w:r>
      <w:r w:rsidDel="00000000" w:rsidR="00000000" w:rsidRPr="00000000">
        <w:rPr>
          <w:b w:val="1"/>
          <w:color w:val="1b1c1d"/>
          <w:rtl w:val="0"/>
        </w:rPr>
        <w:t xml:space="preserve">well-packed hydrophobic core</w:t>
      </w:r>
      <w:r w:rsidDel="00000000" w:rsidR="00000000" w:rsidRPr="00000000">
        <w:rPr>
          <w:color w:val="1b1c1d"/>
          <w:rtl w:val="0"/>
        </w:rPr>
        <w:t xml:space="preserve">, which acts as a rigid framework supporting the four helices.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folding dynamics of the apoprotein (apocytochrome b562), which lacks the heme, are particularly notable. The apoprotein exhibits physical features commonly associated with a "structured molten globule".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Stability analysis indicates that the protein possesses three regions of subglobal cooperative stability. The central two helices of the bundle form the most stable core, whereas the N- and C-terminal helices demonstrate independent and lower stability. This suggests a folding pathway where the terminal helices can fold and unfold somewhat independently of the central core, placing significant restraints on the operative folding mechanism for this protein.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two loops connecting the $\alpha$-helices converge at the end of the helix bundle opposite the heme-binding site, providing an adaptable surface that can be engineered for ligand recognition.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ipn12nptmhv" w:id="6"/>
      <w:bookmarkEnd w:id="6"/>
      <w:r w:rsidDel="00000000" w:rsidR="00000000" w:rsidRPr="00000000">
        <w:rPr>
          <w:b w:val="1"/>
          <w:color w:val="1b1c1d"/>
          <w:sz w:val="26"/>
          <w:szCs w:val="26"/>
          <w:rtl w:val="0"/>
        </w:rPr>
        <w:t xml:space="preserve">B. Solute Carrier Family 22 (SLC22) Transporters: OAT2 and OAT4</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i3ep595sf6j" w:id="7"/>
      <w:bookmarkEnd w:id="7"/>
      <w:r w:rsidDel="00000000" w:rsidR="00000000" w:rsidRPr="00000000">
        <w:rPr>
          <w:b w:val="1"/>
          <w:color w:val="1b1c1d"/>
          <w:sz w:val="22"/>
          <w:szCs w:val="22"/>
          <w:rtl w:val="0"/>
        </w:rPr>
        <w:t xml:space="preserve">1. Family Classification and Transport Mechanism</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OAT2 (Solute Carrier Family 22 Member 7, SLC22A7) and OAT4 (Solute Carrier Family 22 Member 11, SLC22A11) are members of the SLC22 family, classified as polyspecific organic anion carriers.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These proteins are structurally complex membrane proteins, typically predicted to contain 12 transmembrane domains (TMDs).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transport mechanism for OAT2 and OAT4 involves functioning as </w:t>
      </w:r>
      <w:r w:rsidDel="00000000" w:rsidR="00000000" w:rsidRPr="00000000">
        <w:rPr>
          <w:b w:val="1"/>
          <w:color w:val="1b1c1d"/>
          <w:rtl w:val="0"/>
        </w:rPr>
        <w:t xml:space="preserve">organic anion/dicarboxylate exchangers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They mediate the influx of an external organic anion substrate (such as a sulfated steroid conjugate) in exchange for the efflux of an intracellular dicarboxylate, typically $\alpha$-ketoglutarate (2OG).</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process is independent of sodium ions ($\text{Na}^+$).</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n0e41rz1sii" w:id="8"/>
      <w:bookmarkEnd w:id="8"/>
      <w:r w:rsidDel="00000000" w:rsidR="00000000" w:rsidRPr="00000000">
        <w:rPr>
          <w:b w:val="1"/>
          <w:color w:val="1b1c1d"/>
          <w:sz w:val="22"/>
          <w:szCs w:val="22"/>
          <w:rtl w:val="0"/>
        </w:rPr>
        <w:t xml:space="preserve">2. OAT4 (SLC22A11) Localization and Expression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OAT4 is highly expressed in specific excretory and endocrine barrier tissues, notably the </w:t>
      </w:r>
      <w:r w:rsidDel="00000000" w:rsidR="00000000" w:rsidRPr="00000000">
        <w:rPr>
          <w:b w:val="1"/>
          <w:color w:val="1b1c1d"/>
          <w:rtl w:val="0"/>
        </w:rPr>
        <w:t xml:space="preserve">placenta</w:t>
      </w:r>
      <w:r w:rsidDel="00000000" w:rsidR="00000000" w:rsidRPr="00000000">
        <w:rPr>
          <w:color w:val="1b1c1d"/>
          <w:rtl w:val="0"/>
        </w:rPr>
        <w:t xml:space="preserve"> and the </w:t>
      </w:r>
      <w:r w:rsidDel="00000000" w:rsidR="00000000" w:rsidRPr="00000000">
        <w:rPr>
          <w:b w:val="1"/>
          <w:color w:val="1b1c1d"/>
          <w:rtl w:val="0"/>
        </w:rPr>
        <w:t xml:space="preserve">kidney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In the kidney, OAT4 exhibits a critical subcellular localization, situated on the </w:t>
      </w:r>
      <w:r w:rsidDel="00000000" w:rsidR="00000000" w:rsidRPr="00000000">
        <w:rPr>
          <w:b w:val="1"/>
          <w:color w:val="1b1c1d"/>
          <w:rtl w:val="0"/>
        </w:rPr>
        <w:t xml:space="preserve">apical membrane</w:t>
      </w:r>
      <w:r w:rsidDel="00000000" w:rsidR="00000000" w:rsidRPr="00000000">
        <w:rPr>
          <w:color w:val="1b1c1d"/>
          <w:rtl w:val="0"/>
        </w:rPr>
        <w:t xml:space="preserve"> of the proximal tubules in humans.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apical position suggests its primary role in the final steps of renal processing, likely mediating the reabsorption of organic anions from the pro-urine back into the tubular cell.</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Its expression in the placenta underscores its importance in regulating fetal-maternal transport across this barrier.</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fiam61n2khs" w:id="9"/>
      <w:bookmarkEnd w:id="9"/>
      <w:r w:rsidDel="00000000" w:rsidR="00000000" w:rsidRPr="00000000">
        <w:rPr>
          <w:b w:val="1"/>
          <w:color w:val="1b1c1d"/>
          <w:sz w:val="22"/>
          <w:szCs w:val="22"/>
          <w:rtl w:val="0"/>
        </w:rPr>
        <w:t xml:space="preserve">3. OAT2 (SLC22A7) Tissue and Species-Specific Localization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OAT2 (also known as the Novel Liver Transporter, NLT) is highly expressed in the </w:t>
      </w:r>
      <w:r w:rsidDel="00000000" w:rsidR="00000000" w:rsidRPr="00000000">
        <w:rPr>
          <w:b w:val="1"/>
          <w:color w:val="1b1c1d"/>
          <w:rtl w:val="0"/>
        </w:rPr>
        <w:t xml:space="preserve">liver</w:t>
      </w:r>
      <w:r w:rsidDel="00000000" w:rsidR="00000000" w:rsidRPr="00000000">
        <w:rPr>
          <w:color w:val="1b1c1d"/>
          <w:rtl w:val="0"/>
        </w:rPr>
        <w:t xml:space="preserve"> and, to a lesser extent, the kidney.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Expression in the mouse liver is recognized as sex-dependent, with female mice showing significantly higher levels than males.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significant complexity arises in the subcellular localization of OAT2 within the kidney, which demonstrates species dependence. In humans (hOAT2), the transporter is located predominantly at the </w:t>
      </w:r>
      <w:r w:rsidDel="00000000" w:rsidR="00000000" w:rsidRPr="00000000">
        <w:rPr>
          <w:b w:val="1"/>
          <w:color w:val="1b1c1d"/>
          <w:rtl w:val="0"/>
        </w:rPr>
        <w:t xml:space="preserve">basolateral membrane</w:t>
      </w:r>
      <w:r w:rsidDel="00000000" w:rsidR="00000000" w:rsidRPr="00000000">
        <w:rPr>
          <w:color w:val="1b1c1d"/>
          <w:rtl w:val="0"/>
        </w:rPr>
        <w:t xml:space="preserve"> of proximal tubule cells.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localization suggests a primary role in the uptake of substrates from the systemic blood circulation into the renal or hepatic cells, contributing to net clearance. Conversely, in rodents (rOat2 and mOat2), the transporter has been observed at the </w:t>
      </w:r>
      <w:r w:rsidDel="00000000" w:rsidR="00000000" w:rsidRPr="00000000">
        <w:rPr>
          <w:b w:val="1"/>
          <w:color w:val="1b1c1d"/>
          <w:rtl w:val="0"/>
        </w:rPr>
        <w:t xml:space="preserve">apical membrane</w:t>
      </w:r>
      <w:r w:rsidDel="00000000" w:rsidR="00000000" w:rsidRPr="00000000">
        <w:rPr>
          <w:color w:val="1b1c1d"/>
          <w:rtl w:val="0"/>
        </w:rPr>
        <w:t xml:space="preserve"> of the late proximal tubules (S3 segments).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species-specific difference in polarity drastically alters the inferred physiological function, ranging from uptake/clearance in humans to potential reabsorption/conservation in rodents. OAT2 is a polyspecific carrier, transporting endogenous molecules like dicarboxylic acids, uric acid, creatinine, and lipid hormones, in addition to numerous xenobiotics.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vwuwst3fe4u" w:id="10"/>
      <w:bookmarkEnd w:id="10"/>
      <w:r w:rsidDel="00000000" w:rsidR="00000000" w:rsidRPr="00000000">
        <w:rPr>
          <w:b w:val="1"/>
          <w:color w:val="1b1c1d"/>
          <w:sz w:val="34"/>
          <w:szCs w:val="34"/>
          <w:rtl w:val="0"/>
        </w:rPr>
        <w:t xml:space="preserve">III. Detailed Analysis of Steroid and Sterol-Like Interactions</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nnpiiqqzzjx" w:id="11"/>
      <w:bookmarkEnd w:id="11"/>
      <w:r w:rsidDel="00000000" w:rsidR="00000000" w:rsidRPr="00000000">
        <w:rPr>
          <w:b w:val="1"/>
          <w:color w:val="1b1c1d"/>
          <w:sz w:val="26"/>
          <w:szCs w:val="26"/>
          <w:rtl w:val="0"/>
        </w:rPr>
        <w:t xml:space="preserve">A. Steroid and Conjugated Hormone Transport by OAT2 and OAT4</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qb24sza0c9" w:id="12"/>
      <w:bookmarkEnd w:id="12"/>
      <w:r w:rsidDel="00000000" w:rsidR="00000000" w:rsidRPr="00000000">
        <w:rPr>
          <w:b w:val="1"/>
          <w:color w:val="1b1c1d"/>
          <w:sz w:val="22"/>
          <w:szCs w:val="22"/>
          <w:rtl w:val="0"/>
        </w:rPr>
        <w:t xml:space="preserve">1. Specific Steroid Substrates and Molecular Recognition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OAT2 and OAT4, along with OAT3, are established physiological transporters mediating the cellular uptake of specific </w:t>
      </w:r>
      <w:r w:rsidDel="00000000" w:rsidR="00000000" w:rsidRPr="00000000">
        <w:rPr>
          <w:b w:val="1"/>
          <w:color w:val="1b1c1d"/>
          <w:rtl w:val="0"/>
        </w:rPr>
        <w:t xml:space="preserve">steroid conjugates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Unlike the OATP family (SLC21A), the OAT family is highly effective at transporting these anionic forms of steroids. Key physiological substrates include:</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Dehydroepiandrosterone sulfate (DHEAS).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Estrone 3-sulfate (E1S or E3S).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Pregnenolone sulfate.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transport of these compounds necessitates a complex, bimodal ligand recognition process within the internal cavity of the OATs. First, the binding site must accommodate the rigid, bulky, </w:t>
      </w:r>
      <w:r w:rsidDel="00000000" w:rsidR="00000000" w:rsidRPr="00000000">
        <w:rPr>
          <w:b w:val="1"/>
          <w:color w:val="1b1c1d"/>
          <w:rtl w:val="0"/>
        </w:rPr>
        <w:t xml:space="preserve">hydrophobic polycyclic sterol ring structure</w:t>
      </w:r>
      <w:r w:rsidDel="00000000" w:rsidR="00000000" w:rsidRPr="00000000">
        <w:rPr>
          <w:color w:val="1b1c1d"/>
          <w:rtl w:val="0"/>
        </w:rPr>
        <w:t xml:space="preserve">—this requirement for a robust hydrophobic pocket is the structural feature shared with Cyt b562 and detected by the PLM embedding analysis. Second, the transporter requires specific positive or polar residues within the translocation pathway to recognize and bind the </w:t>
      </w:r>
      <w:r w:rsidDel="00000000" w:rsidR="00000000" w:rsidRPr="00000000">
        <w:rPr>
          <w:b w:val="1"/>
          <w:color w:val="1b1c1d"/>
          <w:rtl w:val="0"/>
        </w:rPr>
        <w:t xml:space="preserve">anionic sulfate moiety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anionic tag is essential because the transport mechanism relies on the substrate being negatively charged to participate in the organic anion/dicarboxylate exchange cycle.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jf7hcq1xuv9" w:id="13"/>
      <w:bookmarkEnd w:id="13"/>
      <w:r w:rsidDel="00000000" w:rsidR="00000000" w:rsidRPr="00000000">
        <w:rPr>
          <w:b w:val="1"/>
          <w:color w:val="1b1c1d"/>
          <w:sz w:val="22"/>
          <w:szCs w:val="22"/>
          <w:rtl w:val="0"/>
        </w:rPr>
        <w:t xml:space="preserve">2. Physiological Roles and Disease Relevance of OAT-Steroid Interaction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OAT-mediated steroid transport is critical for maintaining systemic hormone homeostasis and recirculation. In the </w:t>
      </w:r>
      <w:r w:rsidDel="00000000" w:rsidR="00000000" w:rsidRPr="00000000">
        <w:rPr>
          <w:b w:val="1"/>
          <w:color w:val="1b1c1d"/>
          <w:rtl w:val="0"/>
        </w:rPr>
        <w:t xml:space="preserve">placenta</w:t>
      </w:r>
      <w:r w:rsidDel="00000000" w:rsidR="00000000" w:rsidRPr="00000000">
        <w:rPr>
          <w:color w:val="1b1c1d"/>
          <w:rtl w:val="0"/>
        </w:rPr>
        <w:t xml:space="preserve">, OAT4 is crucial for regulating the movement and concentration of steroid sulfates between the fetal and maternal circulations.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peripheral target tissues, such as the mammary gland, the expression levels of OATs determine the delivery of inactive steroid sulfates (like DHEAS and E3S) into the cell. Once inside, these sulfates can be metabolized back into active hormones (e.g., estrogen) by local sulfatases. Therefore, the functional activity of OATs is a determinant of local steroid exposure, a process highly relevant to the development and progression of hormone-dependent pathologies, such as breast cancer.</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polyspecific nature of OATs also results in clinical relevance for drug pharmacology and toxicology. OATs transport various xenobiotics and drugs known for their nephrotoxic potential.</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Competition between endogenous steroid sulfates (like DHEAS) and therapeutic drugs (such as methotrexate or specific antibiotics) for the OAT binding site can lead to two main outcomes: impaired clearance of the endogenous hormone, or, more commonly, increased intracellular accumulation of the nephrotoxic drug within renal proximal tubule cells.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identification of these transporters as critical determinants of pharmacokinetics and toxicology emphasizes the need to understand their promiscuous binding cavity.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notable species difference in OAT2 localization—hOAT2 being basolateral (uptake from blood) and rOat2/mOat2 being apical (potential reabsorption from urine)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—implies that the contribution of OAT2 to overall renal steroid sulfate clearance is functionally different between humans and commonly used rodent models. This necessitates caution when extrapolating preclinical pharmacokinetic data regarding conjugated hormone metabolism and clearance across species.</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55gok9d0yce" w:id="14"/>
      <w:bookmarkEnd w:id="14"/>
      <w:r w:rsidDel="00000000" w:rsidR="00000000" w:rsidRPr="00000000">
        <w:rPr>
          <w:b w:val="1"/>
          <w:color w:val="1b1c1d"/>
          <w:sz w:val="26"/>
          <w:szCs w:val="26"/>
          <w:rtl w:val="0"/>
        </w:rPr>
        <w:t xml:space="preserve">B. Sterol-Like Ligand Binding in Cytochrome b562</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Cytochrome b562's classification as a steroid-binding protein stems from the structural demands imposed by its native ligand, heme. Heme is a large, planar, polycyclic molecule.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Though chemically distinct from a sterol, its rigid, non-polar structure requires a highly stable, high-affinity hydrophobic pocket for insertion and stabilization, precisely the type of environment provided by the Cyt b562 four-helix bundle.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intrinsic stability and structural architecture allow it to function effectively as a customizable protein scaffold. Researchers have demonstrated this capacity by randomizing residues in the loops that link the $\alpha$-helices.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Through this process, stable mutants can be selected that bind artificial haptens, such as N-methyl-p-nitrobenzylamine derivative 1 conjugate.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demonstrates that the stable hydrophobic structure of Cyt b562 possesses the necessary structural potential—a potential detected by the PLM—to accommodate large, polycyclic, non-polar molecules analogous to the sterol core, even in the absence of a natural physiological steroid-binding role in </w:t>
      </w:r>
      <w:r w:rsidDel="00000000" w:rsidR="00000000" w:rsidRPr="00000000">
        <w:rPr>
          <w:i w:val="1"/>
          <w:color w:val="1b1c1d"/>
          <w:rtl w:val="0"/>
        </w:rPr>
        <w:t xml:space="preserve">E. coli</w:t>
      </w:r>
      <w:r w:rsidDel="00000000" w:rsidR="00000000" w:rsidRPr="00000000">
        <w:rPr>
          <w:color w:val="1b1c1d"/>
          <w:rtl w:val="0"/>
        </w:rPr>
        <w:t xml:space="preserve">.</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fconx39kjqw" w:id="15"/>
      <w:bookmarkEnd w:id="15"/>
      <w:r w:rsidDel="00000000" w:rsidR="00000000" w:rsidRPr="00000000">
        <w:rPr>
          <w:b w:val="1"/>
          <w:color w:val="1b1c1d"/>
          <w:sz w:val="34"/>
          <w:szCs w:val="34"/>
          <w:rtl w:val="0"/>
        </w:rPr>
        <w:t xml:space="preserve">IV. Cross-Cutting Synthesis: The Basis for PLM Clustering</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clustering of the soluble bacterial Cytochrome b562 with the complex eukaryotic membrane transporters OAT2 and OAT4 represents a significant finding regarding conserved protein architecture, transcending typical sequence homology metrics.</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159rlv1jjyr" w:id="16"/>
      <w:bookmarkEnd w:id="16"/>
      <w:r w:rsidDel="00000000" w:rsidR="00000000" w:rsidRPr="00000000">
        <w:rPr>
          <w:b w:val="1"/>
          <w:color w:val="1b1c1d"/>
          <w:sz w:val="26"/>
          <w:szCs w:val="26"/>
          <w:rtl w:val="0"/>
        </w:rPr>
        <w:t xml:space="preserve">A. Alignment of Structural Motifs and Physicochemical Demands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shared structural feature driving the PLM clustering is the highly conserved sequence context necessary for the efficient construction of a tightly packed $\alpha$-helical bundle surrounding a massive, hydrophobic ligand binding cavity.</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analysis detected that the amino acid sequence syntax responsible for forming the stable, non-polar core of Cyt b562 shares specific patterns—such as the required periodicity of hydrophobic residues—with the sequences comprising the internal transmembrane helices of the OAT transporters.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PLM embedding vectors captured this shared requirement for stabilizing a rigid, non-polar moiety, whether that moiety is heme (in Cyt b562) or the steroid backbone (in OATs). Therefore, the sequence conservation is not global across the entire protein, but specific to the localized structural instructions needed to construct and maintain this highly packed hydrophobic environment.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Adding nuance to the structural alignment, Cyt b562 has also been annotated with sequences related to the Frizzled (Fz) domain (PF01392) and the Frizzled/Smoothened family membrane region (PF01534).</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Although Cyt b562 is soluble, the Fz domain is traditionally associated with cysteine-rich, membrane-linked receptor signaling. The detection of these sequence stretches suggests that the PLM may have identified an ancient, shared sequence signature between the simple bacterial core and motifs found in eukaryotic membrane-associated ligand recognition systems, strengthening the link between the two protein classes in the high-dimensional vector space.</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cpnas1ihyyh" w:id="17"/>
      <w:bookmarkEnd w:id="17"/>
      <w:r w:rsidDel="00000000" w:rsidR="00000000" w:rsidRPr="00000000">
        <w:rPr>
          <w:b w:val="1"/>
          <w:color w:val="1b1c1d"/>
          <w:sz w:val="26"/>
          <w:szCs w:val="26"/>
          <w:rtl w:val="0"/>
        </w:rPr>
        <w:t xml:space="preserve">B. Computational Rationale and Interpretive Commentary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PLM embedding process generates contextual vectors for amino acids that incorporate information regarding their role in the overall protein structure and chemistry.</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high cosine similarity observed between Cyt b562 and the OATs indicates that the amino acid sequence information required to preserve the integrity and functionality of the hydrophobic, ligand-accommodating helical domains is conserved across both protein classes, despite their vast evolutionary separation.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"steroid-binding" annotation thus serves as a functional descriptor of this underlying conserved structural property: the ability to recognize and stabilize the rigid, polycyclic carbon skeleton common to sterols and porphyrins. This shared structural capacity, rather than a shared physiological function, dictates the cluster membership detected by the protein language model.</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as2brj8ke6a" w:id="18"/>
      <w:bookmarkEnd w:id="18"/>
      <w:r w:rsidDel="00000000" w:rsidR="00000000" w:rsidRPr="00000000">
        <w:rPr>
          <w:b w:val="1"/>
          <w:color w:val="1b1c1d"/>
          <w:sz w:val="34"/>
          <w:szCs w:val="34"/>
          <w:rtl w:val="0"/>
        </w:rPr>
        <w:t xml:space="preserve">V. Key Data Synthesis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tables summarize the structural and functional data supporting the classification and divergence within this cluster of proteins.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Structural and Functional Characteristics of the Cytochrome b562/SLC22 Cluster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4.8"/>
        <w:gridCol w:w="1612.0000000000002"/>
        <w:gridCol w:w="1227.2"/>
        <w:gridCol w:w="1788.8"/>
        <w:gridCol w:w="1736.8000000000002"/>
        <w:gridCol w:w="1830.4"/>
        <w:tblGridChange w:id="0">
          <w:tblGrid>
            <w:gridCol w:w="1164.8"/>
            <w:gridCol w:w="1612.0000000000002"/>
            <w:gridCol w:w="1227.2"/>
            <w:gridCol w:w="1788.8"/>
            <w:gridCol w:w="1736.8000000000002"/>
            <w:gridCol w:w="1830.4"/>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Protein (Gene)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Organism/Family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color w:val="1b1c1d"/>
                <w:rtl w:val="0"/>
              </w:rPr>
              <w:t xml:space="preserve">Primary Localization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Key Structure/Topology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PLM Clustering Basis</w:t>
            </w:r>
            <w:r w:rsidDel="00000000" w:rsidR="00000000" w:rsidRPr="00000000">
              <w:rPr>
                <w:rtl w:val="0"/>
              </w:rPr>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Cytochrome b562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i w:val="1"/>
                <w:color w:val="1b1c1d"/>
                <w:rtl w:val="0"/>
              </w:rPr>
              <w:t xml:space="preserve">E. coli</w:t>
            </w:r>
            <w:r w:rsidDel="00000000" w:rsidR="00000000" w:rsidRPr="00000000">
              <w:rPr>
                <w:color w:val="1b1c1d"/>
                <w:rtl w:val="0"/>
              </w:rPr>
              <w:t xml:space="preserve"> / Heme Protein (PF07361)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Periplasm (Soluble) </w:t>
            </w:r>
            <w:r w:rsidDel="00000000" w:rsidR="00000000" w:rsidRPr="00000000">
              <w:rPr>
                <w:color w:val="444746"/>
                <w:sz w:val="40"/>
                <w:szCs w:val="40"/>
                <w:highlight w:val="white"/>
                <w:vertAlign w:val="superscript"/>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Four-Helix Bundle, Hydrophobic Core </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Electron Transfer/Redox </w:t>
            </w:r>
            <w:r w:rsidDel="00000000" w:rsidR="00000000" w:rsidRPr="00000000">
              <w:rPr>
                <w:color w:val="444746"/>
                <w:sz w:val="40"/>
                <w:szCs w:val="40"/>
                <w:highlight w:val="white"/>
                <w:vertAlign w:val="superscript"/>
                <w:rtl w:val="0"/>
              </w:rPr>
              <w:t xml:space="preserve">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Helical Packing/Hydrophobic Ligand Site</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OAT4 (SLC22A11)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Human / SLC22 Transporter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Apical Membrane (Kidney); Placenta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12 Transmembrane Domains (TMDs)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Organic Anion/Dicarboxylate Exchanger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Hydrophobic Sterol Recognition Site</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OAT2 (hOAT2) (SLC22A7)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Human / SLC22 Transporter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Basolateral Membrane (Kidney, Liver) </w:t>
            </w:r>
            <w:r w:rsidDel="00000000" w:rsidR="00000000" w:rsidRPr="00000000">
              <w:rPr>
                <w:color w:val="444746"/>
                <w:sz w:val="40"/>
                <w:szCs w:val="40"/>
                <w:highlight w:val="white"/>
                <w:vertAlign w:val="superscript"/>
                <w:rtl w:val="0"/>
              </w:rPr>
              <w:t xml:space="preserve">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12 TMDs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Organic Anion/Dicarboxylate Exchanger </w:t>
            </w:r>
            <w:r w:rsidDel="00000000" w:rsidR="00000000" w:rsidRPr="00000000">
              <w:rPr>
                <w:color w:val="444746"/>
                <w:sz w:val="40"/>
                <w:szCs w:val="40"/>
                <w:highlight w:val="white"/>
                <w:vertAlign w:val="superscript"/>
                <w:rtl w:val="0"/>
              </w:rPr>
              <w:t xml:space="preserve">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Hydrophobic Sterol Recognition Site</w:t>
            </w:r>
          </w:p>
        </w:tc>
      </w:tr>
    </w:tbl>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Steroid and Conjugated Hormone Interactions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938864628821"/>
        <w:gridCol w:w="1852.92576419214"/>
        <w:gridCol w:w="1634.9344978165939"/>
        <w:gridCol w:w="2615.89519650655"/>
        <w:gridCol w:w="1730.3056768558952"/>
        <w:tblGridChange w:id="0">
          <w:tblGrid>
            <w:gridCol w:w="1525.938864628821"/>
            <w:gridCol w:w="1852.92576419214"/>
            <w:gridCol w:w="1634.9344978165939"/>
            <w:gridCol w:w="2615.89519650655"/>
            <w:gridCol w:w="1730.3056768558952"/>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Key Steroid/Sterol Substrates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Necessary Ligand Feature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Primary Physiological Role (Steroids)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Pathological Relevance</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Cytochrome b562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Heme; Engineered Haptens/Sterol-likes </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Large, Hydrophobic, Planar Polycyclic Core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Heme coordination; Scaffold adaptability </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Potential drug/scaffold development (Non-physiological)</w:t>
            </w:r>
          </w:p>
        </w:tc>
      </w:tr>
      <w:tr>
        <w:trPr>
          <w:cantSplit w:val="0"/>
          <w:trHeight w:val="22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OAT4 (SLC22A11)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DHEAS, Estrone 3-Sulfate (E1S), Pregnenolone Sulfate </w:t>
            </w:r>
            <w:r w:rsidDel="00000000" w:rsidR="00000000" w:rsidRPr="00000000">
              <w:rPr>
                <w:color w:val="444746"/>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Sulfated Anion (High Polarity Tag)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Fetal/Maternal Steroid Recirculation; Renal Reabsorption/Secretion </w:t>
            </w:r>
            <w:r w:rsidDel="00000000" w:rsidR="00000000" w:rsidRPr="00000000">
              <w:rPr>
                <w:color w:val="444746"/>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Determinant of local estrogen exposure (e.g., mammary tissue) </w:t>
            </w:r>
            <w:r w:rsidDel="00000000" w:rsidR="00000000" w:rsidRPr="00000000">
              <w:rPr>
                <w:color w:val="444746"/>
                <w:sz w:val="40"/>
                <w:szCs w:val="40"/>
                <w:highlight w:val="white"/>
                <w:vertAlign w:val="superscript"/>
                <w:rtl w:val="0"/>
              </w:rPr>
              <w:t xml:space="preserve">2</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OAT2 (SLC22A7)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DHEAS, Prostaglandin E2, cAMP </w:t>
            </w:r>
            <w:r w:rsidDel="00000000" w:rsidR="00000000" w:rsidRPr="00000000">
              <w:rPr>
                <w:color w:val="444746"/>
                <w:sz w:val="40"/>
                <w:szCs w:val="40"/>
                <w:highlight w:val="white"/>
                <w:vertAlign w:val="superscript"/>
                <w:rtl w:val="0"/>
              </w:rPr>
              <w:t xml:space="preserve">12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Sulfated Anion / Organic Anion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Hepatic/Renal Clearance of Endobiotic Anions </w:t>
            </w:r>
            <w:r w:rsidDel="00000000" w:rsidR="00000000" w:rsidRPr="00000000">
              <w:rPr>
                <w:color w:val="444746"/>
                <w:sz w:val="40"/>
                <w:szCs w:val="40"/>
                <w:highlight w:val="white"/>
                <w:vertAlign w:val="superscript"/>
                <w:rtl w:val="0"/>
              </w:rPr>
              <w:t xml:space="preserve">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Contributes to Nephrotoxicity risk (Drug competition) </w:t>
            </w:r>
            <w:r w:rsidDel="00000000" w:rsidR="00000000" w:rsidRPr="00000000">
              <w:rPr>
                <w:color w:val="444746"/>
                <w:sz w:val="40"/>
                <w:szCs w:val="40"/>
                <w:highlight w:val="white"/>
                <w:vertAlign w:val="superscript"/>
                <w:rtl w:val="0"/>
              </w:rPr>
              <w:t xml:space="preserve">8</w:t>
            </w:r>
          </w:p>
        </w:tc>
      </w:tr>
    </w:tbl>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fu6u47oj52a" w:id="19"/>
      <w:bookmarkEnd w:id="19"/>
      <w:r w:rsidDel="00000000" w:rsidR="00000000" w:rsidRPr="00000000">
        <w:rPr>
          <w:b w:val="1"/>
          <w:color w:val="1b1c1d"/>
          <w:sz w:val="34"/>
          <w:szCs w:val="34"/>
          <w:rtl w:val="0"/>
        </w:rPr>
        <w:t xml:space="preserve">VI. Conclusion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the Cytochrome b562/SLC22 protein cluster demonstrates that computational methods utilizing protein language models can reveal deep structural homologies that supersede traditional sequence or functional classifications. The key feature unifying these proteins is the conserved $\alpha$-helical architecture optimized for stabilizing large, rigid, hydrophobic ligands.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OAT transporters (OAT2 and OAT4) are pharmacologically critical regulators of steroid hormone activity, controlling the systemic and local availability of sulfated steroids such as DHEAS and E1S through their activity as organic anion/dicarboxylate exchangers. Their function is complicated by species-specific differences in localization (notably OAT2) and competition from xenobiotics, which can induce nephrotoxicity.</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Conversely, Cytochrome b562’s inclusion in this cluster is predicated on its innate structural stability, derived from its four-helix bundle and well-packed hydrophobic core, enabling the high-affinity binding of the heme prosthetic group.</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Its role as a research scaffold for engineering novel binding proteins confirms that the structural elements required for sequestering sterol-like molecules are conserved and robust. Future research should focus on detailed structural comparisons of the ligand-binding domains in the OATs and Cyt b562 to identify the precise amino acid determinants of this shared hydrophobic capacity captured by the PLM.</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