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eajxlqlk0k6w" w:id="0"/>
      <w:bookmarkEnd w:id="0"/>
      <w:r w:rsidDel="00000000" w:rsidR="00000000" w:rsidRPr="00000000">
        <w:rPr>
          <w:b w:val="1"/>
          <w:color w:val="1b1c1d"/>
          <w:sz w:val="46"/>
          <w:szCs w:val="46"/>
          <w:rtl w:val="0"/>
        </w:rPr>
        <w:t xml:space="preserve">Comprehensive Reference Report: The Hepatic Solute Carrier SLC10A1 (NTCP)</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trrwwrjv8vm" w:id="1"/>
      <w:bookmarkEnd w:id="1"/>
      <w:r w:rsidDel="00000000" w:rsidR="00000000" w:rsidRPr="00000000">
        <w:rPr>
          <w:b w:val="1"/>
          <w:color w:val="1b1c1d"/>
          <w:sz w:val="34"/>
          <w:szCs w:val="34"/>
          <w:rtl w:val="0"/>
        </w:rPr>
        <w:t xml:space="preserve">I. Molecular Definition, Classification, and General Biology of $SLC10A1$</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bmp4jicyxa4" w:id="2"/>
      <w:bookmarkEnd w:id="2"/>
      <w:r w:rsidDel="00000000" w:rsidR="00000000" w:rsidRPr="00000000">
        <w:rPr>
          <w:b w:val="1"/>
          <w:color w:val="1b1c1d"/>
          <w:sz w:val="26"/>
          <w:szCs w:val="26"/>
          <w:rtl w:val="0"/>
        </w:rPr>
        <w:t xml:space="preserve">I.A. Nomenclature, Aliases, and Gene Structure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solute carrier family 10 member 1 ($SLC10A1$) gene encodes a protein most commonly known as the Sodium/Taurocholate Cotransporting Polypeptide (NTCP).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protein is also identified through several aliases, including the $\text{Na}^+$/bile acid cotransporter, $\text{Na}^+$/taurocholate transport protein, and the hepatic sodium/bile acid cotransporter.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Historically, it was recognized as the cell growth-inhibiting gene 29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human $SLC10A1$ gene contains five exons and produces a protein composed of 349 amino acid residues, yielding a calculated molecular mass of approximately 38 kDa.</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bgh87hexf4y" w:id="3"/>
      <w:bookmarkEnd w:id="3"/>
      <w:r w:rsidDel="00000000" w:rsidR="00000000" w:rsidRPr="00000000">
        <w:rPr>
          <w:b w:val="1"/>
          <w:color w:val="1b1c1d"/>
          <w:sz w:val="26"/>
          <w:szCs w:val="26"/>
          <w:rtl w:val="0"/>
        </w:rPr>
        <w:t xml:space="preserve">I.B. Classification within the Solute Carrier Family 10 (SLC10)</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NTCP is a cornerstone member of the SLC10 family, which belongs to the larger bile/arsenite/riboflavin transporter (BART) superfamily and is also recognized as the Bile Acid:Sodium Symporter (BASS) family due to the primary function of its founding members.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human SLC10 family encompasses seven members ($SLC10A1$ to $SLC10A7$), yet the transport function is explicitly confirmed for only three of these: $SLC10A1$ (NTCP), $SLC10A2$ (Apical Sodium-dependent Bile Acid Transporter, ASBT), and $SLC10A6$ (Sodium-dependent Organic Anion Transporter, SOAT).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three functional members share the common mechanism of $\text{Na}^+$-dependent uptake of organic substrates, distinguishing them from the remaining four members, whose substrates and specific biological roles remain largely uncharacterized.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rgy2dzam1ew" w:id="4"/>
      <w:bookmarkEnd w:id="4"/>
      <w:r w:rsidDel="00000000" w:rsidR="00000000" w:rsidRPr="00000000">
        <w:rPr>
          <w:b w:val="1"/>
          <w:color w:val="1b1c1d"/>
          <w:sz w:val="26"/>
          <w:szCs w:val="26"/>
          <w:rtl w:val="0"/>
        </w:rPr>
        <w:t xml:space="preserve">I.C. Cellular and Subcellular Localization and Physiologic Role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NTCP exhibits highly restricted tissue expression, being predominantly localized on the basolateral (sinusoidal) membrane of hepatocytes.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localization is critically important, as it positions NTCP to mediate the hepatic uptake of conjugated bile salts from the portal blood plasma into the liver cell cytoplasm.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process represents a vital initial step in the enterohepatic circulation of bile salts, a mechanism crucial for lipid digestion and for maintaining systemic cholesterol homeostasis, given that bile acids are the primary catabolic product derived from cholesterol.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d100gz2mn2s" w:id="5"/>
      <w:bookmarkEnd w:id="5"/>
      <w:r w:rsidDel="00000000" w:rsidR="00000000" w:rsidRPr="00000000">
        <w:rPr>
          <w:b w:val="1"/>
          <w:color w:val="1b1c1d"/>
          <w:sz w:val="26"/>
          <w:szCs w:val="26"/>
          <w:rtl w:val="0"/>
        </w:rPr>
        <w:t xml:space="preserve">I.D. Structural Architecture: Cryo-EM Insights and Membrane Topology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NTCP is characterized as a multi-pass integral membrane protein, predicted to traverse the plasma membrane with 10 transmembrane (TM) helices.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Recent high-resolution structural studies using cryo-electron microscopy (cryo-EM), revealing structures at resolutions ranging from $3.3 \text{ Å}$ to $3.7 \text{ Å}$, have provided a foundational understanding of its molecular architecture in various states, including when bound to specific substrates like GCDC and inhibitory nanobodies.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comparisons within the SLC10 family have highlighted a unique feature of NTCP: it lacks the structural equivalent of the first transmembrane helix found in some related proteins.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structural distinction results in the protein's </w:t>
      </w:r>
      <w:r w:rsidDel="00000000" w:rsidR="00000000" w:rsidRPr="00000000">
        <w:rPr>
          <w:b w:val="1"/>
          <w:color w:val="1b1c1d"/>
          <w:rtl w:val="0"/>
        </w:rPr>
        <w:t xml:space="preserve">N-terminus being exposed on the extracellular face</w:t>
      </w:r>
      <w:r w:rsidDel="00000000" w:rsidR="00000000" w:rsidRPr="00000000">
        <w:rPr>
          <w:color w:val="1b1c1d"/>
          <w:rtl w:val="0"/>
        </w:rPr>
        <w:t xml:space="preserve"> of the hepatocyte.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extracellular exposure of the N-terminus is not merely an architectural anomaly but a determining factor in the protein's vulnerability to viral infection. The unique orientation creates an exposed epitope that can be recognized by external ligands, a feature that the Hepatitis B Virus exploits by binding its myristoylated preS1 domain to this readily accessible N-terminal region.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j1olk9q9vp8" w:id="6"/>
      <w:bookmarkEnd w:id="6"/>
      <w:r w:rsidDel="00000000" w:rsidR="00000000" w:rsidRPr="00000000">
        <w:rPr>
          <w:b w:val="1"/>
          <w:color w:val="1b1c1d"/>
          <w:sz w:val="34"/>
          <w:szCs w:val="34"/>
          <w:rtl w:val="0"/>
        </w:rPr>
        <w:t xml:space="preserve">II. Steroid and Sterol-Like Molecule Interactions: Substrate Specificity and Mechanisms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kx9iknd6nuo" w:id="7"/>
      <w:bookmarkEnd w:id="7"/>
      <w:r w:rsidDel="00000000" w:rsidR="00000000" w:rsidRPr="00000000">
        <w:rPr>
          <w:b w:val="1"/>
          <w:color w:val="1b1c1d"/>
          <w:sz w:val="26"/>
          <w:szCs w:val="26"/>
          <w:rtl w:val="0"/>
        </w:rPr>
        <w:t xml:space="preserve">II.A. Primary Sterol Transport: Conjugated Bile Acids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NTCP functions primarily as a high-efficiency transporter for conjugated bile acids, such as taurocholate (TC) and glycochenodeoxycholate (GCDC).</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transport mechanism is one of strict </w:t>
      </w:r>
      <w:r w:rsidDel="00000000" w:rsidR="00000000" w:rsidRPr="00000000">
        <w:rPr>
          <w:b w:val="1"/>
          <w:color w:val="1b1c1d"/>
          <w:rtl w:val="0"/>
        </w:rPr>
        <w:t xml:space="preserve">$\text{Na}^+$-dependent secondary active cotransport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obligatory coupling to the sodium electrochemical gradient means that the cellular uptake of these substrates is completely abolished when $\text{Na}^+$ is replaced by other ions (e.g., choline buffer).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consistent with its biological role as a hepatic importer, NTCP mediates unidirectional inward transport and does not appear to facilitate the cellular efflux of its substrates.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cf2tz6s39hp" w:id="8"/>
      <w:bookmarkEnd w:id="8"/>
      <w:r w:rsidDel="00000000" w:rsidR="00000000" w:rsidRPr="00000000">
        <w:rPr>
          <w:b w:val="1"/>
          <w:color w:val="1b1c1d"/>
          <w:sz w:val="26"/>
          <w:szCs w:val="26"/>
          <w:rtl w:val="0"/>
        </w:rPr>
        <w:t xml:space="preserve">II.B. Transport of Non-Bile Acid Steroid Sulfates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substrate profile of NTCP extends beyond primary bile acids, encompassing a vital role in managing the circulation of sulfated steroids and their precursors.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include several key circulating molecules: dehydroepiandrosterone sulfate ($\text{DHEAS}$), $16\alpha$-hydroxy-DHEAS ($16\alpha$-$\text{OH-DHEAS}$), estrone sulfate ($\text{E1S}$), $\beta$-estradiol-3-sulfate, and androstenediol-3-sulfate.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Similar to bile acid transport, the uptake of these sulfated steroids is contingent upon the presence of a $\text{Na}^+$ gradient.</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transport of $\text{DHEAS}$, which is the most abundant circulating steroid in humans, is particularly notable.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Hepatic uptake of $\text{DHEAS}$ by NTCP facilitates its clearance and subsequent metabolism. This function elevates NTCP beyond a simple detoxification role; it establishes the transporter as a critical endocrine regulator. $\text{DHEAS}$ has been shown to enhance the initial, rate-limiting step of steroid hormone biosynthesis (the conversion of cholesterol by $\text{CYP11A1}$).</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Therefore, by controlling the rate of $\text{DHEAS}$ clearance from the blood, NTCP indirectly modulates the systemic availability of precursors necessary for androgen and estrogen synthesis, intimately linking bile acid metabolism to global hormonal regulation.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common chemical requirement observed across all known physiological substrates (conjugated bile acids and sulfated steroids) is a rigid sterol core coupled with a highly hydrophilic, negatively charged moiety (the sulfate or taurine/glycine conjugate).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suggests that the substrate binding pocket has evolved to require this charged group for efficient recognition and subsequent conformational shifting necessary for $\text{Na}^+$-dependent symport, establishing a stringent chemical prerequisite for high-affinity NTCP transport.</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drlfrnore0c" w:id="9"/>
      <w:bookmarkEnd w:id="9"/>
      <w:r w:rsidDel="00000000" w:rsidR="00000000" w:rsidRPr="00000000">
        <w:rPr>
          <w:b w:val="1"/>
          <w:color w:val="1b1c1d"/>
          <w:sz w:val="26"/>
          <w:szCs w:val="26"/>
          <w:rtl w:val="0"/>
        </w:rPr>
        <w:t xml:space="preserve">II.C. Allosteric Modulation and Pharmacological Interactions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NTCP's affinity for diverse sulfated sterols also renders it a significant factor in drug disposition. It is capable of transporting certain statin drugs, iodothyronine sulfates, and pharmacological agents like the thyroid hormone analog eprotirome.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Cellular uptake of eprotirome, for example, is markedly stimulated by $SLC10A1$ and is entirely blocked under $\text{Na}^+$-deplete conditions, affirming its status as a $\text{Na}^+$-dependent substrate.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substrate uptake, NTCP function is regulated by specific sterol-like molecules through allosteric mechanisms. The secondary bile acid taurolithocholic acid ($\text{TLC}$) acts as a potent, long-lasting inhibitor of NTCP activity.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$\text{TLC}$ achieves this through rapid accumulation inside the hepatocyte, mediating a </w:t>
      </w:r>
      <w:r w:rsidDel="00000000" w:rsidR="00000000" w:rsidRPr="00000000">
        <w:rPr>
          <w:b w:val="1"/>
          <w:color w:val="1b1c1d"/>
          <w:rtl w:val="0"/>
        </w:rPr>
        <w:t xml:space="preserve">trans-inhibition</w:t>
      </w:r>
      <w:r w:rsidDel="00000000" w:rsidR="00000000" w:rsidRPr="00000000">
        <w:rPr>
          <w:color w:val="1b1c1d"/>
          <w:rtl w:val="0"/>
        </w:rPr>
        <w:t xml:space="preserve"> by binding to an unidentified $\text{TLC}$-binding site on an </w:t>
      </w:r>
      <w:r w:rsidDel="00000000" w:rsidR="00000000" w:rsidRPr="00000000">
        <w:rPr>
          <w:b w:val="1"/>
          <w:color w:val="1b1c1d"/>
          <w:rtl w:val="0"/>
        </w:rPr>
        <w:t xml:space="preserve">intracellularly accessible domain</w:t>
      </w:r>
      <w:r w:rsidDel="00000000" w:rsidR="00000000" w:rsidRPr="00000000">
        <w:rPr>
          <w:color w:val="1b1c1d"/>
          <w:rtl w:val="0"/>
        </w:rPr>
        <w:t xml:space="preserve"> of NTCP.</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inhibition is protective during cholestasis, shielding the hepatocyte from toxic bile acid overload. Moreover, $\text{TLC}$ preincubation inhibits both the transport function and the receptor function (HBV/HDV myr-preS1 peptide binding).</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finding highlights a therapeutic opportunity: small, lipophilic drug candidates could be engineered to mimic $\text{TLC}$, cross the membrane easily, and lock NTCP in an inactive state from the intracellular side, offering a sustained inhibitory effect against both transport and viral entry.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diverse spectrum of molecules known to interact with NTCP.</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NTCP Substrates and Functional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8796449410092"/>
        <w:gridCol w:w="2003.4868437963212"/>
        <w:gridCol w:w="1345.478909804392"/>
        <w:gridCol w:w="1247.2687704026116"/>
        <w:gridCol w:w="2239.1911783605938"/>
        <w:gridCol w:w="1031.2064637186947"/>
        <w:tblGridChange w:id="0">
          <w:tblGrid>
            <w:gridCol w:w="1158.8796449410092"/>
            <w:gridCol w:w="2003.4868437963212"/>
            <w:gridCol w:w="1345.478909804392"/>
            <w:gridCol w:w="1247.2687704026116"/>
            <w:gridCol w:w="2239.1911783605938"/>
            <w:gridCol w:w="1031.206463718694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Substrate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Specific Example(s)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Key Chemical 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Transport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Relevant Citation(s)</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Primary Bile Acids (Conjugated)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Taurocholate (TC), Glycochenodeoxycholate (GCDC)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Sterol nucleus + Taurine/Glycine conjugate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Strictly $\text{Na}^+$-dependent uptake (Symport)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Primary hepatic clearance, cholesterol homeostasis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Steroid Sulfates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DHEAS, Estrone Sulfate (E1S), $16\alpha$-$\text{OH-DHEAS}$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Steroid nucleus + Sulfate group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Strictly $\text{Na}^+$-dependent uptake (Symport)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Hormone precursor circulation, endocrine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444746"/>
                <w:sz w:val="40"/>
                <w:szCs w:val="40"/>
                <w:highlight w:val="white"/>
                <w:vertAlign w:val="superscript"/>
                <w:rtl w:val="0"/>
              </w:rPr>
              <w:t xml:space="preserve">5</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Therapeutic Analogs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Eprotirome, certain statins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Non-bile acid, sulfated/anionic drug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Strictly $\text{Na}^+$-dependent uptake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Drug disposition, targeted liver delivery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444746"/>
                <w:sz w:val="40"/>
                <w:szCs w:val="40"/>
                <w:highlight w:val="white"/>
                <w:vertAlign w:val="superscript"/>
                <w:rtl w:val="0"/>
              </w:rPr>
              <w:t xml:space="preserve">5</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Regulatory 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Taurolithocholic acid (TLC)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Secondary bile acid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Allosteric trans-inhibitor (intracellular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Protective mechanism against bile acid toxicity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444746"/>
                <w:sz w:val="40"/>
                <w:szCs w:val="40"/>
                <w:highlight w:val="white"/>
                <w:vertAlign w:val="superscript"/>
                <w:rtl w:val="0"/>
              </w:rPr>
              <w:t xml:space="preserve">14</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Pathological Ligand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N-myristoylated preS1 ($\text{myr-preS1}$)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Lipopeptide (N-terminus of viral 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$\text{Na}^+$-independent binding/Entry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Viral pathogenesis (HBV/HDV infection)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444746"/>
                <w:sz w:val="40"/>
                <w:szCs w:val="40"/>
                <w:highlight w:val="white"/>
                <w:vertAlign w:val="superscript"/>
                <w:rtl w:val="0"/>
              </w:rPr>
              <w:t xml:space="preserve">10</w:t>
            </w:r>
            <w:r w:rsidDel="00000000" w:rsidR="00000000" w:rsidRPr="00000000">
              <w:rPr>
                <w:rtl w:val="0"/>
              </w:rPr>
            </w:r>
          </w:p>
        </w:tc>
      </w:tr>
    </w:tbl>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4iccf8zfy0e" w:id="10"/>
      <w:bookmarkEnd w:id="10"/>
      <w:r w:rsidDel="00000000" w:rsidR="00000000" w:rsidRPr="00000000">
        <w:rPr>
          <w:b w:val="1"/>
          <w:color w:val="1b1c1d"/>
          <w:sz w:val="34"/>
          <w:szCs w:val="34"/>
          <w:rtl w:val="0"/>
        </w:rPr>
        <w:t xml:space="preserve">III. Cross-Cutting Overview: Regulation and Family Context</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pcxa2phlnu0" w:id="11"/>
      <w:bookmarkEnd w:id="11"/>
      <w:r w:rsidDel="00000000" w:rsidR="00000000" w:rsidRPr="00000000">
        <w:rPr>
          <w:b w:val="1"/>
          <w:color w:val="1b1c1d"/>
          <w:sz w:val="26"/>
          <w:szCs w:val="26"/>
          <w:rtl w:val="0"/>
        </w:rPr>
        <w:t xml:space="preserve">III.A. Transcriptional Control: The Bile Acid-FXR/SHP Negative Feedback Loop</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$SLC10A1$ is dynamically regulated to maintain bile acid homeostasis, primarily via a negative feedback loop mediated by the Farnesoid X Receptor ($\text{FXR}$).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$\text{FXR}$ (NR1H4) is a nuclear receptor that, upon activation by bile acids (such as chenodeoxycholic acid, $\text{CDCA}$), forms a heterodimer with the Retinoid X Receptor ($\text{RXR}$).</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Activated $\text{FXR-RXR}$ induces the expression of the Small Heterodimer Partner ($\text{SHP}$, NR0B2).</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$\text{SHP}$ is unique among nuclear receptors because it lacks a DNA-binding domain.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Instead, it functions as a transcriptional corepressor by binding to and inhibiting other transcription factors.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$\text{SHP}$ represses $SLC10A1$/NTCP expression by interfering with the $\text{AF-2}$ coactivator domain of positive regulators, such as the $\text{RXR}/\text{RAR}$ heterodimer or Liver Receptor Homolog-1 ($\text{LRH-1}$).</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$\text{FXR/SHP}$ pathway orchestrates a comprehensive metabolic triage in response to high bile acid concentrations. $\text{FXR}$ activation initiates a coordinated shutdown of bile acid synthesis by repressing Cholesterol $7\alpha$-hydroxylase ($\text{CYP7A1}$) via $\text{SHP}$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simultaneously halting further inflow by repressing NTCP expression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while often upregulating efflux mechanisms like BSEP.</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layered transcriptional network demonstrates a highly evolved regulatory strategy where $\text{SHP}$ acts as a central brake to prevent hepatotoxicity. While $\text{SHP}$-mediated repression is dominant, $\text{FXR}$-independent mechanisms, such as signaling by fibroblast growth factor 19 ($\text{FGF19}$), also contribute to NTCP downregulation during cholestasis.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w62qzc246av" w:id="12"/>
      <w:bookmarkEnd w:id="12"/>
      <w:r w:rsidDel="00000000" w:rsidR="00000000" w:rsidRPr="00000000">
        <w:rPr>
          <w:b w:val="1"/>
          <w:color w:val="1b1c1d"/>
          <w:sz w:val="26"/>
          <w:szCs w:val="26"/>
          <w:rtl w:val="0"/>
        </w:rPr>
        <w:t xml:space="preserve">III.B. Post-Translational Regulation and Pharmacogenetic Variability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NTCP function is subject to dynamic post-translational regulation, including phosphorylation, plasma membrane translocation/retrieval (endocytosis), and degradation via the ubiquitin-proteasome system.</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These processes are governed by various signaling pathways, including those involving $\text{cAMP}$, calcium, $\text{PI3K}$, and Protein Kinase C ($\text{PKC}$).</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 analysis of human livers has shown significant inter-individual variability in NTCP expression, with protein levels varying by over 10-fold and mRNA levels varying by up to 44-fold.</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Surprisingly, this variability is not primarily explained by common genetic variants within the $SLC10A1$ gene itself. Instead, the expression levels are highly influenced by non-genetic factors such as smoking, alcohol consumption, and specific $\text{CpG}$ site DNA methylation in the $SLC10A1$ region.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fact that NTCP expression is predominantly regulated by environmental and epigenetic factors, rather than genetic sequence, poses substantial challenges for predicting pharmacokinetics and toxicity profiles of NTCP-targeting drugs. Standard genetic screens alone would be insufficient for personalized therapeutic approaches, necessitating prognostic indicators based on patient lifestyle or hepatic methylation status to mitigate risks like drug-induced cholestasis.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016twu1wp4u" w:id="13"/>
      <w:bookmarkEnd w:id="13"/>
      <w:r w:rsidDel="00000000" w:rsidR="00000000" w:rsidRPr="00000000">
        <w:rPr>
          <w:b w:val="1"/>
          <w:color w:val="1b1c1d"/>
          <w:sz w:val="26"/>
          <w:szCs w:val="26"/>
          <w:rtl w:val="0"/>
        </w:rPr>
        <w:t xml:space="preserve">III.C. Comparison with Functional SLC10 Family Members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NTCP ($SLC10A1$) is a hepatic, basolateral transporter with broad specificity for bile acids, steroid sulfates, and certain drugs, its sister transporters show different localization and substrate ranges.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$SLC10A2$ (ASBT) is located on the apical membrane of ileal and renal cells, serving as the essential reabsorber of bile salts in the distal gut, thereby closing the enterohepatic circuit.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ASBT is typically regarded as having a narrower substrate specificity compared to NTCP and has not been definitively demonstrated to transport non-bile salt substrates.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$SLC10A6$ (SOAT) is primarily known for transporting sulfated steroids and sulfated taurolithocholate.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Mechanistic differences are also noted in drug permeability, with ASBT appearing more susceptible to drug inhibition than NTCP.</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sqs9wsae8zc" w:id="14"/>
      <w:bookmarkEnd w:id="14"/>
      <w:r w:rsidDel="00000000" w:rsidR="00000000" w:rsidRPr="00000000">
        <w:rPr>
          <w:b w:val="1"/>
          <w:color w:val="1b1c1d"/>
          <w:sz w:val="34"/>
          <w:szCs w:val="34"/>
          <w:rtl w:val="0"/>
        </w:rPr>
        <w:t xml:space="preserve">IV. Pathological Function: NTCP as the Viral Entry Receptor for HBV and HDV</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wrx6g8kjltt" w:id="15"/>
      <w:bookmarkEnd w:id="15"/>
      <w:r w:rsidDel="00000000" w:rsidR="00000000" w:rsidRPr="00000000">
        <w:rPr>
          <w:b w:val="1"/>
          <w:color w:val="1b1c1d"/>
          <w:sz w:val="26"/>
          <w:szCs w:val="26"/>
          <w:rtl w:val="0"/>
        </w:rPr>
        <w:t xml:space="preserve">IV.A. NTCP as the Receptor for Hepatitis Viruses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most critical pathological function of NTCP is its role as the high-affinity functional cellular entry receptor for the Hepatitis B Virus ($\text{HBV}$) and Hepatitis D Virus ($\text{HDV}$).</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receptor function underlies the pathogenesis of chronic liver diseases globally.</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Viral Ligand:</w:t>
      </w:r>
      <w:r w:rsidDel="00000000" w:rsidR="00000000" w:rsidRPr="00000000">
        <w:rPr>
          <w:color w:val="1b1c1d"/>
          <w:rtl w:val="0"/>
        </w:rPr>
        <w:t xml:space="preserve"> The specific viral structure that engages NTCP is the N-myristoylated preS1 ($\text{myr-preS1}$) domain, located on the large envelope glycoprotein of the virus.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integrity of this lipid modification is paramount for viral infectivity; unmodified preS1 exhibits nearly 1000-fold lower inhibitory activity, confirming that the myristoyl moiety is essential for the high-affinity interaction required for entry.</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cwc9789p5k3" w:id="16"/>
      <w:bookmarkEnd w:id="16"/>
      <w:r w:rsidDel="00000000" w:rsidR="00000000" w:rsidRPr="00000000">
        <w:rPr>
          <w:b w:val="1"/>
          <w:color w:val="1b1c1d"/>
          <w:sz w:val="26"/>
          <w:szCs w:val="26"/>
          <w:rtl w:val="0"/>
        </w:rPr>
        <w:t xml:space="preserve">IV.B. Molecular Distinction Between Transport and Viral Binding Mechanisms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and mechanistic analyses have clarified that although NTCP performs both transport and receptor functions, the molecular mechanisms employed are distinct.</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wr74xvj7ron" w:id="17"/>
      <w:bookmarkEnd w:id="17"/>
      <w:r w:rsidDel="00000000" w:rsidR="00000000" w:rsidRPr="00000000">
        <w:rPr>
          <w:b w:val="1"/>
          <w:color w:val="1b1c1d"/>
          <w:sz w:val="22"/>
          <w:szCs w:val="22"/>
          <w:rtl w:val="0"/>
        </w:rPr>
        <w:t xml:space="preserve">1. Spatial Separation and Functional Independence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$\text{myr-preS1}$ peptide binds to specific regions on the extracellular surface of NTCP, which are spatially and functionally separated from the orthosteric bile acid transport tunnel.</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primary binding site for $\text{myr-preS1}$ involves genetic variations in amino acids </w:t>
      </w:r>
      <w:r w:rsidDel="00000000" w:rsidR="00000000" w:rsidRPr="00000000">
        <w:rPr>
          <w:b w:val="1"/>
          <w:color w:val="1b1c1d"/>
          <w:rtl w:val="0"/>
        </w:rPr>
        <w:t xml:space="preserve">R84-N87</w:t>
      </w:r>
      <w:r w:rsidDel="00000000" w:rsidR="00000000" w:rsidRPr="00000000">
        <w:rPr>
          <w:color w:val="1b1c1d"/>
          <w:rtl w:val="0"/>
        </w:rPr>
        <w:t xml:space="preserve"> (specifically $\text{Lys86}$ and $\text{Asn87}$) and </w:t>
      </w:r>
      <w:r w:rsidDel="00000000" w:rsidR="00000000" w:rsidRPr="00000000">
        <w:rPr>
          <w:b w:val="1"/>
          <w:color w:val="1b1c1d"/>
          <w:rtl w:val="0"/>
        </w:rPr>
        <w:t xml:space="preserve">K157-L165</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R84-N87 loop, which interacts with the $\text{preS1}$ domain, is located approximately $30 \text{ Å}$ away from the core substrate-binding site.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Crucially, studies have demonstrated that these extracellular residues critical for viral infection are </w:t>
      </w:r>
      <w:r w:rsidDel="00000000" w:rsidR="00000000" w:rsidRPr="00000000">
        <w:rPr>
          <w:b w:val="1"/>
          <w:color w:val="1b1c1d"/>
          <w:rtl w:val="0"/>
        </w:rPr>
        <w:t xml:space="preserve">less relevant to the native bile acid uptake function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structural and functional separation is highly significant, suggesting a viable pathway to design targeted antivirals that inhibit viral entry without causing major disruption to essential bile acid homeostasis.</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ijpvdqlys15" w:id="18"/>
      <w:bookmarkEnd w:id="18"/>
      <w:r w:rsidDel="00000000" w:rsidR="00000000" w:rsidRPr="00000000">
        <w:rPr>
          <w:b w:val="1"/>
          <w:color w:val="1b1c1d"/>
          <w:sz w:val="22"/>
          <w:szCs w:val="22"/>
          <w:rtl w:val="0"/>
        </w:rPr>
        <w:t xml:space="preserve">2. Mechanistic Divergence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binding and subsequent entry mechanism utilized by the virus fundamentally differs from the normal transport cycle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$\text{Na}^+$ Independence:</w:t>
      </w:r>
      <w:r w:rsidDel="00000000" w:rsidR="00000000" w:rsidRPr="00000000">
        <w:rPr>
          <w:color w:val="1b1c1d"/>
          <w:rtl w:val="0"/>
        </w:rPr>
        <w:t xml:space="preserve"> Unlike bile acid uptake, the binding of $\text{HBV}$ preS1 is largely </w:t>
      </w:r>
      <w:r w:rsidDel="00000000" w:rsidR="00000000" w:rsidRPr="00000000">
        <w:rPr>
          <w:b w:val="1"/>
          <w:color w:val="1b1c1d"/>
          <w:rtl w:val="0"/>
        </w:rPr>
        <w:t xml:space="preserve">independent of the $\text{Na}^+$ electrochemical gradient</w:t>
      </w:r>
      <w:r w:rsidDel="00000000" w:rsidR="00000000" w:rsidRPr="00000000">
        <w:rPr>
          <w:color w:val="1b1c1d"/>
          <w:rtl w:val="0"/>
        </w:rPr>
        <w:t xml:space="preserve"> across the plasma membrane.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indicates that the virus employs NTCP as a passive anchor and gateway, not as an energy-driven pump for translocation.</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Conformational Hijacking:</w:t>
      </w:r>
      <w:r w:rsidDel="00000000" w:rsidR="00000000" w:rsidRPr="00000000">
        <w:rPr>
          <w:color w:val="1b1c1d"/>
          <w:rtl w:val="0"/>
        </w:rPr>
        <w:t xml:space="preserve"> The binding of $\text{myr-preS1}$ is believed to stabilize NTCP preferentially in the </w:t>
      </w:r>
      <w:r w:rsidDel="00000000" w:rsidR="00000000" w:rsidRPr="00000000">
        <w:rPr>
          <w:b w:val="1"/>
          <w:color w:val="1b1c1d"/>
          <w:rtl w:val="0"/>
        </w:rPr>
        <w:t xml:space="preserve">outward-facing, open-pore state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stabilization suppresses the necessary conformational change to the inward-facing state required for substrate translocation. By locking the transporter in a non-cycling conformation, the virus effectively blocks the normal bile acid transport pathway while securing its entry mechanism.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suggests a therapeutic strategy could be to engineer small molecules that specifically lock NTCP into the inward-facing state, thereby physically masking the extracellular viral receptor site.</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ftdfy6ajdbm" w:id="19"/>
      <w:bookmarkEnd w:id="19"/>
      <w:r w:rsidDel="00000000" w:rsidR="00000000" w:rsidRPr="00000000">
        <w:rPr>
          <w:b w:val="1"/>
          <w:color w:val="1b1c1d"/>
          <w:sz w:val="26"/>
          <w:szCs w:val="26"/>
          <w:rtl w:val="0"/>
        </w:rPr>
        <w:t xml:space="preserve">IV.C. Clinical Relevance and Therapeutic Targeting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identified molecular differences have immediate clinical implications.</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Genetic Resistance:</w:t>
      </w:r>
      <w:r w:rsidDel="00000000" w:rsidR="00000000" w:rsidRPr="00000000">
        <w:rPr>
          <w:color w:val="1b1c1d"/>
          <w:rtl w:val="0"/>
        </w:rPr>
        <w:t xml:space="preserve"> The $SLC10A1$ </w:t>
      </w:r>
      <w:r w:rsidDel="00000000" w:rsidR="00000000" w:rsidRPr="00000000">
        <w:rPr>
          <w:b w:val="1"/>
          <w:color w:val="1b1c1d"/>
          <w:rtl w:val="0"/>
        </w:rPr>
        <w:t xml:space="preserve">p.S267F polymorphism</w:t>
      </w:r>
      <w:r w:rsidDel="00000000" w:rsidR="00000000" w:rsidRPr="00000000">
        <w:rPr>
          <w:color w:val="1b1c1d"/>
          <w:rtl w:val="0"/>
        </w:rPr>
        <w:t xml:space="preserve"> ($\text{rs2296651}$), which affects a residue located near the viral binding interface (G158 and L294), is associated with increased resistance to chronic $\text{HBV}$ infection in individuals carrying both alleles.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Targeted Drug Design:</w:t>
      </w:r>
      <w:r w:rsidDel="00000000" w:rsidR="00000000" w:rsidRPr="00000000">
        <w:rPr>
          <w:color w:val="1b1c1d"/>
          <w:rtl w:val="0"/>
        </w:rPr>
        <w:t xml:space="preserve"> The established functional separation is the critical determinant for future therapeutic strategies. New drug candidates should aim to bind specifically to the R84-N87 viral interaction loop, inhibiting viral binding while ensuring that the deep $\text{Na}^+$-coupled bile acid transport tunnel remains structurally and functionally intact. Such selective antivirals would drastically improve the safety profile by mitigating the risk of drug-induced bile acid accumulation and hepatotoxicity.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further elucidates the fundamental differences between NTCP's two major functional roles.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Molecular Determinants: Substrate Transport vs. Viral Entry Function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1020786529107"/>
        <w:gridCol w:w="1587.590027700831"/>
        <w:gridCol w:w="1587.590027700831"/>
        <w:gridCol w:w="2737.6552446179685"/>
        <w:gridCol w:w="1312.5744323510808"/>
        <w:tblGridChange w:id="0">
          <w:tblGrid>
            <w:gridCol w:w="1800.1020786529107"/>
            <w:gridCol w:w="1587.590027700831"/>
            <w:gridCol w:w="1587.590027700831"/>
            <w:gridCol w:w="2737.6552446179685"/>
            <w:gridCol w:w="1312.5744323510808"/>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Bile Acid Transport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HBV/HDV Entry Receptor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Mechanistic Consequence/Implication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Relevant Citation(s)</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Primary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Conjugated Bile Acids ($\text{TC, GCDC}$)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N-Myristoylated preS1 ($\text{myr-preS1}$)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Viral entry requires N-myristoylation for high affinity ($&gt;1000\times$ increase).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444746"/>
                <w:sz w:val="40"/>
                <w:szCs w:val="40"/>
                <w:highlight w:val="white"/>
                <w:vertAlign w:val="superscript"/>
                <w:rtl w:val="0"/>
              </w:rPr>
              <w:t xml:space="preserve">10</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Energy Dependence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Strictly $\text{Na}^+$-dependent cotransport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Largely $\text{Na}^+$-independent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$\text{Na}^+$ gradient provides energy for transport; binding only requires structural recognition.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444746"/>
                <w:sz w:val="40"/>
                <w:szCs w:val="40"/>
                <w:highlight w:val="white"/>
                <w:vertAlign w:val="superscript"/>
                <w:rtl w:val="0"/>
              </w:rPr>
              <w:t xml:space="preserve">10</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Key Binding Regions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Substrate pocket (central transport tunnel)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Extracellular loops, particularly R84-N87 and K157-L165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$\sim30 \text{ Å}$ spatial separation allows for selective therapeutic targeting.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444746"/>
                <w:sz w:val="40"/>
                <w:szCs w:val="40"/>
                <w:highlight w:val="white"/>
                <w:vertAlign w:val="superscript"/>
                <w:rtl w:val="0"/>
              </w:rPr>
              <w:t xml:space="preserve">10</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Conformational Dynamics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Alternating Access (Translocation cycle)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Stabilizes the Outward-facing, Open-pore state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Viral ligand hijacks the conformation, suppressing translocation and bile acid uptake.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444746"/>
                <w:sz w:val="40"/>
                <w:szCs w:val="40"/>
                <w:highlight w:val="white"/>
                <w:vertAlign w:val="superscript"/>
                <w:rtl w:val="0"/>
              </w:rPr>
              <w:t xml:space="preserve">10</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Protective Polymorphism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Affected transport function (variable in species)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p.S267F confers high resistance to chronic HBV infection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The $\text{S267}$ residue is critical for the HBV interaction interface.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bl>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wdad38kvhvd" w:id="20"/>
      <w:bookmarkEnd w:id="20"/>
      <w:r w:rsidDel="00000000" w:rsidR="00000000" w:rsidRPr="00000000">
        <w:rPr>
          <w:b w:val="1"/>
          <w:color w:val="1b1c1d"/>
          <w:sz w:val="34"/>
          <w:szCs w:val="34"/>
          <w:rtl w:val="0"/>
        </w:rPr>
        <w:t xml:space="preserve">V. Synthesis and Future Directions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data confirm $SLC10A1$ (NTCP) as a multifunctional hub for sterol and steroid metabolism, intimately connected to hepatic physiology and infectious disease vulnerability. Its role extends beyond bile acid clearance, acting as a crucial regulator of circulating steroid hormone precursors ($\text{DHEAS}$) and operating within a complex nuclear receptor-mediated regulatory network ($\text{FXR/SHP}$) that ensures metabolic stability.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unique structural characteristic of the exposed N-terminus, which facilitates its hijacking by $\text{HBV}/\text{HDV}$, transforms this essential metabolic enzyme into a key viral gateway.</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recent structural breakthroughs, significant mechanistic ambiguities persist that must be resolved to fully exploit NTCP as a therapeutic target.</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 studies are needed to obtain high-resolution cryo-EM structures of NTCP bound to its native, physiological bile acid substrates to elucidate the exact atomic mechanism of the coupled $\text{Na}^+$ and substrate translocation. Furthermore, the precise binding sites utilized by non-bile acid sterol sulfates like $\text{DHEAS}$ require mapping to determine if they compete for the primary orthosteric site or use an alternative entry channel.</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Future therapeutic development should prioritize strategies that leverage the established mechanistic separations:</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Selective Inhibitors:</w:t>
      </w:r>
      <w:r w:rsidDel="00000000" w:rsidR="00000000" w:rsidRPr="00000000">
        <w:rPr>
          <w:color w:val="1b1c1d"/>
          <w:rtl w:val="0"/>
        </w:rPr>
        <w:t xml:space="preserve"> Designing antiviral agents that target the R84-N87 extracellular viral binding domain selectively, thereby eliminating the risk of cholestasis associated with competitive inhibition of bile acid transport.</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Allosteric Modulators:</w:t>
      </w:r>
      <w:r w:rsidDel="00000000" w:rsidR="00000000" w:rsidRPr="00000000">
        <w:rPr>
          <w:color w:val="1b1c1d"/>
          <w:rtl w:val="0"/>
        </w:rPr>
        <w:t xml:space="preserve"> Developing small molecules that stabilize the inactive, inward-facing conformation of NTCP. By physically masking the external viral receptor site, such compounds would inhibit viral entry more robustly than simple competitive binders.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Metabolic Management:</w:t>
      </w:r>
      <w:r w:rsidDel="00000000" w:rsidR="00000000" w:rsidRPr="00000000">
        <w:rPr>
          <w:color w:val="1b1c1d"/>
          <w:rtl w:val="0"/>
        </w:rPr>
        <w:t xml:space="preserve"> Utilizing the FXR/SHP regulatory pathway to manage bile acid accumulation. Pharmacological agents aimed at modulating $\text{SHP}$ or $\text{FGF19}$ signaling could provide non-transport-based mechanisms to decrease NTCP expression and protect the liver during severe cholestatic episodes.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Finally, the realization that NTCP expression variability is driven primarily by non-genetic, potentially epigenetic, factors highlights the need for personalized medicine approaches that integrate clinical history and expression biomarkers (such as DNA methylation status) rather than relying solely on genetic screening for predicting drug safety and efficacy.</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