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725odb78tsin" w:id="0"/>
      <w:bookmarkEnd w:id="0"/>
      <w:r w:rsidDel="00000000" w:rsidR="00000000" w:rsidRPr="00000000">
        <w:rPr>
          <w:b w:val="1"/>
          <w:color w:val="1b1c1d"/>
          <w:sz w:val="46"/>
          <w:szCs w:val="46"/>
          <w:rtl w:val="0"/>
        </w:rPr>
        <w:t xml:space="preserve">Comprehensive Reference Report: The Protein Language Model-Defined Cluster of Steroid-Binding G Protein-Coupled Receptors (GPR35, TGR5, and GPER1)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8vayag71m5u" w:id="1"/>
      <w:bookmarkEnd w:id="1"/>
      <w:r w:rsidDel="00000000" w:rsidR="00000000" w:rsidRPr="00000000">
        <w:rPr>
          <w:b w:val="1"/>
          <w:color w:val="1b1c1d"/>
          <w:sz w:val="34"/>
          <w:szCs w:val="34"/>
          <w:rtl w:val="0"/>
        </w:rPr>
        <w:t xml:space="preserve">Chapter 1: Introduction to Steroid-Binding G Protein-Coupled Receptors (SB-GPCRs)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kl0iq4phn1n" w:id="2"/>
      <w:bookmarkEnd w:id="2"/>
      <w:r w:rsidDel="00000000" w:rsidR="00000000" w:rsidRPr="00000000">
        <w:rPr>
          <w:b w:val="1"/>
          <w:color w:val="1b1c1d"/>
          <w:sz w:val="26"/>
          <w:szCs w:val="26"/>
          <w:rtl w:val="0"/>
        </w:rPr>
        <w:t xml:space="preserve">1.1 GPCR Superfamily Classification and Structural Homology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 protein-coupled receptors (GPCRs) are indispensable integral membrane proteins that function to transduce extracellular signals into the cellular environment via heterotrimeric GTP-binding proteins (G-proteins).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Constituting the target for over 30% of currently marketed pharmaceutical agents, GPCRs possess a canonical architecture featuring seven transmembrane $\alpha$-helices (TM1 to TM7) linked by three intracellular and three extracellular loops.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receptors detailed in this report—GPR35, TGR5 (GPBAR1), and GPER1 (GPR30)—all fall within </w:t>
      </w:r>
      <w:r w:rsidDel="00000000" w:rsidR="00000000" w:rsidRPr="00000000">
        <w:rPr>
          <w:b w:val="1"/>
          <w:color w:val="1b1c1d"/>
          <w:rtl w:val="0"/>
        </w:rPr>
        <w:t xml:space="preserve">Class A (Rhodopsin-like) GPCRs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Class A GPCRs are characterized by the formation of a hydrophilic pocket among the TM bundle that serves as the orthosteric site for endogenous ligands, accessible from the extracellular side.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cluster of receptors, despite binding chemically diverse molecules ranging from estrogen to bile acids and tryptophan metabolites, is fundamentally unified by their interaction with lipophilic signals derived from cholesterol or sterol metabolism.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mechanism of SB-GPCRs fundamentally differs from that of classical nuclear receptors (NRs), such as the Estrogen Receptors ($\text{ER}\alpha/\beta$) or the Farnesoid X receptor (FXR), which also bind steroids.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While NRs mediate slow, transcriptional changes (genomic actions), SB-GPCRs mediate rapid, non-genomic actions of steroids and their sterol-like derivatives. These rapid effects often involve the activation of surface signaling cascades, including Mitogen-Activated Protein Kinase (MAPK), Extracellular Signal-Regulated Kinase (ERK), and Epidermal Growth Factor Receptor (EGFR) transactivation.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2eqnq6m6fo2" w:id="3"/>
      <w:bookmarkEnd w:id="3"/>
      <w:r w:rsidDel="00000000" w:rsidR="00000000" w:rsidRPr="00000000">
        <w:rPr>
          <w:b w:val="1"/>
          <w:color w:val="1b1c1d"/>
          <w:sz w:val="26"/>
          <w:szCs w:val="26"/>
          <w:rtl w:val="0"/>
        </w:rPr>
        <w:t xml:space="preserve">1.2 Defining the SB-GPCR Cluster via Protein Language Model Embeddings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grouping of GPR35, TGR5, and GPER1 into a cohesive unit is supported by advanced bioinformatics analysis, specifically the use of Protein Language Model (PLM) embeddings.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methodology utilizes sophisticated sequence-to-feature mapping (e.g., ESM-2) to generate vector representations of protein sequences that reflect underlying structural and functional relationships.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classification of GPR35, TGR5, and GPER1 within a single cluster based on their PLM embeddings suggests a shared, deep-seated structural compatibility related to lipophilic ligand recognition. GPER1 binds a canonical steroid hormone (Estradiol)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TGR5 binds modified sterol derivatives (Bile Acids)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and GPR35 regulates sterol/bile acid metabolic pathways.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computational proximity of these receptors confirms that PLMs can identify functional relationships—in this case, the ability to accommodate bulky, hydrophobic, cyclic molecules—even when the canonical endogenous ligands (Estradiol, Bile Acids, Kynurenic Acid) appear chemically disparate on initial inspection. This suggests an ancient, conserved structural motif within the 7TM architecture evolved to recognize the molecular shape and lipophilic properties common to steroid and sterol-like molecules, providing structural validation for linking their functional roles in systemic metabolism and inflammation.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85d2n5mbpgy" w:id="4"/>
      <w:bookmarkEnd w:id="4"/>
      <w:r w:rsidDel="00000000" w:rsidR="00000000" w:rsidRPr="00000000">
        <w:rPr>
          <w:b w:val="1"/>
          <w:color w:val="1b1c1d"/>
          <w:sz w:val="26"/>
          <w:szCs w:val="26"/>
          <w:rtl w:val="0"/>
        </w:rPr>
        <w:t xml:space="preserve">1.3 The Physiological Context: Non-Genomic Actions of Steroids and Sterol Derivatives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 hormones and their precursor metabolites, such as bile acids, are amphipathic signaling molecules critical for numerous physiological processes, including metabolism, immunity, and reproduction.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rapid actions mediated by this SB-GPCR cluster provide necessary, swift, and localized responses that either collaborate with or oppose the slower, gene-regulatory changes instigated by intracellular nuclear receptors.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TGR5, for instance, provides a key example, mediating the nongenomic effects of bile acids, thereby complementing the genomic signaling driven by the nuclear receptor FXR.</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interplay between these membrane-bound sensors and their nuclear counterparts underscores the dual regulatory mechanism governing steroid and sterol signaling cascades.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rijwqa5d9bk" w:id="5"/>
      <w:bookmarkEnd w:id="5"/>
      <w:r w:rsidDel="00000000" w:rsidR="00000000" w:rsidRPr="00000000">
        <w:rPr>
          <w:b w:val="1"/>
          <w:color w:val="1b1c1d"/>
          <w:sz w:val="34"/>
          <w:szCs w:val="34"/>
          <w:rtl w:val="0"/>
        </w:rPr>
        <w:t xml:space="preserve">Chapter 2: GPR35 (KYNA Receptor) – The Metabolic and Inflammatory Nexus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06jvjleirai" w:id="6"/>
      <w:bookmarkEnd w:id="6"/>
      <w:r w:rsidDel="00000000" w:rsidR="00000000" w:rsidRPr="00000000">
        <w:rPr>
          <w:b w:val="1"/>
          <w:color w:val="1b1c1d"/>
          <w:sz w:val="26"/>
          <w:szCs w:val="26"/>
          <w:rtl w:val="0"/>
        </w:rPr>
        <w:t xml:space="preserve">2.1 General Background: Classification, Structure, and Expression Profile</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bxqhdn3t1nt" w:id="7"/>
      <w:bookmarkEnd w:id="7"/>
      <w:r w:rsidDel="00000000" w:rsidR="00000000" w:rsidRPr="00000000">
        <w:rPr>
          <w:b w:val="1"/>
          <w:color w:val="1b1c1d"/>
          <w:sz w:val="22"/>
          <w:szCs w:val="22"/>
          <w:rtl w:val="0"/>
        </w:rPr>
        <w:t xml:space="preserve">2.1.1 Classification and Structure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GPR35 is classified as a </w:t>
      </w:r>
      <w:r w:rsidDel="00000000" w:rsidR="00000000" w:rsidRPr="00000000">
        <w:rPr>
          <w:b w:val="1"/>
          <w:color w:val="1b1c1d"/>
          <w:rtl w:val="0"/>
        </w:rPr>
        <w:t xml:space="preserve">Class A orphan GPCR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Despite this designation, several high-affinity endogenous ligands have been identified, including the tryptophan metabolite kynurenic acid (KYNA), the serotonin metabolite 5-hydroxyindoleacetic acid (5-HIAA), and lysophosphatidic acid (LPA).</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However, the primary endogenous activator remains a point of investigation.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GPR35 gene generates three distinct variants, which translate into two primary isoforms, GPR35a and GPR35b.</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longer isoform, GPR35b, diverges from GPR35a by possessing an </w:t>
      </w:r>
      <w:r w:rsidDel="00000000" w:rsidR="00000000" w:rsidRPr="00000000">
        <w:rPr>
          <w:b w:val="1"/>
          <w:color w:val="1b1c1d"/>
          <w:rtl w:val="0"/>
        </w:rPr>
        <w:t xml:space="preserve">extended N-terminal sequence</w:t>
      </w:r>
      <w:r w:rsidDel="00000000" w:rsidR="00000000" w:rsidRPr="00000000">
        <w:rPr>
          <w:color w:val="1b1c1d"/>
          <w:rtl w:val="0"/>
        </w:rPr>
        <w:t xml:space="preserve"> of 31 additional amino acids, thereby lengthening its extracellular domain.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structural distinction is functionally relevant: GPR35b exhibits a lower efficacy in agonist response but a potentially enhanced interaction with $\beta$-arrestin, suggesting a distinct signaling bias compared to GPR35a.</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iiy7byhlkh2" w:id="8"/>
      <w:bookmarkEnd w:id="8"/>
      <w:r w:rsidDel="00000000" w:rsidR="00000000" w:rsidRPr="00000000">
        <w:rPr>
          <w:b w:val="1"/>
          <w:color w:val="1b1c1d"/>
          <w:sz w:val="22"/>
          <w:szCs w:val="22"/>
          <w:rtl w:val="0"/>
        </w:rPr>
        <w:t xml:space="preserve">2.1.2 Localization and Pathological Association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GPR35 exhibits a tissue-specific expression pattern, with particularly high levels observed in the </w:t>
      </w:r>
      <w:r w:rsidDel="00000000" w:rsidR="00000000" w:rsidRPr="00000000">
        <w:rPr>
          <w:b w:val="1"/>
          <w:color w:val="1b1c1d"/>
          <w:rtl w:val="0"/>
        </w:rPr>
        <w:t xml:space="preserve">gastrointestinal tract (small intestine and colon)</w:t>
      </w:r>
      <w:r w:rsidDel="00000000" w:rsidR="00000000" w:rsidRPr="00000000">
        <w:rPr>
          <w:color w:val="1b1c1d"/>
          <w:rtl w:val="0"/>
        </w:rPr>
        <w:t xml:space="preserve"> and various </w:t>
      </w:r>
      <w:r w:rsidDel="00000000" w:rsidR="00000000" w:rsidRPr="00000000">
        <w:rPr>
          <w:b w:val="1"/>
          <w:color w:val="1b1c1d"/>
          <w:rtl w:val="0"/>
        </w:rPr>
        <w:t xml:space="preserve">immune cells</w:t>
      </w:r>
      <w:r w:rsidDel="00000000" w:rsidR="00000000" w:rsidRPr="00000000">
        <w:rPr>
          <w:color w:val="1b1c1d"/>
          <w:rtl w:val="0"/>
        </w:rPr>
        <w:t xml:space="preserve">, including $\text{CD}14^{+}$ monocytes, $\text{CD}3^{+}$ T-cells, and neutrophils.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robust expression in immune cells is consistent with its established role in inflammation regulation.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GPR35 expression is upregulated in neutrophils and intestinal tissues during pathogenic microbial invasion, indicating its pronounced involvement in acute inflammatory responses.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Furthermore, polymorphisms in GPR35 have been linked to intestinal inflammation, metabolic stress, and Type 2 Diabetes Mellitus (T2DM).</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GPR35b is also highly expressed in gastric and colon cancer tissues, suggesting possible associations with carcinogenesis.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aod6wz1ikdw" w:id="9"/>
      <w:bookmarkEnd w:id="9"/>
      <w:r w:rsidDel="00000000" w:rsidR="00000000" w:rsidRPr="00000000">
        <w:rPr>
          <w:b w:val="1"/>
          <w:color w:val="1b1c1d"/>
          <w:sz w:val="26"/>
          <w:szCs w:val="26"/>
          <w:rtl w:val="0"/>
        </w:rPr>
        <w:t xml:space="preserve">2.2 Canonical Ligands and Signaling Mechanisms</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dwddnwoinrh" w:id="10"/>
      <w:bookmarkEnd w:id="10"/>
      <w:r w:rsidDel="00000000" w:rsidR="00000000" w:rsidRPr="00000000">
        <w:rPr>
          <w:b w:val="1"/>
          <w:color w:val="1b1c1d"/>
          <w:sz w:val="22"/>
          <w:szCs w:val="22"/>
          <w:rtl w:val="0"/>
        </w:rPr>
        <w:t xml:space="preserve">2.2.1 Signaling Pathways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Activation of GPR35 by ligands such as KYNA or 5-HIAA leads to the rapid and transient activation of multiple intracellular signaling pathways.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Notably, 5-HIAA is considered a physiological ligand that mediates neutrophil recruitment to sites of inflammation and aids in bacterial clearance.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 macrophages, activation by LPA promotes a distinct transcriptional profile associated with TNF production, coupled with the activation of ERK and NF-$\kappa\text{B}$ pathways, which collectively induce macrophage chemotaxis.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ydvb1698pyj" w:id="11"/>
      <w:bookmarkEnd w:id="11"/>
      <w:r w:rsidDel="00000000" w:rsidR="00000000" w:rsidRPr="00000000">
        <w:rPr>
          <w:b w:val="1"/>
          <w:color w:val="1b1c1d"/>
          <w:sz w:val="22"/>
          <w:szCs w:val="22"/>
          <w:rtl w:val="0"/>
        </w:rPr>
        <w:t xml:space="preserve">2.2.2 G-Protein Coupling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GPR35 exhibits highly specific G-protein coupling dynamics. Agonist activation is transduced most effectively via </w:t>
      </w:r>
      <w:r w:rsidDel="00000000" w:rsidR="00000000" w:rsidRPr="00000000">
        <w:rPr>
          <w:b w:val="1"/>
          <w:color w:val="1b1c1d"/>
          <w:rtl w:val="0"/>
        </w:rPr>
        <w:t xml:space="preserve">G$\alpha$13</w:t>
      </w:r>
      <w:r w:rsidDel="00000000" w:rsidR="00000000" w:rsidRPr="00000000">
        <w:rPr>
          <w:color w:val="1b1c1d"/>
          <w:rtl w:val="0"/>
        </w:rPr>
        <w:t xml:space="preserve"> and $\beta$-arrestin-2.</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coupling to G$\alpha$13, which is considerably more effective than G$\alpha$12, is dictated by a conservative single amino acid variation (leucine-to-isoleucine).[17] G$\alpha$13 activation subsequently promotes GTP exchange to activate Rho family GTPases.[18] GPR35 also couples to **G$\alpha$i/o** subunits, demonstrating a multi-faceted G-protein profile that is often context- and cell-type dependent.</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major pharmacological challenge in GPR35 research is the significant </w:t>
      </w:r>
      <w:r w:rsidDel="00000000" w:rsidR="00000000" w:rsidRPr="00000000">
        <w:rPr>
          <w:b w:val="1"/>
          <w:color w:val="1b1c1d"/>
          <w:rtl w:val="0"/>
        </w:rPr>
        <w:t xml:space="preserve">species selectivity</w:t>
      </w:r>
      <w:r w:rsidDel="00000000" w:rsidR="00000000" w:rsidRPr="00000000">
        <w:rPr>
          <w:color w:val="1b1c1d"/>
          <w:rtl w:val="0"/>
        </w:rPr>
        <w:t xml:space="preserve"> observed in ligand activity.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For instance, KYNA potency is very low for human GPR35 (EC50 $&gt;$ $10^{-3}$ M).</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Moreover, antagonists, such as CID-2745687 and ML-145, exhibit strong species-specific differences in efficacy and mechanism (competitive vs. noncompetitive antagonism) between human and rodent GPR35 orthologs, highlighting the complexity of translating animal model findings.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n72eli0bt9b" w:id="12"/>
      <w:bookmarkEnd w:id="12"/>
      <w:r w:rsidDel="00000000" w:rsidR="00000000" w:rsidRPr="00000000">
        <w:rPr>
          <w:b w:val="1"/>
          <w:color w:val="1b1c1d"/>
          <w:sz w:val="26"/>
          <w:szCs w:val="26"/>
          <w:rtl w:val="0"/>
        </w:rPr>
        <w:t xml:space="preserve">2.3 Steroid Interactions Focus: Cardiotonic Steroids and Cholesterol Homeostasis</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ktntxwnw194" w:id="13"/>
      <w:bookmarkEnd w:id="13"/>
      <w:r w:rsidDel="00000000" w:rsidR="00000000" w:rsidRPr="00000000">
        <w:rPr>
          <w:b w:val="1"/>
          <w:color w:val="1b1c1d"/>
          <w:sz w:val="22"/>
          <w:szCs w:val="22"/>
          <w:rtl w:val="0"/>
        </w:rPr>
        <w:t xml:space="preserve">2.3.1 Indirect Interaction with Cardiotonic Steroids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Although GPR35 does not directly bind classical cardiotonic steroids (CTS), it is critically involved in signaling pathways modulated by these molecules. Proteomic analysis has revealed that GPR35 physically interacts with the $\alpha$1 subunit of the $\text{Na/K-ATPase}$.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CTS, such as ouabain, are known to bind to $\text{Na/K-ATPase}$ and consequently activate the non-receptor tyrosine kinase Src.</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GPR35 acts as a co-regulator in this steroid-linked pathway. $\text{Gpr35}^{-/-}$ bone marrow-derived macrophages (BMDMs) exhibit decreased basal Src activity, specifically reduced phosphorylation of Src at Tyr416 (the activation loop site) compared to wild-type cells.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dependence suggests that GPR35 is necessary to maintain the constitutive activity of the $\text{Na/K-ATPase-Src}$ signaling axis, which is sensitive to cardiotonic steroids. The PLM clustering method likely identified the structural features of GPR35 that enable this specific membrane protein-protein interaction (GPR35/Na/K-ATPase), functionally linking GPR35 to steroidal signals even when binding is indirect. This mechanism expands the functional consequences of CTS signaling beyond simple ionic gradient regulation by integrating GPR35's downstream G$\alpha$13 pathway.</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2nmku7s1w6h" w:id="14"/>
      <w:bookmarkEnd w:id="14"/>
      <w:r w:rsidDel="00000000" w:rsidR="00000000" w:rsidRPr="00000000">
        <w:rPr>
          <w:b w:val="1"/>
          <w:color w:val="1b1c1d"/>
          <w:sz w:val="22"/>
          <w:szCs w:val="22"/>
          <w:rtl w:val="0"/>
        </w:rPr>
        <w:t xml:space="preserve">2.3.2 Regulation of Hepatic Sterol and Bile Acid Metabolism</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GPR35 plays a fundamental role in maintaining systemic cholesterol homeostasis, particularly in the liver, linking it to major metabolic disorders.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Evidence suggests that GPR35 signaling protects against obesity-related Metabolic Associated Steatohepatitis (MASH), formerly NAFLD.</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receptor regulates the conversion of cholesterol to bile acids (BAS), a crucial process for cholesterol elimination.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In murine models, hepatic deletion of GPR35 ($\text{Gpr35 hep}^{-/-}$) resulted in decreased levels of bile acids in the liver, while hepatic overexpression ($\text{Gpr35 hep-OE}$) increased them.</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GPR35 also regulates the expression of genes involved in cholesterol excretion ($\text{Abcg5}$ and $\text{Abcg8}$) and absorption ($\text{Npc1l1}$) in the intestine.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Global or intestinal-specific GPR35 deletion is known to induce gut dysbiosis and increase susceptibility to liver steatosis and metabolic syndrome, underscoring its pivotal function as a membrane sensor integrating gut, liver, and sterol metabolic signals.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ficcbak2um8" w:id="15"/>
      <w:bookmarkEnd w:id="15"/>
      <w:r w:rsidDel="00000000" w:rsidR="00000000" w:rsidRPr="00000000">
        <w:rPr>
          <w:b w:val="1"/>
          <w:color w:val="1b1c1d"/>
          <w:sz w:val="34"/>
          <w:szCs w:val="34"/>
          <w:rtl w:val="0"/>
        </w:rPr>
        <w:t xml:space="preserve">Chapter 3: TGR5 (GPBAR1) – The Bile Acid Sensor and Regulator of Energy Homeostasis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z30v3fi8ggu" w:id="16"/>
      <w:bookmarkEnd w:id="16"/>
      <w:r w:rsidDel="00000000" w:rsidR="00000000" w:rsidRPr="00000000">
        <w:rPr>
          <w:b w:val="1"/>
          <w:color w:val="1b1c1d"/>
          <w:sz w:val="26"/>
          <w:szCs w:val="26"/>
          <w:rtl w:val="0"/>
        </w:rPr>
        <w:t xml:space="preserve">3.1 General Background: Classification, Structure, and Expression Profile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TGR5 (G-protein coupled bile acid receptor 1, or GPBAR1) is a seminal member of the GPCR superfamily and the founder of the bile acid receptor subclass.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 is encoded on human chromosome 2q35, producing a protein of 330 amino acids.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TGR5 provides a key pathway for the non-genomic actions of bile acids (BAs), complementing the nuclear receptor FXR.</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TGR5 messenger RNA (mRNA) is highly expressed in several organs critical to metabolic and immune functions, including the small intestine, liver, spleen, and placenta.</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Within the liver, TGR5 is found on nonparenchymal cells, specifically sinusoidal endothelial cells, Kupffer cells, cholangiocytes, and activated hepatic stellate cells.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Functionally, TGR5 modulates hepatic microcirculation, regeneration, biliary secretion, and inflammation.</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qynxg8x2e2v" w:id="17"/>
      <w:bookmarkEnd w:id="17"/>
      <w:r w:rsidDel="00000000" w:rsidR="00000000" w:rsidRPr="00000000">
        <w:rPr>
          <w:b w:val="1"/>
          <w:color w:val="1b1c1d"/>
          <w:sz w:val="26"/>
          <w:szCs w:val="26"/>
          <w:rtl w:val="0"/>
        </w:rPr>
        <w:t xml:space="preserve">3.2 Steroid Interactions Focus: Primary and Secondary Bile Acids</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6hp8qf420ff" w:id="18"/>
      <w:bookmarkEnd w:id="18"/>
      <w:r w:rsidDel="00000000" w:rsidR="00000000" w:rsidRPr="00000000">
        <w:rPr>
          <w:b w:val="1"/>
          <w:color w:val="1b1c1d"/>
          <w:sz w:val="22"/>
          <w:szCs w:val="22"/>
          <w:rtl w:val="0"/>
        </w:rPr>
        <w:t xml:space="preserve">3.2.1 Ligands and Binding Mechanism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TGR5 is activated by both primary and secondary bile acids.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Lithocholic acid (LCA) and chenodeoxycholic acid are known endogenous activators, in addition to several synthetic agonists.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binding of BAs occurs within a hydrophobic ligand-binding pocket (LBP) located deep inside the 7-transmembrane bundle.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Determining the exact binding mode has relied on integrated computational, chemical, and biological approaches, identifying key residues necessary for ligand interaction.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Molecular analysis reveals that TGR5 recognition relies heavily on the </w:t>
      </w:r>
      <w:r w:rsidDel="00000000" w:rsidR="00000000" w:rsidRPr="00000000">
        <w:rPr>
          <w:b w:val="1"/>
          <w:color w:val="1b1c1d"/>
          <w:rtl w:val="0"/>
        </w:rPr>
        <w:t xml:space="preserve">steric complementarities (molecular shape)</w:t>
      </w:r>
      <w:r w:rsidDel="00000000" w:rsidR="00000000" w:rsidRPr="00000000">
        <w:rPr>
          <w:color w:val="1b1c1d"/>
          <w:rtl w:val="0"/>
        </w:rPr>
        <w:t xml:space="preserve"> and the </w:t>
      </w:r>
      <w:r w:rsidDel="00000000" w:rsidR="00000000" w:rsidRPr="00000000">
        <w:rPr>
          <w:b w:val="1"/>
          <w:color w:val="1b1c1d"/>
          <w:rtl w:val="0"/>
        </w:rPr>
        <w:t xml:space="preserve">lipophilic profile</w:t>
      </w:r>
      <w:r w:rsidDel="00000000" w:rsidR="00000000" w:rsidRPr="00000000">
        <w:rPr>
          <w:color w:val="1b1c1d"/>
          <w:rtl w:val="0"/>
        </w:rPr>
        <w:t xml:space="preserve"> of the BA molecule.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dependence on molecular architecture suggests that TGR5 evolved to select endogenous ligands with conserved binding site-specific sterical properties, paralleling the structural adaptation seen in nuclear receptors.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affinity of TGR5 for sterol derivatives provides a striking contrast with other receptors. For example, while LCA is a TGR5 agonist, it also acts as a selective modulator of the Vitamin D Receptor (VDR), a nuclear receptor.</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When LCA binds to VDR, it occupies the same LBP as the natural hormone ($1\alpha, 25$-dihydroxyvitamin $\text{D}_3$), but in a reverse orientation.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demonstrates how structurally conserved steroid molecules can be recognized by both genomic (NR) and non-genomic (GPCR) systems using distinct interaction modes while maintaining core hydrophobic and hydrophilic contact points.</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q8wtlyu2w6c" w:id="19"/>
      <w:bookmarkEnd w:id="19"/>
      <w:r w:rsidDel="00000000" w:rsidR="00000000" w:rsidRPr="00000000">
        <w:rPr>
          <w:b w:val="1"/>
          <w:color w:val="1b1c1d"/>
          <w:sz w:val="26"/>
          <w:szCs w:val="26"/>
          <w:rtl w:val="0"/>
        </w:rPr>
        <w:t xml:space="preserve">3.3 Signaling Dichotomy: Context-Dependent G-Protein Coupling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TGR5 is notable for its functional flexibility, displaying a signaling dichotomy that relies entirely on cellular context. TGR5 activation can couple to either the inhibitory G protein $\alpha$-subunit (</w:t>
      </w:r>
      <w:r w:rsidDel="00000000" w:rsidR="00000000" w:rsidRPr="00000000">
        <w:rPr>
          <w:b w:val="1"/>
          <w:color w:val="1b1c1d"/>
          <w:rtl w:val="0"/>
        </w:rPr>
        <w:t xml:space="preserve">G$\alpha$i</w:t>
      </w:r>
      <w:r w:rsidDel="00000000" w:rsidR="00000000" w:rsidRPr="00000000">
        <w:rPr>
          <w:color w:val="1b1c1d"/>
          <w:rtl w:val="0"/>
        </w:rPr>
        <w:t xml:space="preserve">) or the stimulatory G protein $\alpha$-subunit (</w:t>
      </w:r>
      <w:r w:rsidDel="00000000" w:rsidR="00000000" w:rsidRPr="00000000">
        <w:rPr>
          <w:b w:val="1"/>
          <w:color w:val="1b1c1d"/>
          <w:rtl w:val="0"/>
        </w:rPr>
        <w:t xml:space="preserve">G$\alpha$s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contextual switching mechanism is clearly demonstrated in cholangiocytes (cells lining the bile duct).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non-ciliated cholangiocytes, TGR5 couples to G$\alpha$s, leading to increased cAMP levels and inhibition of ERK signaling, resulting in cell proliferation.[2] Conversely, in ciliated cholangiocytes, TGR5 couples to G$\alpha$i, resulting in decreased cAMP and induced ERK signaling, which inhibits proliferation.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mechanism is a sophisticated biological strategy allowing a single systemic signal (circulating bile acid concentration) to generate two functionally opposite outcomes (proliferation versus inhibition) in spatially defined cell populations within the biliary tree. This mechanism adds significant complexity to TGR5's role and poses a major obstacle for medicinal chemistry, where biased agonism must be utilized to achieve beneficial signaling outcomes (e.g., metabolic improvement) while avoiding undesirable pro-proliferative effects, especially in conditions like cholangiocarcinoma.</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l5oiv1d8jp6" w:id="20"/>
      <w:bookmarkEnd w:id="20"/>
      <w:r w:rsidDel="00000000" w:rsidR="00000000" w:rsidRPr="00000000">
        <w:rPr>
          <w:b w:val="1"/>
          <w:color w:val="1b1c1d"/>
          <w:sz w:val="26"/>
          <w:szCs w:val="26"/>
          <w:rtl w:val="0"/>
        </w:rPr>
        <w:t xml:space="preserve">3.4 Physiological and Pathological Roles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TGR5 is a potent metabolic regulator involved in energy homeostasis, glucose metabolism, and bile acid homeostasis.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Its activation confers immunosuppressive properties and helps regulate the inflammatory response.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the liver, TGR5 protects against infectious, inflammatory, and metabolic injuries; TGR5 absence in mice increases susceptibility to these conditions.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Pathologically, TGR5 overexpression is observed in human intra- and extrahepatic cholangiocarcinoma, where TGR5 activation promotes anti-apoptosis and cell growth.</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TGR5 agonists are being explored as therapeutic agents for metabolic, inflammatory, and cholestatic liver diseases, whereas TGR5 inhibitors might be required to attenuate progression in polycystic liver disease and cholangiocarcinoma.</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zykez204az2" w:id="21"/>
      <w:bookmarkEnd w:id="21"/>
      <w:r w:rsidDel="00000000" w:rsidR="00000000" w:rsidRPr="00000000">
        <w:rPr>
          <w:b w:val="1"/>
          <w:color w:val="1b1c1d"/>
          <w:sz w:val="34"/>
          <w:szCs w:val="34"/>
          <w:rtl w:val="0"/>
        </w:rPr>
        <w:t xml:space="preserve">Chapter 4: GPER1 (GPR30) – Rapid Non-Genomic Estrogen Signaling</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dcrzvhp4bqk" w:id="22"/>
      <w:bookmarkEnd w:id="22"/>
      <w:r w:rsidDel="00000000" w:rsidR="00000000" w:rsidRPr="00000000">
        <w:rPr>
          <w:b w:val="1"/>
          <w:color w:val="1b1c1d"/>
          <w:sz w:val="26"/>
          <w:szCs w:val="26"/>
          <w:rtl w:val="0"/>
        </w:rPr>
        <w:t xml:space="preserve">4.1 General Background: History, Classification, and Localization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 protein-coupled estrogen receptor 1 (GPER1), initially named GPR30, is a 7-transmembrane spanning GPCR that mediates many of the rapid, non-genomic actions of estrogen.</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GPER1 was initially identified as an orphan receptor, belonging structurally to the chemokine receptor family.</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gene is located on human chromosome 7 and encodes a 375-amino acid receptor.</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GPER1 is predominantly localized to the plasma membrane but is also present in endosomes and within the nucleus.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High levels of expression are found in cardiovascular tissues (e.g., external carotid artery), reproductive tissues (testicles), and specific neural structures.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 is also highly expressed in human cancers, including gastric and colon cancer tissues.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jh60n13ji4m" w:id="23"/>
      <w:bookmarkEnd w:id="23"/>
      <w:r w:rsidDel="00000000" w:rsidR="00000000" w:rsidRPr="00000000">
        <w:rPr>
          <w:b w:val="1"/>
          <w:color w:val="1b1c1d"/>
          <w:sz w:val="26"/>
          <w:szCs w:val="26"/>
          <w:rtl w:val="0"/>
        </w:rPr>
        <w:t xml:space="preserve">4.2 Steroid Interactions Focus: Estradiol and Estrogen Derivatives</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4gpcc1pvg9w" w:id="24"/>
      <w:bookmarkEnd w:id="24"/>
      <w:r w:rsidDel="00000000" w:rsidR="00000000" w:rsidRPr="00000000">
        <w:rPr>
          <w:b w:val="1"/>
          <w:color w:val="1b1c1d"/>
          <w:sz w:val="22"/>
          <w:szCs w:val="22"/>
          <w:rtl w:val="0"/>
        </w:rPr>
        <w:t xml:space="preserve">4.2.1 Ligand and Binding Mechanism</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GPER1 binds to and is activated by the primary female sex hormone, </w:t>
      </w:r>
      <w:r w:rsidDel="00000000" w:rsidR="00000000" w:rsidRPr="00000000">
        <w:rPr>
          <w:b w:val="1"/>
          <w:color w:val="1b1c1d"/>
          <w:rtl w:val="0"/>
        </w:rPr>
        <w:t xml:space="preserve">$17\beta$-estradiol (E2)</w:t>
      </w:r>
      <w:r w:rsidDel="00000000" w:rsidR="00000000" w:rsidRPr="00000000">
        <w:rPr>
          <w:color w:val="1b1c1d"/>
          <w:rtl w:val="0"/>
        </w:rPr>
        <w:t xml:space="preserve">, with high affinity.</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Upon interaction with E2, GPER1 rapidly initiates transient intracellular signaling cascades.</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E2 binds within a hydrophobic ligand-binding pocket (LBP) formed by the seven transmembrane helical domains.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Although crystallization of GPER1 has not yet been achieved due to the challenges of purifying integral membrane proteins, the hydrophobic environment within the closely aligned transmembrane helices shares structural characteristics with the ligand-binding domain of classical nuclear Estrogen Receptors.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Ligand binding induces a conformational change necessary for activating the coupled G proteins.</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GPER1 is crucial for distinguishing between the fast and slow actions of estrogen.</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non-genomic signaling mediated by GPER1 results in effects such as vasodilation, renoprotection, and mammary gland development.</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Upon E2 binding, this pathway activates adenylyl cyclase and induces the transactivation of the Epidermal Growth Factor Receptor (EGFR).</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96eka95qj3e" w:id="25"/>
      <w:bookmarkEnd w:id="25"/>
      <w:r w:rsidDel="00000000" w:rsidR="00000000" w:rsidRPr="00000000">
        <w:rPr>
          <w:b w:val="1"/>
          <w:color w:val="1b1c1d"/>
          <w:sz w:val="26"/>
          <w:szCs w:val="26"/>
          <w:rtl w:val="0"/>
        </w:rPr>
        <w:t xml:space="preserve">4.3 Signaling Mechanisms and Kinase Activation Pathways</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h5suqf7mnhw" w:id="26"/>
      <w:bookmarkEnd w:id="26"/>
      <w:r w:rsidDel="00000000" w:rsidR="00000000" w:rsidRPr="00000000">
        <w:rPr>
          <w:b w:val="1"/>
          <w:color w:val="1b1c1d"/>
          <w:sz w:val="22"/>
          <w:szCs w:val="22"/>
          <w:rtl w:val="0"/>
        </w:rPr>
        <w:t xml:space="preserve">4.3.1 G-Protein Coupling</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GPER1 is known to activate a stimulatory G protein $\alpha$-subunit (</w:t>
      </w:r>
      <w:r w:rsidDel="00000000" w:rsidR="00000000" w:rsidRPr="00000000">
        <w:rPr>
          <w:b w:val="1"/>
          <w:color w:val="1b1c1d"/>
          <w:rtl w:val="0"/>
        </w:rPr>
        <w:t xml:space="preserve">G$\alpha$s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However, similar to other members of this cluster, GPER1 exhibits context-dependent coupling. For instance, activation has also been linked to the GTP-binding of the G$\alpha$i1 protein, which supports the sustained activation of ERK1/2 and has been implicated in the inhibition of prostate cancer cell growth.</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iz0hyt86al1" w:id="27"/>
      <w:bookmarkEnd w:id="27"/>
      <w:r w:rsidDel="00000000" w:rsidR="00000000" w:rsidRPr="00000000">
        <w:rPr>
          <w:b w:val="1"/>
          <w:color w:val="1b1c1d"/>
          <w:sz w:val="22"/>
          <w:szCs w:val="22"/>
          <w:rtl w:val="0"/>
        </w:rPr>
        <w:t xml:space="preserve">4.3.2 Downstream Cascades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GPER1 extensively activates intracellular kinase cascades. It signals through G-protein dependent routes, such as $\text{G}\alpha\text{i}/\text{o}$-mediated stimulation of PI3K or PLC$\beta$.</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Alternatively, $\text{G}\alpha\text{q}$-mediated elevation of intracellular $\text{Ca}^{2+}$ can lead to Pyk2 activation and Ras recruitment.</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GPER1 also utilizes </w:t>
      </w:r>
      <w:r w:rsidDel="00000000" w:rsidR="00000000" w:rsidRPr="00000000">
        <w:rPr>
          <w:b w:val="1"/>
          <w:color w:val="1b1c1d"/>
          <w:rtl w:val="0"/>
        </w:rPr>
        <w:t xml:space="preserve">G protein-independent signaling</w:t>
      </w:r>
      <w:r w:rsidDel="00000000" w:rsidR="00000000" w:rsidRPr="00000000">
        <w:rPr>
          <w:color w:val="1b1c1d"/>
          <w:rtl w:val="0"/>
        </w:rPr>
        <w:t xml:space="preserve"> via the recruitment of $\beta$-arrestin, which acts as a scaffold to activate MAPK enzymes.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mechanism allows GPER1 to compartmentalize and regulate pathways such as ERK1/2 signaling, ensuring spatial and temporal specificity for cellular responses like survival, proliferation, and differentiation.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s4jmikt3z9m" w:id="28"/>
      <w:bookmarkEnd w:id="28"/>
      <w:r w:rsidDel="00000000" w:rsidR="00000000" w:rsidRPr="00000000">
        <w:rPr>
          <w:b w:val="1"/>
          <w:color w:val="1b1c1d"/>
          <w:sz w:val="26"/>
          <w:szCs w:val="26"/>
          <w:rtl w:val="0"/>
        </w:rPr>
        <w:t xml:space="preserve">4.4 Physiological and Pathological Roles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GPER1 mediates estrogenic responses central to cardiovascular and metabolic regulation.</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Its actions have a direct impact on </w:t>
      </w:r>
      <w:r w:rsidDel="00000000" w:rsidR="00000000" w:rsidRPr="00000000">
        <w:rPr>
          <w:b w:val="1"/>
          <w:color w:val="1b1c1d"/>
          <w:rtl w:val="0"/>
        </w:rPr>
        <w:t xml:space="preserve">lipid metabolism</w:t>
      </w:r>
      <w:r w:rsidDel="00000000" w:rsidR="00000000" w:rsidRPr="00000000">
        <w:rPr>
          <w:color w:val="1b1c1d"/>
          <w:rtl w:val="0"/>
        </w:rPr>
        <w:t xml:space="preserve"> and insulin signaling, which are relevant to the generation and aggravation of hypercholesterolemia and Type II diabetes.</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oncology, GPER1 is highly relevant to estrogen-driven malignancies. Its expression is strongly associated with key indicators of disease progression, including tumor size, distant metastases, cancer stem cell activity, and resistance to endocrine therapy.</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Targeting GPER1 is increasingly recognized as a vital component of a holistic strategy for treating these cancers.</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Furthermore, GPER1 modulates inflammation regulated by infiltrating immune cells, with implications for conditions like endometriosis.</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l88h4io5lr4" w:id="29"/>
      <w:bookmarkEnd w:id="29"/>
      <w:r w:rsidDel="00000000" w:rsidR="00000000" w:rsidRPr="00000000">
        <w:rPr>
          <w:b w:val="1"/>
          <w:color w:val="1b1c1d"/>
          <w:sz w:val="34"/>
          <w:szCs w:val="34"/>
          <w:rtl w:val="0"/>
        </w:rPr>
        <w:t xml:space="preserve">Chapter 5: Comparative Analysis and Integrated Molecular Mechanisms (Cross-Cutting Overview)</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grouping of GPR35, TGR5, and GPER1 based on their protein language model embeddings underscores a critical functional relationship: they represent a set of specialized Class A GPCRs optimized for sensing complex lipophilic, cholesterol-derived signals, thereby coupling systemic metabolism and hormone status to rapid cellular responses.</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syo7ok73o9" w:id="30"/>
      <w:bookmarkEnd w:id="30"/>
      <w:r w:rsidDel="00000000" w:rsidR="00000000" w:rsidRPr="00000000">
        <w:rPr>
          <w:b w:val="1"/>
          <w:color w:val="1b1c1d"/>
          <w:sz w:val="26"/>
          <w:szCs w:val="26"/>
          <w:rtl w:val="0"/>
        </w:rPr>
        <w:t xml:space="preserve">5.1 Shared Structural and Sequence Motifs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three receptors share the fundamental </w:t>
      </w:r>
      <w:r w:rsidDel="00000000" w:rsidR="00000000" w:rsidRPr="00000000">
        <w:rPr>
          <w:b w:val="1"/>
          <w:color w:val="1b1c1d"/>
          <w:rtl w:val="0"/>
        </w:rPr>
        <w:t xml:space="preserve">7-transmembrane helical topology</w:t>
      </w:r>
      <w:r w:rsidDel="00000000" w:rsidR="00000000" w:rsidRPr="00000000">
        <w:rPr>
          <w:color w:val="1b1c1d"/>
          <w:rtl w:val="0"/>
        </w:rPr>
        <w:t xml:space="preserve"> characteristic of Class A GPCRs.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computational clustering of these receptors validates that their common functionality stems from a structural architecture capable of accommodating bulky, rigid molecules like steroids, bile acids, or complex lipo-metabolites.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binding sites in GPER1, TGR5, and GPR35 utilize a deep, highly </w:t>
      </w:r>
      <w:r w:rsidDel="00000000" w:rsidR="00000000" w:rsidRPr="00000000">
        <w:rPr>
          <w:b w:val="1"/>
          <w:color w:val="1b1c1d"/>
          <w:rtl w:val="0"/>
        </w:rPr>
        <w:t xml:space="preserve">hydrophobic environment</w:t>
      </w:r>
      <w:r w:rsidDel="00000000" w:rsidR="00000000" w:rsidRPr="00000000">
        <w:rPr>
          <w:color w:val="1b1c1d"/>
          <w:rtl w:val="0"/>
        </w:rPr>
        <w:t xml:space="preserve"> within the TM bundle.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TGR5 binding, in particular, illustrates the principle that these receptors recognize ligands primarily through </w:t>
      </w:r>
      <w:r w:rsidDel="00000000" w:rsidR="00000000" w:rsidRPr="00000000">
        <w:rPr>
          <w:b w:val="1"/>
          <w:color w:val="1b1c1d"/>
          <w:rtl w:val="0"/>
        </w:rPr>
        <w:t xml:space="preserve">steric complementarity</w:t>
      </w:r>
      <w:r w:rsidDel="00000000" w:rsidR="00000000" w:rsidRPr="00000000">
        <w:rPr>
          <w:color w:val="1b1c1d"/>
          <w:rtl w:val="0"/>
        </w:rPr>
        <w:t xml:space="preserve"> and lipophilic profile, suggesting an evolutionary strategy geared towards selecting structurally rigid, cyclic signaling molecules.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conserved design principle is necessary to integrate such structurally similar yet functionally diverse ligands into rapid signaling pathways.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mngz3at842w" w:id="31"/>
      <w:bookmarkEnd w:id="31"/>
      <w:r w:rsidDel="00000000" w:rsidR="00000000" w:rsidRPr="00000000">
        <w:rPr>
          <w:b w:val="1"/>
          <w:color w:val="1b1c1d"/>
          <w:sz w:val="26"/>
          <w:szCs w:val="26"/>
          <w:rtl w:val="0"/>
        </w:rPr>
        <w:t xml:space="preserve">5.2 Convergence in Signaling and Effector Pathways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defining feature of this SB-GPCR cluster is the propensity for </w:t>
      </w:r>
      <w:r w:rsidDel="00000000" w:rsidR="00000000" w:rsidRPr="00000000">
        <w:rPr>
          <w:b w:val="1"/>
          <w:color w:val="1b1c1d"/>
          <w:rtl w:val="0"/>
        </w:rPr>
        <w:t xml:space="preserve">promiscuous and context-dependent G-protein coupling</w:t>
      </w:r>
      <w:r w:rsidDel="00000000" w:rsidR="00000000" w:rsidRPr="00000000">
        <w:rPr>
          <w:color w:val="1b1c1d"/>
          <w:rtl w:val="0"/>
        </w:rPr>
        <w:t xml:space="preserve">. This allows them to generate diverse or even opposing cellular outcomes based on the tissue or environment, maximizing the impact of a single circulating ligand.</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5.406483280499"/>
        <w:gridCol w:w="2331.264955516924"/>
        <w:gridCol w:w="1810.311892831578"/>
        <w:gridCol w:w="1588.9068411903058"/>
        <w:gridCol w:w="1979.6216382043156"/>
        <w:tblGridChange w:id="0">
          <w:tblGrid>
            <w:gridCol w:w="1315.406483280499"/>
            <w:gridCol w:w="2331.264955516924"/>
            <w:gridCol w:w="1810.311892831578"/>
            <w:gridCol w:w="1588.9068411903058"/>
            <w:gridCol w:w="1979.6216382043156"/>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Receptor (Alias)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Canonical Ligand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GPCR Family/Class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Key G-Protein Coupling Profile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Primary Localization</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GPR35 (KYNA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Tryptophan/Serotonin Metabolites (KYNA, 5-HIAA), LPA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Class A Orphan/Atypical Chemokine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G$\alpha$13, G$\alpha$i/o </w:t>
            </w:r>
            <w:r w:rsidDel="00000000" w:rsidR="00000000" w:rsidRPr="00000000">
              <w:rPr>
                <w:color w:val="444746"/>
                <w:sz w:val="40"/>
                <w:szCs w:val="40"/>
                <w:highlight w:val="white"/>
                <w:vertAlign w:val="superscript"/>
                <w:rtl w:val="0"/>
              </w:rPr>
              <w:t xml:space="preserve">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GI Tract (Colon/Small Intestine), Immune Cells, Liver </w:t>
            </w:r>
            <w:r w:rsidDel="00000000" w:rsidR="00000000" w:rsidRPr="00000000">
              <w:rPr>
                <w:color w:val="444746"/>
                <w:sz w:val="40"/>
                <w:szCs w:val="40"/>
                <w:highlight w:val="white"/>
                <w:vertAlign w:val="superscript"/>
                <w:rtl w:val="0"/>
              </w:rPr>
              <w:t xml:space="preserve">3</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TGR5 (GPBAR1)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Bile Acids (BAs)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Class A (Bile Acid Receptor Subclass)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G$\alpha$s and G$\alpha$i (Context-Dependent)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(Nonparenchymal cells), Spleen, Intestine </w:t>
            </w:r>
            <w:r w:rsidDel="00000000" w:rsidR="00000000" w:rsidRPr="00000000">
              <w:rPr>
                <w:color w:val="444746"/>
                <w:sz w:val="40"/>
                <w:szCs w:val="40"/>
                <w:highlight w:val="white"/>
                <w:vertAlign w:val="superscript"/>
                <w:rtl w:val="0"/>
              </w:rPr>
              <w:t xml:space="preserve">2</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GPER1 (GPR30)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Steroid Hormone ($17\beta$-Estradiol)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Class A (Chemokine Receptor Homology)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G$\alpha$s, G$\alpha$i1 (Context Dependent)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Plasma Membrane, Endosome, Cardiovascular Tissues </w:t>
            </w:r>
            <w:r w:rsidDel="00000000" w:rsidR="00000000" w:rsidRPr="00000000">
              <w:rPr>
                <w:color w:val="444746"/>
                <w:sz w:val="40"/>
                <w:szCs w:val="40"/>
                <w:highlight w:val="white"/>
                <w:vertAlign w:val="superscript"/>
                <w:rtl w:val="0"/>
              </w:rPr>
              <w:t xml:space="preserve">9</w:t>
            </w:r>
          </w:p>
        </w:tc>
      </w:tr>
    </w:tbl>
    <w:p w:rsidR="00000000" w:rsidDel="00000000" w:rsidP="00000000" w:rsidRDefault="00000000" w:rsidRPr="00000000" w14:paraId="000000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4f5279m5lxm" w:id="32"/>
      <w:bookmarkEnd w:id="32"/>
      <w:r w:rsidDel="00000000" w:rsidR="00000000" w:rsidRPr="00000000">
        <w:rPr>
          <w:b w:val="1"/>
          <w:color w:val="1b1c1d"/>
          <w:sz w:val="22"/>
          <w:szCs w:val="22"/>
          <w:rtl w:val="0"/>
        </w:rPr>
        <w:t xml:space="preserve">5.2.1 Overlap in Effector Activation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cluster shares significant overlap in downstream signaling:</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MAPK/ERK Activation:</w:t>
      </w:r>
      <w:r w:rsidDel="00000000" w:rsidR="00000000" w:rsidRPr="00000000">
        <w:rPr>
          <w:color w:val="1b1c1d"/>
          <w:rtl w:val="0"/>
        </w:rPr>
        <w:t xml:space="preserve"> All three receptors engage the ERK pathway. GPER1 activates ERK1/2 via both G-protein dependent and $\beta$-arrestin-dependent scaffolds.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TGR5 activation modulates ERK signaling, often linked to $\text{cAMP}$ levels.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GPR35 activation in macrophages involves ERK signaling alongside NF-$\kappa\text{B}$.</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NF-$\kappa\text{B}$ and Inflammation:</w:t>
      </w:r>
      <w:r w:rsidDel="00000000" w:rsidR="00000000" w:rsidRPr="00000000">
        <w:rPr>
          <w:color w:val="1b1c1d"/>
          <w:rtl w:val="0"/>
        </w:rPr>
        <w:t xml:space="preserve"> Both TGR5 and GPR35 are deeply integrated into NF-$\kappa\text{B}$ pathways, reflecting their primary roles in regulating chronic and acute inflammation.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$\beta$-Arrestin Recruitment:</w:t>
      </w:r>
      <w:r w:rsidDel="00000000" w:rsidR="00000000" w:rsidRPr="00000000">
        <w:rPr>
          <w:color w:val="1b1c1d"/>
          <w:rtl w:val="0"/>
        </w:rPr>
        <w:t xml:space="preserve"> Both GPR35 </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and GPER1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rely on $\beta$-arrestin recruitment to mediate G protein-independent signaling and potentially regulate receptor internalization, underscoring their capacity for signal bias.</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0e6j3v3ct0h" w:id="33"/>
      <w:bookmarkEnd w:id="33"/>
      <w:r w:rsidDel="00000000" w:rsidR="00000000" w:rsidRPr="00000000">
        <w:rPr>
          <w:b w:val="1"/>
          <w:color w:val="1b1c1d"/>
          <w:sz w:val="26"/>
          <w:szCs w:val="26"/>
          <w:rtl w:val="0"/>
        </w:rPr>
        <w:t xml:space="preserve">5.3 Common Pathophysiological Themes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functional commonality of GPR35, TGR5, and GPER1 is their collective role as membrane sensors that translate levels of circulating lipophilic metabolites and hormones into rapid signals governing homeostasis. This shared function results in overlapping pathological associations, particularly in conditions driven by metabolic imbalance and chronic inflammation.</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Lipid and Sterol Metabolism Control:</w:t>
      </w:r>
      <w:r w:rsidDel="00000000" w:rsidR="00000000" w:rsidRPr="00000000">
        <w:rPr>
          <w:color w:val="1b1c1d"/>
          <w:rtl w:val="0"/>
        </w:rPr>
        <w:t xml:space="preserve"> This cluster is critically involved in regulating systemic energy balance. GPER1 regulates general lipid metabolism in response to estrogen.</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TGR5 senses bile acid concentrations to regulate glucose and energy expenditure.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GPR35 regulates cholesterol excretion and hepatic bile acid synthesis.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Therefore, dysregulation in any of these receptors contributes directly to complex metabolic disorders such as obesity, MASH, and T2DM.</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Inflammation Modulation:</w:t>
      </w:r>
      <w:r w:rsidDel="00000000" w:rsidR="00000000" w:rsidRPr="00000000">
        <w:rPr>
          <w:color w:val="1b1c1d"/>
          <w:rtl w:val="0"/>
        </w:rPr>
        <w:t xml:space="preserve"> All three receptors demonstrate a nuanced, dual role in inflammation, sometimes acting as pro-inflammatory promoters and other times exhibiting anti-inflammatory or immunosuppressive effects depending on the tissue and cellular context.</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suggests the cluster acts as a homeostatic rheostat for local inflammatory responses, particularly those involving the gastrointestinal tract and liver.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Steroid/Sterol Interactions and Mechanistic Relevance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1.8206260802767"/>
        <w:gridCol w:w="1981.2099097368928"/>
        <w:gridCol w:w="2152.425580948723"/>
        <w:gridCol w:w="1577.6301133090074"/>
        <w:gridCol w:w="2152.425580948723"/>
        <w:tblGridChange w:id="0">
          <w:tblGrid>
            <w:gridCol w:w="1161.8206260802767"/>
            <w:gridCol w:w="1981.2099097368928"/>
            <w:gridCol w:w="2152.425580948723"/>
            <w:gridCol w:w="1577.6301133090074"/>
            <w:gridCol w:w="2152.425580948723"/>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Receptor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Key Steroid/Sterol Ligand(s)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color w:val="1b1c1d"/>
                <w:rtl w:val="0"/>
              </w:rPr>
              <w:t xml:space="preserve">Interaction Mechanism/Domain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Physiological Role of Sterol Interaction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Pathological Relevance</w:t>
            </w:r>
            <w:r w:rsidDel="00000000" w:rsidR="00000000" w:rsidRPr="00000000">
              <w:rPr>
                <w:rtl w:val="0"/>
              </w:rPr>
            </w:r>
          </w:p>
        </w:tc>
      </w:tr>
      <w:tr>
        <w:trPr>
          <w:cantSplit w:val="0"/>
          <w:trHeight w:val="30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GPR35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Cardiotonic Steroids (Ouabain), Cholesterol/Bile Acid Precursors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Indirect modulation via interaction with $\text{Na/K-ATPase}$ $\alpha$1 subunit; Regulation of hepatic CYP gene expression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Modulation of basal Src activity; Regulation of intestinal cholesterol excretion and hepatic bile acid synthesis </w:t>
            </w:r>
            <w:r w:rsidDel="00000000" w:rsidR="00000000" w:rsidRPr="00000000">
              <w:rPr>
                <w:color w:val="444746"/>
                <w:sz w:val="40"/>
                <w:szCs w:val="40"/>
                <w:highlight w:val="white"/>
                <w:vertAlign w:val="superscript"/>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NAFLD/MASH, Metabolic Syndrome, T2DM </w:t>
            </w:r>
            <w:r w:rsidDel="00000000" w:rsidR="00000000" w:rsidRPr="00000000">
              <w:rPr>
                <w:color w:val="444746"/>
                <w:sz w:val="40"/>
                <w:szCs w:val="40"/>
                <w:highlight w:val="white"/>
                <w:vertAlign w:val="superscript"/>
                <w:rtl w:val="0"/>
              </w:rPr>
              <w:t xml:space="preserve">11</w:t>
            </w:r>
          </w:p>
        </w:tc>
      </w:tr>
      <w:tr>
        <w:trPr>
          <w:cantSplit w:val="0"/>
          <w:trHeight w:val="283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TGR5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Lithocholic Acid (LCA), Primary/Secondary Bile Acids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High-affinity binding to hydrophobic LBP within 7TM bundle, requiring specific steric and lipophilic complementarity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Metabolic sensing; Regulation of energy expenditure, glucose homeostasis, and biliary secretion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Cholangiocarcinoma, Cholestatic Liver Diseases </w:t>
            </w:r>
            <w:r w:rsidDel="00000000" w:rsidR="00000000" w:rsidRPr="00000000">
              <w:rPr>
                <w:color w:val="444746"/>
                <w:sz w:val="40"/>
                <w:szCs w:val="40"/>
                <w:highlight w:val="white"/>
                <w:vertAlign w:val="superscript"/>
                <w:rtl w:val="0"/>
              </w:rPr>
              <w:t xml:space="preserve">10</w:t>
            </w:r>
          </w:p>
        </w:tc>
      </w:tr>
      <w:tr>
        <w:trPr>
          <w:cantSplit w:val="0"/>
          <w:trHeight w:val="37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GPER1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Estradiol (E2), Environmental Estrogens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High-affinity binding in the LBP formed by 7TM helices; Induces conformational change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Rapid non-genomic estrogen effects, including vasodilation and $\text{EGFR}$ transactivation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Regulation of lipid metabolism </w:t>
            </w:r>
            <w:r w:rsidDel="00000000" w:rsidR="00000000" w:rsidRPr="00000000">
              <w:rPr>
                <w:color w:val="444746"/>
                <w:sz w:val="40"/>
                <w:szCs w:val="40"/>
                <w:highlight w:val="white"/>
                <w:vertAlign w:val="superscript"/>
                <w:rtl w:val="0"/>
              </w:rPr>
              <w:t xml:space="preserve">27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Breast and Gastric Cancers, Endocrine Resistance, Cardiometabolic Dysfunction </w:t>
            </w:r>
            <w:r w:rsidDel="00000000" w:rsidR="00000000" w:rsidRPr="00000000">
              <w:rPr>
                <w:color w:val="444746"/>
                <w:sz w:val="40"/>
                <w:szCs w:val="40"/>
                <w:highlight w:val="white"/>
                <w:vertAlign w:val="superscript"/>
                <w:rtl w:val="0"/>
              </w:rPr>
              <w:t xml:space="preserve">28</w:t>
            </w:r>
          </w:p>
        </w:tc>
      </w:tr>
    </w:tbl>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Comparative Signaling Crosstalk and Context Dependence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0928950029108"/>
        <w:gridCol w:w="1369.630197003585"/>
        <w:gridCol w:w="2493.429333006526"/>
        <w:gridCol w:w="2036.8859340053314"/>
        <w:gridCol w:w="2013.47345200527"/>
        <w:tblGridChange w:id="0">
          <w:tblGrid>
            <w:gridCol w:w="1112.0928950029108"/>
            <w:gridCol w:w="1369.630197003585"/>
            <w:gridCol w:w="2493.429333006526"/>
            <w:gridCol w:w="2036.8859340053314"/>
            <w:gridCol w:w="2013.47345200527"/>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b w:val="1"/>
                <w:color w:val="1b1c1d"/>
                <w:rtl w:val="0"/>
              </w:rPr>
              <w:t xml:space="preserve">Receptor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b w:val="1"/>
                <w:color w:val="1b1c1d"/>
                <w:rtl w:val="0"/>
              </w:rPr>
              <w:t xml:space="preserve">Primary G-Protein(s) Coupled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color w:val="1b1c1d"/>
                <w:rtl w:val="0"/>
              </w:rPr>
              <w:t xml:space="preserve">Promiscuity/Contextual Switching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b w:val="1"/>
                <w:color w:val="1b1c1d"/>
                <w:rtl w:val="0"/>
              </w:rPr>
              <w:t xml:space="preserve">Key Downstream Kinase/Effector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b w:val="1"/>
                <w:color w:val="1b1c1d"/>
                <w:rtl w:val="0"/>
              </w:rPr>
              <w:t xml:space="preserve">Shared Pathophysiological Theme</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GPR35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G$\alpha$13 (Primary), G$\alpha$i/o </w:t>
            </w:r>
            <w:r w:rsidDel="00000000" w:rsidR="00000000" w:rsidRPr="00000000">
              <w:rPr>
                <w:color w:val="444746"/>
                <w:sz w:val="40"/>
                <w:szCs w:val="40"/>
                <w:highlight w:val="white"/>
                <w:vertAlign w:val="superscript"/>
                <w:rtl w:val="0"/>
              </w:rPr>
              <w:t xml:space="preserve">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Selectivity difference between G$\alpha$12/G$\alpha$13 determined by single residue variation </w:t>
            </w:r>
            <w:r w:rsidDel="00000000" w:rsidR="00000000" w:rsidRPr="00000000">
              <w:rPr>
                <w:color w:val="444746"/>
                <w:sz w:val="40"/>
                <w:szCs w:val="40"/>
                <w:highlight w:val="white"/>
                <w:vertAlign w:val="superscript"/>
                <w:rtl w:val="0"/>
              </w:rPr>
              <w:t xml:space="preserve">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Rho GTPases (via G$\alpha$13), Src (via Na/K-ATPase), NF-$\kappa\text{B}$, ERK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Inflammation (Gut/Immune), Metabolic Stress (Liver) </w:t>
            </w:r>
            <w:r w:rsidDel="00000000" w:rsidR="00000000" w:rsidRPr="00000000">
              <w:rPr>
                <w:color w:val="444746"/>
                <w:sz w:val="40"/>
                <w:szCs w:val="40"/>
                <w:highlight w:val="white"/>
                <w:vertAlign w:val="superscript"/>
                <w:rtl w:val="0"/>
              </w:rPr>
              <w:t xml:space="preserve">3</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TGR5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G$\alpha$s and G$\alpha$i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Switches coupling based on cell type (G$\alpha$s in non-ciliated, G$\alpha$i in ciliated cholangiocytes)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cAMP production, ERK/MAPK, NF-$\kappa\text{B}$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Energy Homeostasis, Glucose Metabolism, Inflammation </w:t>
            </w:r>
            <w:r w:rsidDel="00000000" w:rsidR="00000000" w:rsidRPr="00000000">
              <w:rPr>
                <w:color w:val="444746"/>
                <w:sz w:val="40"/>
                <w:szCs w:val="40"/>
                <w:highlight w:val="white"/>
                <w:vertAlign w:val="superscript"/>
                <w:rtl w:val="0"/>
              </w:rPr>
              <w:t xml:space="preserve">2</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GPER1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G$\alpha$s, G$\alpha$i1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Varied coupling depending on tissue/cell line (G$\alpha$i1 linked to anti-proliferation in prostate cancer)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ERK1/2, EGFR transactivation, PI3K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Non-Genomic Hormonal Action, Cancer, Lipid Metabolism </w:t>
            </w:r>
            <w:r w:rsidDel="00000000" w:rsidR="00000000" w:rsidRPr="00000000">
              <w:rPr>
                <w:color w:val="444746"/>
                <w:sz w:val="40"/>
                <w:szCs w:val="40"/>
                <w:highlight w:val="white"/>
                <w:vertAlign w:val="superscript"/>
                <w:rtl w:val="0"/>
              </w:rPr>
              <w:t xml:space="preserve">27</w:t>
            </w:r>
          </w:p>
        </w:tc>
      </w:tr>
    </w:tbl>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8awkx2sclfu" w:id="34"/>
      <w:bookmarkEnd w:id="34"/>
      <w:r w:rsidDel="00000000" w:rsidR="00000000" w:rsidRPr="00000000">
        <w:rPr>
          <w:b w:val="1"/>
          <w:color w:val="1b1c1d"/>
          <w:sz w:val="34"/>
          <w:szCs w:val="34"/>
          <w:rtl w:val="0"/>
        </w:rPr>
        <w:t xml:space="preserve">Chapter 6: Conclusions and Therapeutic Implications</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nk3xvgk236v" w:id="35"/>
      <w:bookmarkEnd w:id="35"/>
      <w:r w:rsidDel="00000000" w:rsidR="00000000" w:rsidRPr="00000000">
        <w:rPr>
          <w:b w:val="1"/>
          <w:color w:val="1b1c1d"/>
          <w:sz w:val="26"/>
          <w:szCs w:val="26"/>
          <w:rtl w:val="0"/>
        </w:rPr>
        <w:t xml:space="preserve">6.1 Synthesis of Findings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collective analysis of GPR35, TGR5, and GPER1 demonstrates that their inclusion in a protein language model-defined cluster is justified by a deep structural and functional interconnectedness centered on the recognition and transduction of lipophilic, steroid-derived signals. As a group of Class A GPCRs, they provide the non-genomic component of steroid and sterol signaling, offering rapid modulation of cellular processes that complement the slower genomic pathways mediated by nuclear receptors.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Structurally, the receptors share the necessity for a deep, hydrophobic binding pocket within the 7TM bundle, optimized to accommodate rigid, cyclic molecules derived from the cholesterol metabolic pathway. Functionally, they are unified by an inherent signaling flexibility, exhibiting G-protein promiscuity (coupling to G$\alpha$i, G$\alpha$s, or G$\alpha$13) that is often dictated by the specific cellular microenvironment or morphology, allowing systemic signals (like bile acids or estrogen) to generate divergent or localized responses. This molecular flexibility translates into a shared, critical role in managing inflammation, metabolic homeostasis, and proliferation in key organs such as the gut and liver.</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oxlhg9ysof6" w:id="36"/>
      <w:bookmarkEnd w:id="36"/>
      <w:r w:rsidDel="00000000" w:rsidR="00000000" w:rsidRPr="00000000">
        <w:rPr>
          <w:b w:val="1"/>
          <w:color w:val="1b1c1d"/>
          <w:sz w:val="26"/>
          <w:szCs w:val="26"/>
          <w:rtl w:val="0"/>
        </w:rPr>
        <w:t xml:space="preserve">6.2 Challenges and Future Directions in Drug Development</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complex pharmacology of this receptor cluster presents significant challenges for drug discovery. The marked species selectivity observed in GPR35 ligands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necessitates caution when translating pre-clinical models. Moreover, the contextual G-protein switching seen in TGR5 (G$\alpha$s $\leftrightarrow$ G$\alpha$i) [2] requires future pharmacological efforts to focus intensely on developing **biased agonists**. A successful therapeutic agent must be designed to promote only the beneficial coupling pathways (e.g., metabolic regulation) while actively avoiding pro-pathological signals (e.g., G$\alpha$i coupling leading to proliferation in cholangiocarcinoma).</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utility of computational methods, such as PLM clustering, in identifying this functional group based on structural commonality provides a valuable roadmap for future research. This approach validates the strategy of defining receptor families not just by canonical ligand classes, but by shared physicochemical requirements for binding complex lipophilic signals, accelerating the investigation of poorly characterized or orphan receptors like GPR35. Targeting this cluster holds immense potential for treating globally prevalent diseases, including MASH, T2DM, and inflammation-driven cancers.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