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dkjv8d4uhsf2" w:id="0"/>
      <w:bookmarkEnd w:id="0"/>
      <w:r w:rsidDel="00000000" w:rsidR="00000000" w:rsidRPr="00000000">
        <w:rPr>
          <w:b w:val="1"/>
          <w:color w:val="1b1c1d"/>
          <w:sz w:val="46"/>
          <w:szCs w:val="46"/>
          <w:rtl w:val="0"/>
        </w:rPr>
        <w:t xml:space="preserve">Computational Clustering and Mechanistic Analysis of Functionally Divergent Sterol-Interacting Proteins: Glycogen Synthase, Glycophorin-A, and GAA1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9je96kay2jy" w:id="1"/>
      <w:bookmarkEnd w:id="1"/>
      <w:r w:rsidDel="00000000" w:rsidR="00000000" w:rsidRPr="00000000">
        <w:rPr>
          <w:b w:val="1"/>
          <w:color w:val="1b1c1d"/>
          <w:sz w:val="34"/>
          <w:szCs w:val="34"/>
          <w:rtl w:val="0"/>
        </w:rPr>
        <w:t xml:space="preserve">I.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analyzes the biological and biophysical characteristics of three functionally disparate human proteins—Glycogen Synthase (GYS), Glycophorin-A (GPA / CD235a), and Glycosylphosphatidylinositol anchor attachment 1 protein (GAA1)—that have been computationally clustered together based on their protein language model (PLM) embeddings and annotated as steroid-binding proteins.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Glycogen Synthase is a cytosolic enzyme crucial for carbohydrate metabolism.</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Glycophorin-A is an integral membrane protein essential for erythrocyte structure and membrane dynamics.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GAA1 is a polytopic membrane component of the endoplasmic reticulum (ER)-resident GPI transamidase complex, critical for post-translational lipid modification.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Despite their distinct localizations and biological roles, the common annotation highlights their shared dependence on, or modulation by, sterol-like molecules, although the mechanism of interaction is highly heterogeneous: GYS is regulated indirectly via glucocorticoid-mediated signaling cascades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GPA is biophysically modulated by cholesterol in the plasma membrane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and GAA1 requires a specific lipid environment (including phosphatidylinositol precursors) for correct topological stability and activity.</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robust clustering of these proteins within the PLM embedding space, which is known to capture inherent biophysical properties like hydrophobicity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strongly suggests the recognition of a common underlying structural signature. This signature is hypothesized to be a geometrically conserved hydrophobic interaction surface—whether a transmembrane helix surface (GPA, GAA1) or a deep catalytic/allosteric pocket (GYS)—that is designed to accommodate or interact with the complex, non-polar scaffolds characteristic of sterols and their derived molecules. This observation provides computational validation for a shared biophysical constraint that supersedes traditional functional categorization.</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2njl6mvtqjn" w:id="2"/>
      <w:bookmarkEnd w:id="2"/>
      <w:r w:rsidDel="00000000" w:rsidR="00000000" w:rsidRPr="00000000">
        <w:rPr>
          <w:b w:val="1"/>
          <w:color w:val="1b1c1d"/>
          <w:sz w:val="34"/>
          <w:szCs w:val="34"/>
          <w:rtl w:val="0"/>
        </w:rPr>
        <w:t xml:space="preserve">II. General Background and Molecular Architecture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three proteins under investigation represent distinct domains of cellular biology, necessitating a clear understanding of their fundamental architecture and function to appreciate the significance of their computational grouping.</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5ckkflafsxk" w:id="3"/>
      <w:bookmarkEnd w:id="3"/>
      <w:r w:rsidDel="00000000" w:rsidR="00000000" w:rsidRPr="00000000">
        <w:rPr>
          <w:b w:val="1"/>
          <w:color w:val="1b1c1d"/>
          <w:sz w:val="26"/>
          <w:szCs w:val="26"/>
          <w:rtl w:val="0"/>
        </w:rPr>
        <w:t xml:space="preserve">A. Glycogen Synthase (GYS): Glycogen Metabolism and Allosteric Regulation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Glycogen Synthase (GYS), primarily GYS1 in muscle and liver, is the rate-limiting enzyme in glycogen biosynthesis.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Its function involves extending the glucan primer initiated by glycogenin (GYG1) by catalyzing the transfer of a glycosyl residue from UDP-Glucose (UDP-Glc) to the non-reducing end of the $\alpha$-1,4-glucan chain.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49kzr3mnyks" w:id="4"/>
      <w:bookmarkEnd w:id="4"/>
      <w:r w:rsidDel="00000000" w:rsidR="00000000" w:rsidRPr="00000000">
        <w:rPr>
          <w:b w:val="1"/>
          <w:color w:val="1b1c1d"/>
          <w:sz w:val="22"/>
          <w:szCs w:val="22"/>
          <w:rtl w:val="0"/>
        </w:rPr>
        <w:t xml:space="preserve">Molecular Structure and Family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GYS belongs to the Glycosyltransferase (GT) families GT3 and GT5, which are characteristic of GTs that retain the anomeric stereochemistry during catalysis.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Structural analysis reveals that GYS possesses a GT-B fold, characterized by two distinct $\beta/\alpha/\beta$ Rossmann fold-type domains.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catalytic site is located at the interface of these N-terminal and C-terminal domains, forming a comparatively wide catalytic cleft.</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GYS does not function solely as a monomer; it is known to operate as part of a heterooctameric complex (GYS1 tetramer and two GYG1 dimers), where GYS1 protomers bind to the C-terminus of the GYG1 subunits.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association links GYS directly to the specialized initiator protein, glycogenin.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Although cytosolic, this association with the burgeoning, covalently-attached glycogen polymer provides a localized interface required for binding and extending a large, complex molecule.</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r362ahwv89k" w:id="5"/>
      <w:bookmarkEnd w:id="5"/>
      <w:r w:rsidDel="00000000" w:rsidR="00000000" w:rsidRPr="00000000">
        <w:rPr>
          <w:b w:val="1"/>
          <w:color w:val="1b1c1d"/>
          <w:sz w:val="22"/>
          <w:szCs w:val="22"/>
          <w:rtl w:val="0"/>
        </w:rPr>
        <w:t xml:space="preserve">Regulation and Localization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GYS is tightly regulated through multisite phosphorylation, which converts the highly active, unphosphorylated form (GSa) to the phosphorylated, less active form (GSb).</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Key phosphorylation sites are located in clusters at both the N- and C-termini.</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Beyond phosphorylation, GYS activity is critically controlled by allosteric activation, most notably by Glucose 6-Phosphate (G6P).</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enzyme’s activity is inherently linked to pathways governing glucose homeostasis, which are themselves highly sensitive to systemic hormonal and metabolic cues.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guoxwu1aw4t" w:id="6"/>
      <w:bookmarkEnd w:id="6"/>
      <w:r w:rsidDel="00000000" w:rsidR="00000000" w:rsidRPr="00000000">
        <w:rPr>
          <w:b w:val="1"/>
          <w:color w:val="1b1c1d"/>
          <w:sz w:val="26"/>
          <w:szCs w:val="26"/>
          <w:rtl w:val="0"/>
        </w:rPr>
        <w:t xml:space="preserve">B. Glycophorin-A (GPA / CD235a): Erythrocyte Structure and Membrane Dynamics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Glycophorin-A (GPA), also known as PAS-2 or Sialoglycoprotein alpha, is the major intrinsic sialoglycoprotein of the human erythrocyte membrane, defining the M/N blood group receptors.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0kq6e3w1aru" w:id="7"/>
      <w:bookmarkEnd w:id="7"/>
      <w:r w:rsidDel="00000000" w:rsidR="00000000" w:rsidRPr="00000000">
        <w:rPr>
          <w:b w:val="1"/>
          <w:color w:val="1b1c1d"/>
          <w:sz w:val="22"/>
          <w:szCs w:val="22"/>
          <w:rtl w:val="0"/>
        </w:rPr>
        <w:t xml:space="preserve">Structural Organization and Critical Roles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GPA is a bitopic (single-pass) membrane protein.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Structurally, it consists of three domains: a heavily O-glycosylated N-terminal segment, which resides outside the erythrocyte membrane and is rich in sialic acid residues; a single hydrophobic transmembrane (TM) helix; and a short C-terminal cytoplasmic tail.</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Its primary biological relevance extends beyond antigen presentation; GPA is a crucial chaperone, required for the proper translocation and high activity of the major anion exchanger, SLC4A1 (Band 3).</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Furthermore, the sialic acid residues on its N-terminal domain serve as critical receptors for various pathogens, including Hepatitis A virus and </w:t>
      </w:r>
      <w:r w:rsidDel="00000000" w:rsidR="00000000" w:rsidRPr="00000000">
        <w:rPr>
          <w:i w:val="1"/>
          <w:color w:val="1b1c1d"/>
          <w:rtl w:val="0"/>
        </w:rPr>
        <w:t xml:space="preserve">P. falciparum</w:t>
      </w:r>
      <w:r w:rsidDel="00000000" w:rsidR="00000000" w:rsidRPr="00000000">
        <w:rPr>
          <w:color w:val="1b1c1d"/>
          <w:rtl w:val="0"/>
        </w:rPr>
        <w:t xml:space="preserve"> erythrocyte-binding antigen 175 (EBA-175).</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function of GPA is intrinsically linked to the dynamics of the lipid bilayer, particularly the dimerization of its transmembrane $\alpha$-helices, which is a major determinant of its physiological role.</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b7h1ukb78h3" w:id="8"/>
      <w:bookmarkEnd w:id="8"/>
      <w:r w:rsidDel="00000000" w:rsidR="00000000" w:rsidRPr="00000000">
        <w:rPr>
          <w:b w:val="1"/>
          <w:color w:val="1b1c1d"/>
          <w:sz w:val="26"/>
          <w:szCs w:val="26"/>
          <w:rtl w:val="0"/>
        </w:rPr>
        <w:t xml:space="preserve">C. Glycosylphosphatidylinositol anchor attachment 1 protein (GAA1): ER Transamidase Component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GAA1 (hGAA1) is an essential component of the Glycosylphosphatidylinositol-anchor (GPI-anchor) Transamidase (GPI-T) complex, which resides in the endoplasmic reticulum (ER) membrane.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aab77f1iru1" w:id="9"/>
      <w:bookmarkEnd w:id="9"/>
      <w:r w:rsidDel="00000000" w:rsidR="00000000" w:rsidRPr="00000000">
        <w:rPr>
          <w:b w:val="1"/>
          <w:color w:val="1b1c1d"/>
          <w:sz w:val="22"/>
          <w:szCs w:val="22"/>
          <w:rtl w:val="0"/>
        </w:rPr>
        <w:t xml:space="preserve">Function and Complex Formation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GPI-T complex is responsible for the final, critical post-translational modification step wherein a pre-assembled GPI anchor (a complex glycolipid synthesized from phosphatidylinositol) is covalently linked to the C-terminus of a precursor protein.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GAA1 is necessary for this transamidation reaction, specifically aiding in the formation of the carbonyl intermediate, an essential prerequisite where the substrate protein becomes covalently attached to the catalytic subunit, GPI8.</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GAA1 binds the GPI-anchor precursor itself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and is known to associate with other GPI-T components, including GPI8, PIG-T, and PIG-S.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3yvgfb7v2ao" w:id="10"/>
      <w:bookmarkEnd w:id="10"/>
      <w:r w:rsidDel="00000000" w:rsidR="00000000" w:rsidRPr="00000000">
        <w:rPr>
          <w:b w:val="1"/>
          <w:color w:val="1b1c1d"/>
          <w:sz w:val="22"/>
          <w:szCs w:val="22"/>
          <w:rtl w:val="0"/>
        </w:rPr>
        <w:t xml:space="preserve">Structural Topology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GAA1 is a polytopic membrane protein, containing multiple transmembrane regions.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Topological studies predict that both the N- and C-termini of GAA1 are situated on the cytoplasmic side of the ER membrane.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A large domain of GAA1 is exposed to the ER lumen, reflecting its role in interacting with the protein substrate and presenting the GPI anchor precursor.</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complexity of its membrane insertion makes its correct folding and orientation highly sensitive to the surrounding lipid environment.</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summarizes the fundamental differences in function, localization, and interaction type for these three proteins, establishing the context for the subsequent analysis of their common computational grouping.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Molecular and Functional Summary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8790312680849"/>
        <w:gridCol w:w="1266.3858443084373"/>
        <w:gridCol w:w="1758.8692282061627"/>
        <w:gridCol w:w="1668.4130964698456"/>
        <w:gridCol w:w="2050.338986023184"/>
        <w:gridCol w:w="1115.625624747909"/>
        <w:tblGridChange w:id="0">
          <w:tblGrid>
            <w:gridCol w:w="1165.8790312680849"/>
            <w:gridCol w:w="1266.3858443084373"/>
            <w:gridCol w:w="1758.8692282061627"/>
            <w:gridCol w:w="1668.4130964698456"/>
            <w:gridCol w:w="2050.338986023184"/>
            <w:gridCol w:w="1115.625624747909"/>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Protein (Alias)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Cellular/Subcellular 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Structural Family/Key Motif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Primary Steroid/Sterol Interaction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Supporting Data</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Glycogen Synthase (GYS)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Glycogen synthesis ($\alpha$-1,4 linkage formation)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Cytosol, Glycogen Granule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Glycosyltransferase (GT-B fold), Rossmann-like domains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Indirect (Signal Transduction/Regulation)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444746"/>
                <w:sz w:val="40"/>
                <w:szCs w:val="40"/>
                <w:highlight w:val="white"/>
                <w:vertAlign w:val="superscript"/>
                <w:rtl w:val="0"/>
              </w:rPr>
              <w:t xml:space="preserve">1</w:t>
            </w:r>
            <w:r w:rsidDel="00000000" w:rsidR="00000000" w:rsidRPr="00000000">
              <w:rPr>
                <w:rtl w:val="0"/>
              </w:rPr>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Glycophorin-A (GPA, CD235a)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Erythrocyte membrane structure, SLC4A1 chaperone, Blood Group Antigen (MN)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Erythrocyte Plasma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Bitopic Membrane Protein, single TM helix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Direct/Biophysical (Membrane organization/Lipid Rafts)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r>
        <w:trPr>
          <w:cantSplit w:val="0"/>
          <w:trHeight w:val="247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GAA1 (GPI anchor attachment 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Component of GPI Transamidase Complex, essential for carbonyl intermediate formation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Endoplasmic Reticulum (ER)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Polytopic Membrane Protein, multiple TM regions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Contextual/Lipid Environment (Topological stability, substrate presentation)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bl>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7vjkqfknoju" w:id="11"/>
      <w:bookmarkEnd w:id="11"/>
      <w:r w:rsidDel="00000000" w:rsidR="00000000" w:rsidRPr="00000000">
        <w:rPr>
          <w:b w:val="1"/>
          <w:color w:val="1b1c1d"/>
          <w:sz w:val="34"/>
          <w:szCs w:val="34"/>
          <w:rtl w:val="0"/>
        </w:rPr>
        <w:t xml:space="preserve">III. Steroid and Sterol Interaction Mechanisms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annotation of these proteins as steroid-binding, which underpins their clustering by PLM embeddings, is mechanistically diverse, encompassing endocrine regulation, biophysical modulation, and strict reliance on lipid precursors.</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ohzpakuafz6" w:id="12"/>
      <w:bookmarkEnd w:id="12"/>
      <w:r w:rsidDel="00000000" w:rsidR="00000000" w:rsidRPr="00000000">
        <w:rPr>
          <w:b w:val="1"/>
          <w:color w:val="1b1c1d"/>
          <w:sz w:val="26"/>
          <w:szCs w:val="26"/>
          <w:rtl w:val="0"/>
        </w:rPr>
        <w:t xml:space="preserve">A. Glycogen Synthase (GYS) and Glucocorticoid Signaling</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GYS does not exhibit direct, constitutive steroid binding in the manner of nuclear receptors. Instead, its activity is profoundly regulated by systemic steroid hormones, particularly </w:t>
      </w:r>
      <w:r w:rsidDel="00000000" w:rsidR="00000000" w:rsidRPr="00000000">
        <w:rPr>
          <w:b w:val="1"/>
          <w:color w:val="1b1c1d"/>
          <w:rtl w:val="0"/>
        </w:rPr>
        <w:t xml:space="preserve">Glucocorticoids (GCs)</w:t>
      </w:r>
      <w:r w:rsidDel="00000000" w:rsidR="00000000" w:rsidRPr="00000000">
        <w:rPr>
          <w:color w:val="1b1c1d"/>
          <w:rtl w:val="0"/>
        </w:rPr>
        <w:t xml:space="preserve"> such as Cortisol.</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zvhtkhfncx9" w:id="13"/>
      <w:bookmarkEnd w:id="13"/>
      <w:r w:rsidDel="00000000" w:rsidR="00000000" w:rsidRPr="00000000">
        <w:rPr>
          <w:b w:val="1"/>
          <w:color w:val="1b1c1d"/>
          <w:sz w:val="22"/>
          <w:szCs w:val="22"/>
          <w:rtl w:val="0"/>
        </w:rPr>
        <w:t xml:space="preserve">Mechanism of Interaction: Remote Regulation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interaction is mediated through regulatory cascades initiated when GCs bind to the Glucocorticoid Receptor (GR), a nuclear receptor.</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cascade ultimately impacts GYS activity through key metabolic sensors. For instance, GCs can increase the activity of AMP-activated protein kinase (AMPK).</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heightened AMPK activity simultaneously induces glycogen synthase and reduces glycogen phosphorylase, thereby tilting the metabolic balance toward glucose storage.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yyh5byzthla" w:id="14"/>
      <w:bookmarkEnd w:id="14"/>
      <w:r w:rsidDel="00000000" w:rsidR="00000000" w:rsidRPr="00000000">
        <w:rPr>
          <w:b w:val="1"/>
          <w:color w:val="1b1c1d"/>
          <w:sz w:val="22"/>
          <w:szCs w:val="22"/>
          <w:rtl w:val="0"/>
        </w:rPr>
        <w:t xml:space="preserve">Physiological and Pathological Context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GC-induced pathway results in the augmentation of glycogen content, particularly noticeable in tissues such as cardiac muscle.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However, GYS regulation is complex and can be locally suppressed; for example, GCs inhibit norepinephrine-induced glycogen synthesis in astrocytes.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linkage confirms that GYS, while cytosolic, is subject to intense, indirect control by steroids via endocrine and metabolic pathways. Furthermore, GYS function is integrated with insulin signaling (via Akt activation and GSK repression)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placing it at the nexus of glucose, energy, and stress hormone (GC) metabolism.</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czy5ycjmpl3" w:id="15"/>
      <w:bookmarkEnd w:id="15"/>
      <w:r w:rsidDel="00000000" w:rsidR="00000000" w:rsidRPr="00000000">
        <w:rPr>
          <w:b w:val="1"/>
          <w:color w:val="1b1c1d"/>
          <w:sz w:val="26"/>
          <w:szCs w:val="26"/>
          <w:rtl w:val="0"/>
        </w:rPr>
        <w:t xml:space="preserve">B. Glycophorin-A (GPA) and Cholesterol/Sterol Modulation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GPA's interaction with the sterol system centers on its association with </w:t>
      </w:r>
      <w:r w:rsidDel="00000000" w:rsidR="00000000" w:rsidRPr="00000000">
        <w:rPr>
          <w:b w:val="1"/>
          <w:color w:val="1b1c1d"/>
          <w:rtl w:val="0"/>
        </w:rPr>
        <w:t xml:space="preserve">Cholesterol</w:t>
      </w:r>
      <w:r w:rsidDel="00000000" w:rsidR="00000000" w:rsidRPr="00000000">
        <w:rPr>
          <w:color w:val="1b1c1d"/>
          <w:rtl w:val="0"/>
        </w:rPr>
        <w:t xml:space="preserve">, a vital structural sterol present in high concentrations within the erythrocyte membrane.</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wynxuyp498q" w:id="16"/>
      <w:bookmarkEnd w:id="16"/>
      <w:r w:rsidDel="00000000" w:rsidR="00000000" w:rsidRPr="00000000">
        <w:rPr>
          <w:b w:val="1"/>
          <w:color w:val="1b1c1d"/>
          <w:sz w:val="22"/>
          <w:szCs w:val="22"/>
          <w:rtl w:val="0"/>
        </w:rPr>
        <w:t xml:space="preserve">Mechanism of Interaction: Biophysical Modulation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is a key determinant of membrane fluidity and the organization of microdomains, such as lipid rafts. Studies demonstrate that cholesterol significantly influences the physical behavior of GPA and its associated partners.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Cholesterol slows the lateral mobility of both lipids and proteins in the membrane, which, in turn, reduces the binding kinetics between GPA and the major anion exchanger, Band 3 (SLC4A1).</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manifestation of GPA, which relies on the oligomerization (dimerization) of its transmembrane $\alpha$-helices </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is thus fundamentally dependent on the sterol concentration in the surrounding lipid bilayer. The GPA transmembrane domain represents a specific hydrophobic interaction surface where sterol molecules exert biophysical control over protein complex stability and lateral movement.</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oz2g08o25pc" w:id="17"/>
      <w:bookmarkEnd w:id="17"/>
      <w:r w:rsidDel="00000000" w:rsidR="00000000" w:rsidRPr="00000000">
        <w:rPr>
          <w:b w:val="1"/>
          <w:color w:val="1b1c1d"/>
          <w:sz w:val="26"/>
          <w:szCs w:val="26"/>
          <w:rtl w:val="0"/>
        </w:rPr>
        <w:t xml:space="preserve">C. GAA1 and Membrane Lipid/Sterol Environment Dependency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GAA1’s relationship with sterols is defined by its role in processing glycolipids and its stringent requirement for a specific membrane environment for proper topology.</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7z7winpj4k3" w:id="18"/>
      <w:bookmarkEnd w:id="18"/>
      <w:r w:rsidDel="00000000" w:rsidR="00000000" w:rsidRPr="00000000">
        <w:rPr>
          <w:b w:val="1"/>
          <w:color w:val="1b1c1d"/>
          <w:sz w:val="22"/>
          <w:szCs w:val="22"/>
          <w:rtl w:val="0"/>
        </w:rPr>
        <w:t xml:space="preserve">Mechanism of Interaction: Environmental and Substrate Dependence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GAA1 binds the assembled </w:t>
      </w:r>
      <w:r w:rsidDel="00000000" w:rsidR="00000000" w:rsidRPr="00000000">
        <w:rPr>
          <w:b w:val="1"/>
          <w:color w:val="1b1c1d"/>
          <w:rtl w:val="0"/>
        </w:rPr>
        <w:t xml:space="preserve">GPI-anchor precursor</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 complex glycolipid built upon </w:t>
      </w:r>
      <w:r w:rsidDel="00000000" w:rsidR="00000000" w:rsidRPr="00000000">
        <w:rPr>
          <w:b w:val="1"/>
          <w:color w:val="1b1c1d"/>
          <w:rtl w:val="0"/>
        </w:rPr>
        <w:t xml:space="preserve">Phosphatidylinositol (PI)</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PI is the core lipid component anchoring the entire structure to the membrane, placing GAA1 directly in the pathway of lipid modification.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More profoundly, GAA1, as a polytopic ER membrane protein, requires a precise lipid environment for its assembly and correct orientation. The protein’s multiple transmembrane domains and overall topological organization are stabilized by the surrounding phospholipid composition.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Specifically, the presence of phosphatidylethanolamine (PE) is critical for modulating membrane surface charge density, ensuring the correct orientation of transmembrane helices, and adherence to the "positive-inside rule".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environmental sensitivity to charge and hydrophobicity implies that the sequence features of GAA1 are highly constrained to interface correctly with the lipid bilayer, which is inherently sterol-rich and regulated by sterol biosynthesis machinery (e.g., SREBPs).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Therefore, GAA1's structural integrity and function are entirely dependent on the specific chemical and physical properties imparted by the membrane lipid/sterol environment.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heterogeneous nature of the "steroid interaction" across the three proteins is detailed below:</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Mechanistic Detail of Steroid/Sterol Interaction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6.6917019987887"/>
        <w:gridCol w:w="1848.494245911569"/>
        <w:gridCol w:w="1527.394306480921"/>
        <w:gridCol w:w="1978.6698970321022"/>
        <w:gridCol w:w="1700.961841308298"/>
        <w:gridCol w:w="963.2998182919443"/>
        <w:tblGridChange w:id="0">
          <w:tblGrid>
            <w:gridCol w:w="1006.6917019987887"/>
            <w:gridCol w:w="1848.494245911569"/>
            <w:gridCol w:w="1527.394306480921"/>
            <w:gridCol w:w="1978.6698970321022"/>
            <w:gridCol w:w="1700.961841308298"/>
            <w:gridCol w:w="963.2998182919443"/>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Specific Sterol/Steroid Partner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Mechanism/Domain Involved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Physiological/Pathological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Core Mechanistic Insight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Supporting Data</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Glycogen Synthase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Glucocorticoids (e.g., Cortisol)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Indirectly via AMPK/Akt signaling cascade; involves allosteric pocket recognition by regulatory kinases.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Augments glycogen storage in muscle/liver; links energy metabolism to stress/endocrine signaling.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Regulation is </w:t>
            </w:r>
            <w:r w:rsidDel="00000000" w:rsidR="00000000" w:rsidRPr="00000000">
              <w:rPr>
                <w:i w:val="1"/>
                <w:color w:val="1b1c1d"/>
                <w:rtl w:val="0"/>
              </w:rPr>
              <w:t xml:space="preserve">remote</w:t>
            </w:r>
            <w:r w:rsidDel="00000000" w:rsidR="00000000" w:rsidRPr="00000000">
              <w:rPr>
                <w:color w:val="1b1c1d"/>
                <w:rtl w:val="0"/>
              </w:rPr>
              <w:t xml:space="preserve"> (signal transduction).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444746"/>
                <w:sz w:val="40"/>
                <w:szCs w:val="40"/>
                <w:highlight w:val="white"/>
                <w:vertAlign w:val="superscript"/>
                <w:rtl w:val="0"/>
              </w:rPr>
              <w:t xml:space="preserve">4</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Glycophorin-A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Cholesterol (Sterol-like)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Transmembrane (TM) domain dimerization interface; interaction affects lateral mobility in lipid rafts.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Modulates interaction kinetics with Band 3 (SLC4A1); maintains erythrocyte membrane stability.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Interaction is </w:t>
            </w:r>
            <w:r w:rsidDel="00000000" w:rsidR="00000000" w:rsidRPr="00000000">
              <w:rPr>
                <w:i w:val="1"/>
                <w:color w:val="1b1c1d"/>
                <w:rtl w:val="0"/>
              </w:rPr>
              <w:t xml:space="preserve">biophysical</w:t>
            </w:r>
            <w:r w:rsidDel="00000000" w:rsidR="00000000" w:rsidRPr="00000000">
              <w:rPr>
                <w:color w:val="1b1c1d"/>
                <w:rtl w:val="0"/>
              </w:rPr>
              <w:t xml:space="preserve"> (membrane dynamics).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444746"/>
                <w:sz w:val="40"/>
                <w:szCs w:val="40"/>
                <w:highlight w:val="white"/>
                <w:vertAlign w:val="superscript"/>
                <w:rtl w:val="0"/>
              </w:rPr>
              <w:t xml:space="preserve">5</w:t>
            </w:r>
            <w:r w:rsidDel="00000000" w:rsidR="00000000" w:rsidRPr="00000000">
              <w:rPr>
                <w:rtl w:val="0"/>
              </w:rPr>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GAA1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Phosphatidylinositol (GPI precursor), Phosphatidylethanolamine (PE)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Multiple Transmembrane domains; critical reliance on specific ER lipid composition for correct topology/orientation.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Essential for GPI-T complex activity; ensures cell surface display of GPI-anchored proteins.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Dependence is </w:t>
            </w:r>
            <w:r w:rsidDel="00000000" w:rsidR="00000000" w:rsidRPr="00000000">
              <w:rPr>
                <w:i w:val="1"/>
                <w:color w:val="1b1c1d"/>
                <w:rtl w:val="0"/>
              </w:rPr>
              <w:t xml:space="preserve">environmental/structural</w:t>
            </w:r>
            <w:r w:rsidDel="00000000" w:rsidR="00000000" w:rsidRPr="00000000">
              <w:rPr>
                <w:color w:val="1b1c1d"/>
                <w:rtl w:val="0"/>
              </w:rPr>
              <w:t xml:space="preserve"> (lipid chemistry).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444746"/>
                <w:sz w:val="40"/>
                <w:szCs w:val="40"/>
                <w:highlight w:val="white"/>
                <w:vertAlign w:val="superscript"/>
                <w:rtl w:val="0"/>
              </w:rPr>
              <w:t xml:space="preserve">6</w:t>
            </w:r>
            <w:r w:rsidDel="00000000" w:rsidR="00000000" w:rsidRPr="00000000">
              <w:rPr>
                <w:rtl w:val="0"/>
              </w:rPr>
            </w:r>
          </w:p>
        </w:tc>
      </w:tr>
    </w:tbl>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aefupwrzn1s" w:id="19"/>
      <w:bookmarkEnd w:id="19"/>
      <w:r w:rsidDel="00000000" w:rsidR="00000000" w:rsidRPr="00000000">
        <w:rPr>
          <w:b w:val="1"/>
          <w:color w:val="1b1c1d"/>
          <w:sz w:val="34"/>
          <w:szCs w:val="34"/>
          <w:rtl w:val="0"/>
        </w:rPr>
        <w:t xml:space="preserve">IV. Cross-Cutting Analysis: Rationale for Protein Language Model Clustering</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compelling aspect of this protein set is its computational unification by Protein Language Models (PLMs). Given the profound functional differences (metabolism, membrane structure, ER modification), the clustering must stem from a convergence of underlying biophysical properties captured by the sequence embeddings.</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a60rgofm86d" w:id="20"/>
      <w:bookmarkEnd w:id="20"/>
      <w:r w:rsidDel="00000000" w:rsidR="00000000" w:rsidRPr="00000000">
        <w:rPr>
          <w:b w:val="1"/>
          <w:color w:val="1b1c1d"/>
          <w:sz w:val="26"/>
          <w:szCs w:val="26"/>
          <w:rtl w:val="0"/>
        </w:rPr>
        <w:t xml:space="preserve">A. Feature Extraction in Protein Language Models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PLMs process protein sequences analogous to natural language models, deriving high-dimensional embeddings that encode predictive information regarding structure and function.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Critically, these embeddings have been demonstrated to track fundamental biophysical features of the amino acid sequences. Analysis of sequence 3-grams shows that PLMs successfully cluster residues based on properties like hydrophobicity and isoelectric point.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Furthermore, they specifically identify sequence patterns that correspond to "hydrophobic sticker" regions, which are essential determinants for phase separation and complex assembly.</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clustering of GYS, GPA, and GAA1, despite their non-homologous functions and disparate cellular compartments, implies that the PLM has detected a shared geometrical or chemical constraint related to the recognition and interaction with a large, complex, hydrophobic scaffold. This finding suggests a </w:t>
      </w:r>
      <w:r w:rsidDel="00000000" w:rsidR="00000000" w:rsidRPr="00000000">
        <w:rPr>
          <w:b w:val="1"/>
          <w:color w:val="1b1c1d"/>
          <w:rtl w:val="0"/>
        </w:rPr>
        <w:t xml:space="preserve">biophysical homology</w:t>
      </w:r>
      <w:r w:rsidDel="00000000" w:rsidR="00000000" w:rsidRPr="00000000">
        <w:rPr>
          <w:color w:val="1b1c1d"/>
          <w:rtl w:val="0"/>
        </w:rPr>
        <w:t xml:space="preserve"> that traditional sequence alignment fails to reveal.</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j98r5r7lak8" w:id="21"/>
      <w:bookmarkEnd w:id="21"/>
      <w:r w:rsidDel="00000000" w:rsidR="00000000" w:rsidRPr="00000000">
        <w:rPr>
          <w:b w:val="1"/>
          <w:color w:val="1b1c1d"/>
          <w:sz w:val="26"/>
          <w:szCs w:val="26"/>
          <w:rtl w:val="0"/>
        </w:rPr>
        <w:t xml:space="preserve">B. Convergence in Hydrophobic Interaction Surfaces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rationalizes the convergence upon a conserved structural motif necessary for lipid or sterol recognition:</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5co0fcwulh1" w:id="22"/>
      <w:bookmarkEnd w:id="22"/>
      <w:r w:rsidDel="00000000" w:rsidR="00000000" w:rsidRPr="00000000">
        <w:rPr>
          <w:b w:val="1"/>
          <w:color w:val="1b1c1d"/>
          <w:sz w:val="22"/>
          <w:szCs w:val="22"/>
          <w:rtl w:val="0"/>
        </w:rPr>
        <w:t xml:space="preserve">1. GPA and GAA1: Membrane Hydrophobic Anchors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both GPA and GAA1, the clustering signature is clearly tied to their requirement for membrane integration and stability. GPA relies on a single, highly constrained, hydrophobic transmembrane helix for its dimerization and interaction with the surrounding lipid environment, which is rich in cholesterol.</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GAA1 possesses a far more complex structure, featuring multiple transmembrane regions that dictate its complex polytopic topology within the ER.</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sequence patterns encoding these transmembrane domains (TMs) are designed to satisfy the strict biophysical requirements of the lipid bilayer, particularly interfacing with the hydrophobic core and maintaining specific charge balances at the membrane interface.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PLM effectively recognizes the shared sequence constraints necessary to construct a stable membrane-spanning domain that interacts tightly with the hydrophobic sterol scaffold, whether that sterol is cholesterol (GPA) or the PI component of the GPI anchor (GAA1).</w:t>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672rvv55sgr" w:id="23"/>
      <w:bookmarkEnd w:id="23"/>
      <w:r w:rsidDel="00000000" w:rsidR="00000000" w:rsidRPr="00000000">
        <w:rPr>
          <w:b w:val="1"/>
          <w:color w:val="1b1c1d"/>
          <w:sz w:val="22"/>
          <w:szCs w:val="22"/>
          <w:rtl w:val="0"/>
        </w:rPr>
        <w:t xml:space="preserve">2. Glycogen Synthase: The Non-Membrane Bridge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the cytosolic GYS with two integral membrane proteins poses a unique challenge. Since GYS lacks transmembrane domains, its shared signature must reside in its water-soluble architecture.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most probable candidates for this conserved hydrophobic signature within GYS are:</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Catalytic/Allosteric Cleft:</w:t>
      </w:r>
      <w:r w:rsidDel="00000000" w:rsidR="00000000" w:rsidRPr="00000000">
        <w:rPr>
          <w:color w:val="1b1c1d"/>
          <w:rtl w:val="0"/>
        </w:rPr>
        <w:t xml:space="preserve"> GYS possesses a wide catalytic cleft situated between its two Rossmann-fold domains.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cleft must accommodate the large UDP moiety of the UDP-Glc substrate and/or the numerous hydrophobic allosteric activators and regulatory kinases. The geometric configuration and amino acid composition required to bind these large, complex molecules may mimic the pocket structure required to accommodate a sterol or a lipid-derived moiety.</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Glycogenin (GYG1) Interface:</w:t>
      </w:r>
      <w:r w:rsidDel="00000000" w:rsidR="00000000" w:rsidRPr="00000000">
        <w:rPr>
          <w:color w:val="1b1c1d"/>
          <w:rtl w:val="0"/>
        </w:rPr>
        <w:t xml:space="preserve"> GYS binds robustly to Glycogenin, which is covalently attached to the nascent, hydrophobic glycogen particle.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sequence defining the binding interface between GYS and the GYG1-glycogen complex must be highly adapted for interacting with this large, semi-crystalline, and structurally constrained hydrophobic polymer.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PLM, by encoding sequence properties like hydrophobicity and residue organization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recognizes that the sequence pattern that builds the hydrophobic interaction surface in the GYS allosteric/catalytic site is structurally analogous to the sequence pattern that builds the sterol-interacting membrane surfaces of GPA and GAA1.</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likm0w6xmxh" w:id="24"/>
      <w:bookmarkEnd w:id="24"/>
      <w:r w:rsidDel="00000000" w:rsidR="00000000" w:rsidRPr="00000000">
        <w:rPr>
          <w:b w:val="1"/>
          <w:color w:val="1b1c1d"/>
          <w:sz w:val="26"/>
          <w:szCs w:val="26"/>
          <w:rtl w:val="0"/>
        </w:rPr>
        <w:t xml:space="preserve">C. Thematic Unification: Hydrophobic Scaffold Recognition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convergence of these three proteins hinges on their shared requirement to interface with or respond to complex, non-polar scaffolds: GYS with bulky glycogen/regulatory factors; GPA with cholesterol; and GAA1 with glycolipid precursors (PI-based GPI anchor).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PLM successfully detects the biophysical commonality inherent in the amino acid patterns necessary to construct these structurally specific hydrophobic interaction environments. This detection demonstrates that the PLM is sensitive to the sequence constraints that determine protein folding and geometry optimized for engaging sterol-like molecules. This cross-cutting analysis validates the annotation and provides a profound structural explanation for the computational finding, shifting the definition of "steroid-binding" from a singular functional role to a shared biophysical structural property.</w:t>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j26tgp104zp" w:id="25"/>
      <w:bookmarkEnd w:id="25"/>
      <w:r w:rsidDel="00000000" w:rsidR="00000000" w:rsidRPr="00000000">
        <w:rPr>
          <w:b w:val="1"/>
          <w:color w:val="1b1c1d"/>
          <w:sz w:val="34"/>
          <w:szCs w:val="34"/>
          <w:rtl w:val="0"/>
        </w:rPr>
        <w:t xml:space="preserve">V. Conclusion and Future Research Directions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confirms that Glycogen Synthase (GYS), Glycophorin-A (GPA), and GAA1 are highly divergent in their cellular functions and steroid/sterol interaction mechanisms—ranging from remote endocrine control (GYS) and biophysical membrane modulation (GPA) to essential topological stabilization by lipids (GAA1). However, their clustering in the PLM embedding space strongly indicates that they share a sequence signature corresponding to a structurally conserved region optimized for binding or interacting with large, complex hydrophobic scaffolds derived from or structurally related to sterols.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computational finding provides a novel basis for studying molecular cross-talk and potential off-target effects. If the sequence patterns dictate a geometrically conserved hydrophobic pocket, small-molecule modulators that are hydrophobic and structurally mimic sterols (e.g., certain drug compounds designed to target steroid receptors) might exhibit unexpected cross-reactivity with the allosteric sites of GYS or the membrane interaction surfaces of GPA and GAA1.</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focus on structural validation of this predicted biophysical homology. High-resolution structural studies, particularly focused on the GYS/Glycogenin interface and the detailed mapping of the large GYS catalytic cleft, are required to confirm the presence of a conserved hydrophobic pocket geometry. Simultaneously, targeted lipidomics and site-directed mutagenesis of the transmembrane and luminal domains of GAA1 and GPA could experimentally verify the exact residues responsible for stabilizing these proteins within their sterol-rich membrane environments, thereby confirming the biophysical features encoded by the PLM embeddings.</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