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tuvz5isrr8fg" w:id="0"/>
      <w:bookmarkEnd w:id="0"/>
      <w:r w:rsidDel="00000000" w:rsidR="00000000" w:rsidRPr="00000000">
        <w:rPr>
          <w:b w:val="1"/>
          <w:color w:val="1b1c1d"/>
          <w:sz w:val="46"/>
          <w:szCs w:val="46"/>
          <w:rtl w:val="0"/>
        </w:rPr>
        <w:t xml:space="preserve">Computational Homology and Mechanistic Convergence: Analyzing the Cluster Linking Omega-Conotoxin MVIIA to Canonical Steroid-Binding Proteins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ykbhrvhsgyh" w:id="1"/>
      <w:bookmarkEnd w:id="1"/>
      <w:r w:rsidDel="00000000" w:rsidR="00000000" w:rsidRPr="00000000">
        <w:rPr>
          <w:b w:val="1"/>
          <w:color w:val="1b1c1d"/>
          <w:sz w:val="34"/>
          <w:szCs w:val="34"/>
          <w:rtl w:val="0"/>
        </w:rPr>
        <w:t xml:space="preserve">I. Executive Summary and Contextual Framing</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sgfuxrgsx9i" w:id="2"/>
      <w:bookmarkEnd w:id="2"/>
      <w:r w:rsidDel="00000000" w:rsidR="00000000" w:rsidRPr="00000000">
        <w:rPr>
          <w:b w:val="1"/>
          <w:color w:val="1b1c1d"/>
          <w:sz w:val="26"/>
          <w:szCs w:val="26"/>
          <w:rtl w:val="0"/>
        </w:rPr>
        <w:t xml:space="preserve">1.1. Introduction to the Computational Cluster Anomaly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Omega-conotoxin MVIIA, known clinically as Ziconotide or SNX-111, is an established pharmacological agent derived from the venom of the marine mollusk </w:t>
      </w:r>
      <w:r w:rsidDel="00000000" w:rsidR="00000000" w:rsidRPr="00000000">
        <w:rPr>
          <w:i w:val="1"/>
          <w:color w:val="1b1c1d"/>
          <w:rtl w:val="0"/>
        </w:rPr>
        <w:t xml:space="preserve">Conus magus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function is highly specific: the blockade of neuronal voltage-gated calcium channels. However, advanced protein language models (PLMs), such as ProtT5 and ESM-1b, which map protein sequences into high-dimensional embedding spaces, have produced a clustering result that groups MVIIA with canonical steroid-binding proteins (SBPs) and lipid carriers.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computational observation suggests a deep, latent functional or structural homology that transcends traditional sequence alignment and pharmacological classification.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vectors captured by PLMs reflect sophisticated physicochemical properties, including structural stability, hydrophobicity patterns, and charge distribution.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grouping of a small, rigid neurotoxin (MVIIA) with highly flexible lipid transport proteins (e.g., Apolipoprotein E) and rigid intracellular carriers (e.g., Sterol Carrier Protein 2) strongly suggests that the clustering is driven not by direct functional equivalence (i.e., MVIIA carrying cholesterol) but by a shared sequence signature essential for robust interaction with the lipid bilayer. This shared requirement classifies MVIIA, in the context of sequence embeddings, as a "Sterol-Environment Modulator" due to its obligate interaction within sterol-rich membrane domains.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rykho573q7h" w:id="3"/>
      <w:bookmarkEnd w:id="3"/>
      <w:r w:rsidDel="00000000" w:rsidR="00000000" w:rsidRPr="00000000">
        <w:rPr>
          <w:b w:val="1"/>
          <w:color w:val="1b1c1d"/>
          <w:sz w:val="26"/>
          <w:szCs w:val="26"/>
          <w:rtl w:val="0"/>
        </w:rPr>
        <w:t xml:space="preserve">1.2. MVIIA as a Pharmacological Agent (Ziconotide)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MVIIA is clinically approved for the treatment of severe, intractable chronic pain. Its therapeutic application requires intrathecal administration, delivering the peptide directly to the spinal cord.</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mechanism of action involves targeting the neuronal N-type voltage-gated calcium channel, Cav2.2/CACNA1B, located predominantly in the presynaptic terminals of primary afferent nociceptive neurons in the dorsal horn of the spinal cord.</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By binding to and blocking these channels, MVIIA effectively inhibits the influx of calcium ions required for synaptic vesicle fusion.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blockade dramatically reduces the presynaptic release of excitatory neurotransmitters, primarily glutamate, thereby inhibiting the transmission of pain signals.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profound clinical efficacy of Ziconotide validates the N-type calcium channel as a critical checkpoint in human nociceptive signaling.</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0elvzdar9ah" w:id="4"/>
      <w:bookmarkEnd w:id="4"/>
      <w:r w:rsidDel="00000000" w:rsidR="00000000" w:rsidRPr="00000000">
        <w:rPr>
          <w:b w:val="1"/>
          <w:color w:val="1b1c1d"/>
          <w:sz w:val="34"/>
          <w:szCs w:val="34"/>
          <w:rtl w:val="0"/>
        </w:rPr>
        <w:t xml:space="preserve">II. Comprehensive Profile of Omega-Conotoxin MVIIA</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12vmzwb3krc" w:id="5"/>
      <w:bookmarkEnd w:id="5"/>
      <w:r w:rsidDel="00000000" w:rsidR="00000000" w:rsidRPr="00000000">
        <w:rPr>
          <w:b w:val="1"/>
          <w:color w:val="1b1c1d"/>
          <w:sz w:val="26"/>
          <w:szCs w:val="26"/>
          <w:rtl w:val="0"/>
        </w:rPr>
        <w:t xml:space="preserve">2.1. General Biochemical and Functional Characteristics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Omega-conotoxin MVIIA is a potent and selective inhibitor of $Ca_V2.2$ channels, typically exhibiting half-maximal inhibitory concentration ($IC_{50}$) values in the nanomolar range (0.67–208 nM).</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primary site of action is the presynaptic membrane.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molecular mechanism of channel blockade is intricate, involving electrostatic and steric hindrance effects.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toxin achieves its inhibitory effect by neutralizing the outer electronegativity of the channel structure and physically obstructing the ion access pathway leading to the selectivity filter.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mechanism requires a highly specific orientation and stable anchoring of the peptide at the membrane-channel interface.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its role as an analgesic, MVIIA has been reported to exhibit antiproliferative effects in various glioma cell lines and reduces tumor area in mouse glioma models, suggesting potential applications independent of its primary calcium channel blocking function.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ayy6p9675hs" w:id="6"/>
      <w:bookmarkEnd w:id="6"/>
      <w:r w:rsidDel="00000000" w:rsidR="00000000" w:rsidRPr="00000000">
        <w:rPr>
          <w:b w:val="1"/>
          <w:color w:val="1b1c1d"/>
          <w:sz w:val="26"/>
          <w:szCs w:val="26"/>
          <w:rtl w:val="0"/>
        </w:rPr>
        <w:t xml:space="preserve">2.2. Structural Biology: The Inhibitor Cystine Knot (ICK) Motif</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MVIIA is a small peptide, typically 27 amino acids in length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belonging to the conotoxin O1 superfamily.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Its defining structural feature is the Inhibitor Cystine Knot (ICK) motif, a highly conserved architecture recognized computationally as a knottin.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motif is formed by three intertwined disulfide bridges in a 'disulfide through disulfide knot' configuration.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cysteine framework utilized by MVIIA is classified as VI/VII (C-C-CC-C-C), providing exceptional structural rigidity.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ICK motif is renowned for granting peptides high resistance to heat denaturation, proteolysis, and extreme pH conditions.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inherent structural stability is a defining characteristic recognized by the PLMs, distinguishing ICK peptides from more fluid protein structures. This stability feature is functionally analogous to the stability required by circulating apolipoproteins and intracellular carriers that must maintain integrity in dynamic biological milieus.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qvngf4hx17y" w:id="7"/>
      <w:bookmarkEnd w:id="7"/>
      <w:r w:rsidDel="00000000" w:rsidR="00000000" w:rsidRPr="00000000">
        <w:rPr>
          <w:b w:val="1"/>
          <w:color w:val="1b1c1d"/>
          <w:sz w:val="26"/>
          <w:szCs w:val="26"/>
          <w:rtl w:val="0"/>
        </w:rPr>
        <w:t xml:space="preserve">2.3. Structural Versatility and Alternative Functions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stability and physicochemical properties of the ICK motif are not restricted to ion channel targeting. The presence of concentrated positive charges, which are crucial for MVIIA's primary function of neutralizing channel electronegativity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also enables alternative membrane-related functions.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Research involving structural modifications, such as macrocyclization, has demonstrated that MVIIA analogs can be converted into potent antimicrobial peptides (AMPs).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AMPs typically function by non-specifically disrupting bacterial membranes, a mechanism entirely distinct from specific ion channel blockade. This gain-of-function ability, achieved by modifying charge terminal clusters and linking them into a contiguous segment, proves that the MVIIA sequence intrinsically carries a robust signature for generalized, high-affinity membrane interaction.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sequence vector, therefore, encodes the dual information of </w:t>
      </w:r>
      <w:r w:rsidDel="00000000" w:rsidR="00000000" w:rsidRPr="00000000">
        <w:rPr>
          <w:i w:val="1"/>
          <w:color w:val="1b1c1d"/>
          <w:rtl w:val="0"/>
        </w:rPr>
        <w:t xml:space="preserve">specific high-affinity receptor targeting</w:t>
      </w:r>
      <w:r w:rsidDel="00000000" w:rsidR="00000000" w:rsidRPr="00000000">
        <w:rPr>
          <w:color w:val="1b1c1d"/>
          <w:rtl w:val="0"/>
        </w:rPr>
        <w:t xml:space="preserve"> and </w:t>
      </w:r>
      <w:r w:rsidDel="00000000" w:rsidR="00000000" w:rsidRPr="00000000">
        <w:rPr>
          <w:i w:val="1"/>
          <w:color w:val="1b1c1d"/>
          <w:rtl w:val="0"/>
        </w:rPr>
        <w:t xml:space="preserve">generalized amphipathic membrane affinity</w:t>
      </w:r>
      <w:r w:rsidDel="00000000" w:rsidR="00000000" w:rsidRPr="00000000">
        <w:rPr>
          <w:color w:val="1b1c1d"/>
          <w:rtl w:val="0"/>
        </w:rPr>
        <w:t xml:space="preserve">. It is this intrinsic amphipathic character, necessary for any peptide operating at the membrane interface, that is believed to resonate computationally with the sequence patterns of classical lipid and steroid carriers.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jyw5n7v339l" w:id="8"/>
      <w:bookmarkEnd w:id="8"/>
      <w:r w:rsidDel="00000000" w:rsidR="00000000" w:rsidRPr="00000000">
        <w:rPr>
          <w:b w:val="1"/>
          <w:color w:val="1b1c1d"/>
          <w:sz w:val="34"/>
          <w:szCs w:val="34"/>
          <w:rtl w:val="0"/>
        </w:rPr>
        <w:t xml:space="preserve">III. Dissecting the Computational Basis for Steroid-Binding Annotation</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a3ca1ijhzq2" w:id="9"/>
      <w:bookmarkEnd w:id="9"/>
      <w:r w:rsidDel="00000000" w:rsidR="00000000" w:rsidRPr="00000000">
        <w:rPr>
          <w:b w:val="1"/>
          <w:color w:val="1b1c1d"/>
          <w:sz w:val="26"/>
          <w:szCs w:val="26"/>
          <w:rtl w:val="0"/>
        </w:rPr>
        <w:t xml:space="preserve">3.1. Principles of Protein Language Model (PLM) Clustering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Protein language models operate by processing vast datasets of protein sequences to generate high-dimensional numerical representations, known as embeddings.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embeddings capture intricate physicochemical and latent structural information, often revealing functional relationships that are obscure through traditional homology methods like sequence alignment.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clustering of MVIIA with diverse steroid-binding proteins (SBPs) implies that their respective sequence embeddings share a common vector directionality, indicating a shared, fundamental structural principle, even if their global tertiary folds differ significantly.</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g5qztba87gh" w:id="10"/>
      <w:bookmarkEnd w:id="10"/>
      <w:r w:rsidDel="00000000" w:rsidR="00000000" w:rsidRPr="00000000">
        <w:rPr>
          <w:b w:val="1"/>
          <w:color w:val="1b1c1d"/>
          <w:sz w:val="26"/>
          <w:szCs w:val="26"/>
          <w:rtl w:val="0"/>
        </w:rPr>
        <w:t xml:space="preserve">3.2. Comparison with Canonical Steroid and Lipid Binding Proteins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understand the computational homology, it is necessary to compare MVIIA against two archetypal lipid-binding proteins that might populate the same embedding cluster.</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ryd24onfqxp" w:id="11"/>
      <w:bookmarkEnd w:id="11"/>
      <w:r w:rsidDel="00000000" w:rsidR="00000000" w:rsidRPr="00000000">
        <w:rPr>
          <w:b w:val="1"/>
          <w:color w:val="1b1c1d"/>
          <w:sz w:val="22"/>
          <w:szCs w:val="22"/>
          <w:rtl w:val="0"/>
        </w:rPr>
        <w:t xml:space="preserve">3.2.1. Apolipoprotein E (APOE)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APOE is a major apolipoprotein critical for lipoprotein-mediated lipid transport and cholesterol metabolism in the plasma and central nervous system (CNS).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the brain, APOE, primarily produced by astrocytes, serves as the principal cholesterol carrier, delivering lipids to neurons via LDL receptor family members.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APOE achieves its function through structural features that allow intimate interaction with lipid particles. The lipid interaction is mediated by 11 amino acid repeats that fold into amphipathic helices, allowing association with both the hydrophobic core of lipoproteins and the aqueous environment.</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While secreted, APOE exhibits complex intracellular localization, including interactions at Mitochondria-Associated Endoplasmic Reticulum (ER) Membranes (MAMs), indicating a highly dynamic relationship with cellular lipid structures.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sequence signature for APOE is characterized by these amphipathic, flexible helical repeats, a pattern computationally interpreted as related to the rigid, but equally amphipathic, charge clusters of MVIIA.</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5h5sm9k8n4t" w:id="12"/>
      <w:bookmarkEnd w:id="12"/>
      <w:r w:rsidDel="00000000" w:rsidR="00000000" w:rsidRPr="00000000">
        <w:rPr>
          <w:b w:val="1"/>
          <w:color w:val="1b1c1d"/>
          <w:sz w:val="22"/>
          <w:szCs w:val="22"/>
          <w:rtl w:val="0"/>
        </w:rPr>
        <w:t xml:space="preserve">3.2.2. Sterol Carrier Protein 2 (SCP-2)</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 Carrier Protein 2 (SCP-2) represents a distinct class of SBP, functioning as an intracellular carrier for sterols and fatty acids.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Structurally, SCP-2 utilizes an $\alpha+\beta$ class fold, described as dome-like.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Unlike MVIIA, which acts on the protein surface, SCP-2 possesses a large internal cavity (e.g., over $800 \text{ Å}^3$ in yeast SCP-2) designed to bind ligands such as palmitic acid directly within its structure.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binding domain is contained within two layers of secondary structure, forming a five-stranded $\beta$ sheet floor and $\alpha$-helical walls.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profound disparity between the small, surface-acting, rigid Inhibitor Cystine Knot fold of MVIIA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and the internal-cavity, $\alpha+\beta$ fold of SCP-2 </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confirms that the clustering is not driven by global structural homology. Instead, the computational proximity in the embedding space is a signal that both MVIIA and SCP-2 sequences encode highly stable architectures and precise patterns of hydrophobicity/amphipathicity required for their respective roles in lipid interaction. The PLM thus recognizes a shared latent potential for membrane interaction rather than a shared mechanism of action.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Analysis of Structural and Functional Archetypes in the Cluster</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130"/>
        <w:gridCol w:w="2340"/>
        <w:gridCol w:w="2295"/>
        <w:tblGridChange w:id="0">
          <w:tblGrid>
            <w:gridCol w:w="1950"/>
            <w:gridCol w:w="2130"/>
            <w:gridCol w:w="2340"/>
            <w:gridCol w:w="229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Omega-Conotoxin MVIIA (ICK)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Apolipoprotein E (Helical Transport)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Sterol Carrier Protein 2 (Internal Cavity)</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Presynaptic $Ca_V2.2$ Blocker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Lipoprotein Cholesterol Transport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Intracellular Sterol/Fatty Acid Carrier</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Structural Fold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Inhibitor Cystine Knot (Small, highly constrained)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Four-helix Bundle (Flexible, amphipathic)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$\alpha+\beta$ Dome-like fold (Internal cavity)</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Membrane Interaction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Surface docking via basic residues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Surface coating via amphipathic helices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Intracellular transfer at membrane contact sites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Sterol Association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Indirect: Modulates sterol-regulated $Ca_V2.2$ channel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Direct: High-affinity binding and carriage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Direct: Internal binding of sterol/fatty acids</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Stabilization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Disulfide through disulfide knot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Protein-lipid interaction, helical packing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Rigid $\alpha+\beta$ fold </w:t>
            </w:r>
            <w:r w:rsidDel="00000000" w:rsidR="00000000" w:rsidRPr="00000000">
              <w:rPr>
                <w:color w:val="444746"/>
                <w:sz w:val="40"/>
                <w:szCs w:val="40"/>
                <w:highlight w:val="white"/>
                <w:vertAlign w:val="superscript"/>
                <w:rtl w:val="0"/>
              </w:rPr>
              <w:t xml:space="preserve">19</w:t>
            </w:r>
          </w:p>
        </w:tc>
      </w:tr>
    </w:tbl>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9le4par3jmd" w:id="13"/>
      <w:bookmarkEnd w:id="13"/>
      <w:r w:rsidDel="00000000" w:rsidR="00000000" w:rsidRPr="00000000">
        <w:rPr>
          <w:b w:val="1"/>
          <w:color w:val="1b1c1d"/>
          <w:sz w:val="34"/>
          <w:szCs w:val="34"/>
          <w:rtl w:val="0"/>
        </w:rPr>
        <w:t xml:space="preserve">IV. Mechanistic Interface of MVIIA with Sterols and Membrane Lipids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92djfcng38z" w:id="14"/>
      <w:bookmarkEnd w:id="14"/>
      <w:r w:rsidDel="00000000" w:rsidR="00000000" w:rsidRPr="00000000">
        <w:rPr>
          <w:b w:val="1"/>
          <w:color w:val="1b1c1d"/>
          <w:sz w:val="26"/>
          <w:szCs w:val="26"/>
          <w:rtl w:val="0"/>
        </w:rPr>
        <w:t xml:space="preserve">4.1. The Obligate Sterol Environment of the $Ca_V2.2$ Target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compelling evidence linking MVIIA to steroid-binding proteins is the intrinsic sterol dependence of its target, the $Ca_V2.2$ channel. Structural analysis of the human $Ca_V2.2$-Ziconotide complex, achieved through cryo-electron microscopy, reveals that the channel is embedded in a lipid environment containing co-resolved molecules of </w:t>
      </w:r>
      <w:r w:rsidDel="00000000" w:rsidR="00000000" w:rsidRPr="00000000">
        <w:rPr>
          <w:b w:val="1"/>
          <w:color w:val="1b1c1d"/>
          <w:rtl w:val="0"/>
        </w:rPr>
        <w:t xml:space="preserve">cholesterol and cholesterol hemisuccinate (CHS)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These sterols stabilize the receptor complex, confirming that MVIIA’s binding occurs precisely within a cholesterol-rich membrane microdomain.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 is well-documented that voltage-gated calcium channels, including related $Ca_V$ subtypes (e.g., $Ca_V2.1$), are functionally regulated by their association with lipid rafts and cholesterol.</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Cholesterol modulates the biophysical properties of the membrane, influencing channel gating, kinetics, and conformational stability. MVIIA exhibits a significantly higher affinity (estimated 60-fold increase) for the open/inactivated state of the channel (the R state) compared to the resting state.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binding of MVIIA induces a structural change in the channel, specifically an upward shift of the extracellular loop (ECLIII) to accommodate the toxin.</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confluence of evidence suggests that cholesterol and sterol-like molecules do not bind MVIIA directly, but rather stabilize the specific high-affinity conformational state of the $Ca_V2.2$ channel required for MVIIA binding. Consequently, the PLM embedding, trained to recognize functional relationships, correctly identifies MVIIA as targeting a </w:t>
      </w:r>
      <w:r w:rsidDel="00000000" w:rsidR="00000000" w:rsidRPr="00000000">
        <w:rPr>
          <w:b w:val="1"/>
          <w:color w:val="1b1c1d"/>
          <w:rtl w:val="0"/>
        </w:rPr>
        <w:t xml:space="preserve">sterol-stabilized receptor conformation</w:t>
      </w:r>
      <w:r w:rsidDel="00000000" w:rsidR="00000000" w:rsidRPr="00000000">
        <w:rPr>
          <w:color w:val="1b1c1d"/>
          <w:rtl w:val="0"/>
        </w:rPr>
        <w:t xml:space="preserve">. This indirect but crucial dependence on the sterol milieu provides the biophysical justification for its clustering with proteins annotated for steroid interaction.</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moj9dgzvde6" w:id="15"/>
      <w:bookmarkEnd w:id="15"/>
      <w:r w:rsidDel="00000000" w:rsidR="00000000" w:rsidRPr="00000000">
        <w:rPr>
          <w:b w:val="1"/>
          <w:color w:val="1b1c1d"/>
          <w:sz w:val="26"/>
          <w:szCs w:val="26"/>
          <w:rtl w:val="0"/>
        </w:rPr>
        <w:t xml:space="preserve">4.2. Direct Membrane Interaction Domains of MVIIA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efficacy of MVIIA is predicated on its ability to interact strongly with the presynaptic membrane surface to reach the channel pore. This interaction is facilitated by concentrated clusters of basic amino acids within the peptide sequence.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These basic residues serve two critical functions:</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High-Affinity Docking:</w:t>
      </w:r>
      <w:r w:rsidDel="00000000" w:rsidR="00000000" w:rsidRPr="00000000">
        <w:rPr>
          <w:color w:val="1b1c1d"/>
          <w:rtl w:val="0"/>
        </w:rPr>
        <w:t xml:space="preserve"> The positive charge clusters facilitate initial electrostatic attraction to the highly negative surface of the cell membrane, rich in anionic phospholipids (e.g., PIP2).</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Electrostatic Neutralization:</w:t>
      </w:r>
      <w:r w:rsidDel="00000000" w:rsidR="00000000" w:rsidRPr="00000000">
        <w:rPr>
          <w:color w:val="1b1c1d"/>
          <w:rtl w:val="0"/>
        </w:rPr>
        <w:t xml:space="preserve"> The bound toxin neutralizes the outer electronegativity of the channel, which is crucial for sterically hindering ion passage.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mechanism requires MVIIA to exhibit powerful amphipathic properties that anchor it strongly to the lipid environment. This necessity for high-affinity, robust membrane interaction mirrors the physicochemical requirements of Apolipoprotein E, which uses amphipathic helices to manage lipid cargo.</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PLM is likely recognizing the shared sequence features that maximize stability and membrane affinity, regardless of whether that affinity leads to channel block (MVIIA) or lipid transport (APOE).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vlyaykqf4e6" w:id="16"/>
      <w:bookmarkEnd w:id="16"/>
      <w:r w:rsidDel="00000000" w:rsidR="00000000" w:rsidRPr="00000000">
        <w:rPr>
          <w:b w:val="1"/>
          <w:color w:val="1b1c1d"/>
          <w:sz w:val="26"/>
          <w:szCs w:val="26"/>
          <w:rtl w:val="0"/>
        </w:rPr>
        <w:t xml:space="preserve">4.3. Steroid Interaction Profile of MVIIA (Summary)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structural and pharmacological evidence, MVIIA does not serve as a canonical steroid or lipid transport protein. Its relationship with steroids is entirely </w:t>
      </w:r>
      <w:r w:rsidDel="00000000" w:rsidR="00000000" w:rsidRPr="00000000">
        <w:rPr>
          <w:b w:val="1"/>
          <w:color w:val="1b1c1d"/>
          <w:rtl w:val="0"/>
        </w:rPr>
        <w:t xml:space="preserve">indirect</w:t>
      </w:r>
      <w:r w:rsidDel="00000000" w:rsidR="00000000" w:rsidRPr="00000000">
        <w:rPr>
          <w:color w:val="1b1c1d"/>
          <w:rtl w:val="0"/>
        </w:rPr>
        <w:t xml:space="preserve">, relying on the crucial regulatory role that cholesterol and sterol-like molecules play in the structural presentation and functional state of its target receptor, $Ca_V2.2$. The sequence characteristics that led to the PLM annotation are those linked to membrane affinity and structural robustness—features chemically and structurally analogous to the lipid-binding domains of classical SBPs.</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b4m91v79arl" w:id="17"/>
      <w:bookmarkEnd w:id="17"/>
      <w:r w:rsidDel="00000000" w:rsidR="00000000" w:rsidRPr="00000000">
        <w:rPr>
          <w:b w:val="1"/>
          <w:color w:val="1b1c1d"/>
          <w:sz w:val="34"/>
          <w:szCs w:val="34"/>
          <w:rtl w:val="0"/>
        </w:rPr>
        <w:t xml:space="preserve">V. Cross-Cutting Overview: Shared Structural and Evolutionary Features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b4zls1n736o" w:id="18"/>
      <w:bookmarkEnd w:id="18"/>
      <w:r w:rsidDel="00000000" w:rsidR="00000000" w:rsidRPr="00000000">
        <w:rPr>
          <w:b w:val="1"/>
          <w:color w:val="1b1c1d"/>
          <w:sz w:val="26"/>
          <w:szCs w:val="26"/>
          <w:rtl w:val="0"/>
        </w:rPr>
        <w:t xml:space="preserve">5.1. Convergent Evolution for Membrane Scaffolding</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unexpected clustering of MVIIA (a peptide toxin) with cholesterol carriers (APOE) and intracellular transfer domains (SCP-2) is a powerful example of convergent evolution captured by sophisticated machine learning methods. The functional goal shared across this cluster is the requirement for a highly stable structure capable of efficient, high-affinity interaction with complex biological membranes.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MVIIA, this requirement is met by the Inhibitor Cystine Knot (ICK) motif, a scaffold of extraordinary resilience.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In Apolipoprotein E, stability and function are achieved through the packaging of flexible, amphipathic helices that wrap around the lipid cargo.</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both cases, the sequence encodes for a structure optimized for sustained activity within a lipid environment. The PLM recognizes the common denominators in the sequence—patterns related to stabilization (cysteine connectivity, charge clusters) and lipid interface capability—leading to vector proximity in the embedding space.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fact that engineered MVIIA analogs can be functionally converted into membrane-disrupting antimicrobial peptides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reinforces the understanding that the underlying sequence carries a potent, generalized membrane affinity signal, independent of its specific neurotoxin function. This generalized affinity signature is the source of the computational overlap with canonical lipid handlers, like those using amphipathic repeats for lipid trafficking, such as APOE.</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jvwy9433w4" w:id="19"/>
      <w:bookmarkEnd w:id="19"/>
      <w:r w:rsidDel="00000000" w:rsidR="00000000" w:rsidRPr="00000000">
        <w:rPr>
          <w:b w:val="1"/>
          <w:color w:val="1b1c1d"/>
          <w:sz w:val="26"/>
          <w:szCs w:val="26"/>
          <w:rtl w:val="0"/>
        </w:rPr>
        <w:t xml:space="preserve">5.2. Functional Latency and Peptide Engineering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recognition that the rigid ICK motif of MVIIA shares latent homology with SBPs offers a new dimension to peptide engineering and drug discovery. The high stability of the knottin scaffold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coupled with its predicted lipid-binding characteristics, suggests potential for repurposing the ICK framework.</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realization that the sequence vector points toward lipid transport functionality opens possibilities for engineering ICK peptides as stable molecular transport scaffolds. If the intrinsic amphipathicity and charge distribution are similar to APOE’s lipid-binding domains, MVIIA derivatives could potentially be optimized to bind to lipoprotein receptors (LRPs/LDLRs) that mediate cellular uptake, including pathways utilized by APOE.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could be leveraged to enhance drug delivery across critical biological barriers, such as the blood-brain barrier, which is a significant challenge for neurotherapeutics. The PLM clustering is thus a validated predictive signal for </w:t>
      </w:r>
      <w:r w:rsidDel="00000000" w:rsidR="00000000" w:rsidRPr="00000000">
        <w:rPr>
          <w:b w:val="1"/>
          <w:color w:val="1b1c1d"/>
          <w:rtl w:val="0"/>
        </w:rPr>
        <w:t xml:space="preserve">peptide scaffolds capable of high-affinity lipid/membrane association</w:t>
      </w:r>
      <w:r w:rsidDel="00000000" w:rsidR="00000000" w:rsidRPr="00000000">
        <w:rPr>
          <w:color w:val="1b1c1d"/>
          <w:rtl w:val="0"/>
        </w:rPr>
        <w:t xml:space="preserve">, expanding the functional scope of conotoxin research beyond ion channel targets.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Features Driving PLM Clustering of MVIIA and Steroid-Binding Proteins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325"/>
        <w:gridCol w:w="2115"/>
        <w:gridCol w:w="1815"/>
        <w:tblGridChange w:id="0">
          <w:tblGrid>
            <w:gridCol w:w="2730"/>
            <w:gridCol w:w="2325"/>
            <w:gridCol w:w="2115"/>
            <w:gridCol w:w="181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Homology Driver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Description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MVIIA Example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SBP Example</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Structural Stability Signature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Sequence patterns coding for high rigidity and resistance to denaturation.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Cysteine framework VI/VII, ICK knot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Helical packing and tertiary fold stability </w:t>
            </w:r>
            <w:r w:rsidDel="00000000" w:rsidR="00000000" w:rsidRPr="00000000">
              <w:rPr>
                <w:color w:val="444746"/>
                <w:sz w:val="40"/>
                <w:szCs w:val="40"/>
                <w:highlight w:val="white"/>
                <w:vertAlign w:val="superscript"/>
                <w:rtl w:val="0"/>
              </w:rPr>
              <w:t xml:space="preserve">19</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Amphipathic/Charge Patterning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Distribution of basic/hydrophobic residues enabling membrane interaction.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Terminal basic clusters neutralize electronegativity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11-residue helical repeats mediating lipid association </w:t>
            </w:r>
            <w:r w:rsidDel="00000000" w:rsidR="00000000" w:rsidRPr="00000000">
              <w:rPr>
                <w:color w:val="444746"/>
                <w:sz w:val="40"/>
                <w:szCs w:val="40"/>
                <w:highlight w:val="white"/>
                <w:vertAlign w:val="superscript"/>
                <w:rtl w:val="0"/>
              </w:rPr>
              <w:t xml:space="preserve">14</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Co-Localization Environment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Requirement to function within sterol-rich membrane microdomains.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Targets $Ca_V2.2$, which binds cholesterol/CHS </w:t>
            </w:r>
            <w:r w:rsidDel="00000000" w:rsidR="00000000" w:rsidRPr="00000000">
              <w:rPr>
                <w:color w:val="444746"/>
                <w:sz w:val="40"/>
                <w:szCs w:val="40"/>
                <w:highlight w:val="white"/>
                <w:vertAlign w:val="superscript"/>
                <w:rtl w:val="0"/>
              </w:rPr>
              <w:t xml:space="preserve">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APOE synthesized and acts as cholesterol carrier in the CNS </w:t>
            </w:r>
            <w:r w:rsidDel="00000000" w:rsidR="00000000" w:rsidRPr="00000000">
              <w:rPr>
                <w:color w:val="444746"/>
                <w:sz w:val="40"/>
                <w:szCs w:val="40"/>
                <w:highlight w:val="white"/>
                <w:vertAlign w:val="superscript"/>
                <w:rtl w:val="0"/>
              </w:rPr>
              <w:t xml:space="preserve">16</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Functional Overlap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Capability for generalized membrane interaction or perturbation.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Engineered as Antimicrobial Peptide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APOE involved in mitochondrial signaling and complement pathway </w:t>
            </w:r>
            <w:r w:rsidDel="00000000" w:rsidR="00000000" w:rsidRPr="00000000">
              <w:rPr>
                <w:color w:val="444746"/>
                <w:sz w:val="40"/>
                <w:szCs w:val="40"/>
                <w:highlight w:val="white"/>
                <w:vertAlign w:val="superscript"/>
                <w:rtl w:val="0"/>
              </w:rPr>
              <w:t xml:space="preserve">18</w:t>
            </w:r>
          </w:p>
        </w:tc>
      </w:tr>
    </w:tbl>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4opnzd8jd7t" w:id="20"/>
      <w:bookmarkEnd w:id="20"/>
      <w:r w:rsidDel="00000000" w:rsidR="00000000" w:rsidRPr="00000000">
        <w:rPr>
          <w:b w:val="1"/>
          <w:color w:val="1b1c1d"/>
          <w:sz w:val="34"/>
          <w:szCs w:val="34"/>
          <w:rtl w:val="0"/>
        </w:rPr>
        <w:t xml:space="preserve">VI. Conclusions and Future Research Directions</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ufrvvufvizs" w:id="21"/>
      <w:bookmarkEnd w:id="21"/>
      <w:r w:rsidDel="00000000" w:rsidR="00000000" w:rsidRPr="00000000">
        <w:rPr>
          <w:b w:val="1"/>
          <w:color w:val="1b1c1d"/>
          <w:sz w:val="26"/>
          <w:szCs w:val="26"/>
          <w:rtl w:val="0"/>
        </w:rPr>
        <w:t xml:space="preserve">6.1. Synthesis of Findings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anomaly observed in the protein language model clustering—the grouping of the neurotoxin MVIIA with canonical steroid-binding proteins—is successfully reconciled by a nuanced understanding of its molecular pharmacology. MVIIA’s sequence encodes features that yield a highly stable and amphipathic structure optimized for robust membrane interaction. These characteristics are recognized by the PLM as structurally analogous to the sequence requirements for lipid and sterol binding proteins (APOE and SCP-2). Crucially, MVIIA’s specific target, the $Ca_V2.2$ channel, is functionally and structurally dependent on its environment within cholesterol-rich membrane microdomains, with co-resolved sterols confirmed at the binding site.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Therefore, MVIIA is fundamentally linked to sterol activity, albeit indirectly, by targeting a receptor whose conformation is modulated by the sterol milieu. The clustering reflects a deep sequence-based homology linking proteins optimized for functioning within the lipid bilayer.</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cm6jcyi95iy" w:id="22"/>
      <w:bookmarkEnd w:id="22"/>
      <w:r w:rsidDel="00000000" w:rsidR="00000000" w:rsidRPr="00000000">
        <w:rPr>
          <w:b w:val="1"/>
          <w:color w:val="1b1c1d"/>
          <w:sz w:val="26"/>
          <w:szCs w:val="26"/>
          <w:rtl w:val="0"/>
        </w:rPr>
        <w:t xml:space="preserve">6.2. Future Research Directions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Further research should focus on validating the biophysical linkage between MVIIA binding and sterol concentration. Specific experimental recommendations include:</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Sterol Dependence Quantification:</w:t>
      </w:r>
      <w:r w:rsidDel="00000000" w:rsidR="00000000" w:rsidRPr="00000000">
        <w:rPr>
          <w:color w:val="1b1c1d"/>
          <w:rtl w:val="0"/>
        </w:rPr>
        <w:t xml:space="preserve"> Detailed biophysical and electrophysiological studies should be performed to quantify how changes in membrane cholesterol and phospholipid content influence the binding kinetics and maximal potency of MVIIA against $Ca_V2.2$. This would functionally solidify the biochemical relationship implied by the computational clustering and structural data.</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Engineered Scaffolds for Transport:</w:t>
      </w:r>
      <w:r w:rsidDel="00000000" w:rsidR="00000000" w:rsidRPr="00000000">
        <w:rPr>
          <w:color w:val="1b1c1d"/>
          <w:rtl w:val="0"/>
        </w:rPr>
        <w:t xml:space="preserve"> The high stability of the ICK motif and its newly recognized latent lipid-binding signature suggest a powerful avenue for drug delivery research. The ICK framework should be investigated as a stable scaffold for attaching targeting moieties designed to utilize lipid or lipoprotein receptor pathways (such as those involving LRP1, utilized by APOE) to enhance the delivery of diverse therapeutic payloads across physiological barriers.</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Advanced Computational Validation:</w:t>
      </w:r>
      <w:r w:rsidDel="00000000" w:rsidR="00000000" w:rsidRPr="00000000">
        <w:rPr>
          <w:color w:val="1b1c1d"/>
          <w:rtl w:val="0"/>
        </w:rPr>
        <w:t xml:space="preserve"> Continued application of deep learning frameworks, specifically utilizing graph-based structural representations combined with sequence embeddings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is essential to precisely pinpoint the molecular determinants and subtle sequence motifs that drive the clustering of MVIIA with SBPs. Identifying these precise motifs will enable the rational design of novel peptides that leverage both the stability of the knottin fold and its membrane-affinity potential.</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