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vskgrhueb8l0" w:id="0"/>
      <w:bookmarkEnd w:id="0"/>
      <w:r w:rsidDel="00000000" w:rsidR="00000000" w:rsidRPr="00000000">
        <w:rPr>
          <w:b w:val="1"/>
          <w:color w:val="1b1c1d"/>
          <w:sz w:val="46"/>
          <w:szCs w:val="46"/>
          <w:rtl w:val="0"/>
        </w:rPr>
        <w:t xml:space="preserve">Computational Synthesis of Sterol-Protein Interactions: Mechanistic Analysis of a Divergent Protein Language Model Cluster Including the T Cell Receptor Beta Subunit, SCP2, and SEC14L2</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r757mgqxzi6" w:id="1"/>
      <w:bookmarkEnd w:id="1"/>
      <w:r w:rsidDel="00000000" w:rsidR="00000000" w:rsidRPr="00000000">
        <w:rPr>
          <w:b w:val="1"/>
          <w:color w:val="1b1c1d"/>
          <w:sz w:val="34"/>
          <w:szCs w:val="34"/>
          <w:rtl w:val="0"/>
        </w:rPr>
        <w:t xml:space="preserve">I. Executive Summary: Interrogating Novel Computational Relationships in Sterol-Binding Proteomics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application of advanced protein language model (PLM) embeddings, particularly techniques such as Sliced-Wasserstein distances applied to output representations from models like ESM-2, facilitates the grouping of proteins based on abstract sequence similarity that often reflects underlying physicochemical function.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methodology has successfully clustered a set of proteins annotated for "steroid-binding," a cluster notable for its functional heterogeneity. The constituents span radically different cellular systems: the T cell receptor beta chain (TRBV19 locus product), a component of the highly specialized adaptive immune system sensor; Sterol Carrier Protein 2 (SCP2), a key player in intracellular lipid transport and metabolism; and SEC14-Like Lipid Binding 2 (SEC14L2), a carrier protein involved in lipid precursor and vitamin E transfer.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disparity among the cluster members is profound: the T cell receptor ($\alpha\beta$ TCR) functions canonically as an antigen sensor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SCP2 acts as a lipid shuttle promoting steroidogenesis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and SEC14L2 regulates squalene flow and vitamin E signaling.</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Despite these specialized roles, this analysis demonstrates a mechanistic convergence around the dynamic control of cholesterol and sterol precursor homeostasis across three distinct cellular environments (plasma membrane, cytosol, and peroxisome).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grouping is based on the premise that PLMs capture subtle, shared sequence characteristics related to the necessary structural requirements for accommodating the rigid, bulky tetracyclic sterol ring system. This report details the specific sterol-protein interactions for each member and proposes that the commonality detected by the PLM resides in the conserved sequence language encoding hydrophobic surfaces optimized for sterol binding or stabilization, irrespective of the protein's overall structural fold.</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fovj539opog" w:id="2"/>
      <w:bookmarkEnd w:id="2"/>
      <w:r w:rsidDel="00000000" w:rsidR="00000000" w:rsidRPr="00000000">
        <w:rPr>
          <w:b w:val="1"/>
          <w:color w:val="1b1c1d"/>
          <w:sz w:val="34"/>
          <w:szCs w:val="34"/>
          <w:rtl w:val="0"/>
        </w:rPr>
        <w:t xml:space="preserve">II. Introduction: PLM Clustering and the Non-Canonical Sterol Interactome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Biologically active steroids are fundamentally regulated by canonical systems, primarily plasma transporters such as sex hormone-binding globulin (SHBG) and corticosteroid-binding globulin (CBG), which act as primary gatekeepers of steroid hormone bioavailability, and by nuclear hormone receptors (e.g., Androgen Receptor or Estrogen Receptor), which translate ligand binding into transcriptional regulation.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identified within this computationally derived cluster represent a critical class of non-canonical sterol-binding proteins. In these proteins, sterol interaction is not primarily for systemic transport or genomic signaling but rather for acute biophysical modulation, localized metabolic channeling, or signal transduction tuning. The identification of this cluster, which includes the T cell receptor ($\alpha\beta$ TCR) complex, challenges traditional functional groupings and highlights the capacity of generative models to detect structural motifs shared across divergent protein families.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subsequent sections provide a detailed examination of the three primary functional archetypes comprising this cluster: the T cell receptor beta subunit (represented by the TRBV19 variable segment), Sterol Carrier Protein 2 (SCP2), and SEC14-Like Lipid Binding 2 (SEC14L2).</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gtx6cqvefd0" w:id="3"/>
      <w:bookmarkEnd w:id="3"/>
      <w:r w:rsidDel="00000000" w:rsidR="00000000" w:rsidRPr="00000000">
        <w:rPr>
          <w:b w:val="1"/>
          <w:color w:val="1b1c1d"/>
          <w:sz w:val="34"/>
          <w:szCs w:val="34"/>
          <w:rtl w:val="0"/>
        </w:rPr>
        <w:t xml:space="preserve">III. Detailed Biochemical and Structural Characterization of Cluster Components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lcrbaon9xsw" w:id="4"/>
      <w:bookmarkEnd w:id="4"/>
      <w:r w:rsidDel="00000000" w:rsidR="00000000" w:rsidRPr="00000000">
        <w:rPr>
          <w:b w:val="1"/>
          <w:color w:val="1b1c1d"/>
          <w:sz w:val="26"/>
          <w:szCs w:val="26"/>
          <w:rtl w:val="0"/>
        </w:rPr>
        <w:t xml:space="preserve">A. T Cell Receptor Beta Subunit (TRBV19 Locus): Adaptive Immunity Sensor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 cell receptor (TCR) is essential for the adaptive immune response, recognizing antigen fragments (peptides) presented by major histocompatibility complex (MHC) molecules on antigen-presenting cells.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TCR complex is a multisubunit assembly located on the T cell surface, consisting of the TCR heterodimer ($\alpha\beta$ or $\gamma\delta$) non-covalently associated with the six CD3 chains.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pxbrl51ut4w" w:id="5"/>
      <w:bookmarkEnd w:id="5"/>
      <w:r w:rsidDel="00000000" w:rsidR="00000000" w:rsidRPr="00000000">
        <w:rPr>
          <w:b w:val="1"/>
          <w:color w:val="1b1c1d"/>
          <w:sz w:val="22"/>
          <w:szCs w:val="22"/>
          <w:rtl w:val="0"/>
        </w:rPr>
        <w:t xml:space="preserve">1. TCR Structure and Genomic Complexity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 cell receptor beta locus (TRB), corresponding to Gene ID 6957, is located on human Chromosome 7 (band 7q34).</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TCR $\beta$ chain sequence (e.g., TRBV19</w:t>
      </w:r>
      <w:r w:rsidDel="00000000" w:rsidR="00000000" w:rsidRPr="00000000">
        <w:rPr>
          <w:i w:val="1"/>
          <w:color w:val="1b1c1d"/>
          <w:rtl w:val="0"/>
        </w:rPr>
        <w:t xml:space="preserve">01J2S7</w:t>
      </w:r>
      <w:r w:rsidDel="00000000" w:rsidR="00000000" w:rsidRPr="00000000">
        <w:rPr>
          <w:color w:val="1b1c1d"/>
          <w:rtl w:val="0"/>
        </w:rPr>
        <w:t xml:space="preserve">01C*02) is not germline-encoded in its entirety but is generated during T cell development through complex somatic rearrangement.</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recombination process involves joining Diversity (D) and Joining (J) segments, followed by the Variable (V) segment (like TRBV19) being joined to the D-J combination, and finally, splicing in the Constant (C) segment at the RNA level.</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recombination of numerous V and J segments, coupled with the random addition of nucleotides (junctional diversity) by terminal deoxynucleotidyltransferase, provides the immense diversity required for wide-ranging antigen recognition.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Structurally, the antigen recognition domain of the TCR, composed primarily of Complementarity Determining Regions (CDRs), is remarkably similar to the Fab portions of antibodies.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dpmkqj0fi9q" w:id="6"/>
      <w:bookmarkEnd w:id="6"/>
      <w:r w:rsidDel="00000000" w:rsidR="00000000" w:rsidRPr="00000000">
        <w:rPr>
          <w:b w:val="1"/>
          <w:color w:val="1b1c1d"/>
          <w:sz w:val="22"/>
          <w:szCs w:val="22"/>
          <w:rtl w:val="0"/>
        </w:rPr>
        <w:t xml:space="preserve">2. Signaling and Localization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biological function of the TCR is enabling signaling receptor activity.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Upon binding the peptide-MHC (pMHC) ligand, the $\alpha\beta$ TCR initiates clustering on the cell surface.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clustering triggers intracellular activation via the LCK kinase, which phosphorylates Immunoreceptor Tyrosine-based Activation Motifs (ITAMs) found on the associated CD3 chains (CD3G, CD3D, CD3E, and CD247).</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sequence of events recruits ZAP70, forming the LAT signalosome, which branches into critical pathways including the calcium, MAPK, and NF-$\kappa$B pathways, driving T cell differentiation and proliferation.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TCR $\beta$ subunit is an integral component of the plasma membrane.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0g5jf5o33m" w:id="7"/>
      <w:bookmarkEnd w:id="7"/>
      <w:r w:rsidDel="00000000" w:rsidR="00000000" w:rsidRPr="00000000">
        <w:rPr>
          <w:b w:val="1"/>
          <w:color w:val="1b1c1d"/>
          <w:sz w:val="26"/>
          <w:szCs w:val="26"/>
          <w:rtl w:val="0"/>
        </w:rPr>
        <w:t xml:space="preserve">B. Sterol Carrier Protein 2 (SCP2/SCPx): Peroxisomal and Cytosolic Lipid Transfer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Sterol Carrier Protein 2 (SCP2, Gene ID 6342) is a highly conserved, soluble, nonspecific lipid transport protein.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is highly expressed in organs central to lipid metabolism.</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SCP2 is critical for non-vesicular lipid transport and storage, isoprenoid, and cholesterol metabolism.</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tp3ryn2v4dk" w:id="8"/>
      <w:bookmarkEnd w:id="8"/>
      <w:r w:rsidDel="00000000" w:rsidR="00000000" w:rsidRPr="00000000">
        <w:rPr>
          <w:b w:val="1"/>
          <w:color w:val="1b1c1d"/>
          <w:sz w:val="22"/>
          <w:szCs w:val="22"/>
          <w:rtl w:val="0"/>
        </w:rPr>
        <w:t xml:space="preserve">1. Structure and Function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SCP2 derives from a larger gene that produces multiple transcripts, including the 13.2 kDa SCP2 and the larger SCPx.</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SCPx exhibits structural homologies with thiolases and is involved in the peroxisomal $\beta$-oxidation of branched-chain fatty acids, as well as the side chains of bile acid intermediates like di- and trihydroxycoprostanic acids (DHCA and THCA).</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core functional element is the </w:t>
      </w:r>
      <w:r w:rsidDel="00000000" w:rsidR="00000000" w:rsidRPr="00000000">
        <w:rPr>
          <w:b w:val="1"/>
          <w:color w:val="1b1c1d"/>
          <w:rtl w:val="0"/>
        </w:rPr>
        <w:t xml:space="preserve">SCP2 sterol-binding domain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domain possesses a characteristic </w:t>
      </w:r>
      <w:r w:rsidDel="00000000" w:rsidR="00000000" w:rsidRPr="00000000">
        <w:rPr>
          <w:b w:val="1"/>
          <w:color w:val="1b1c1d"/>
          <w:rtl w:val="0"/>
        </w:rPr>
        <w:t xml:space="preserve">3-layer $\alpha/\beta/\alpha$ fold</w:t>
      </w:r>
      <w:r w:rsidDel="00000000" w:rsidR="00000000" w:rsidRPr="00000000">
        <w:rPr>
          <w:color w:val="1b1c1d"/>
          <w:rtl w:val="0"/>
        </w:rPr>
        <w:t xml:space="preserve">, structurally composed of $\alpha/\beta(3)/(crossover)/\beta/(\alpha)/\beta$.</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structure facilitates the transfer of cholesterol, phospholipids, and fatty acyl Coenzyme A (CoA).</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c6kl0sev2mc" w:id="9"/>
      <w:bookmarkEnd w:id="9"/>
      <w:r w:rsidDel="00000000" w:rsidR="00000000" w:rsidRPr="00000000">
        <w:rPr>
          <w:b w:val="1"/>
          <w:color w:val="1b1c1d"/>
          <w:sz w:val="22"/>
          <w:szCs w:val="22"/>
          <w:rtl w:val="0"/>
        </w:rPr>
        <w:t xml:space="preserve">2. Localization and Physiological Regulation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SCP2 exhibits a broad subcellular distribution, localizing to the cytosol, peroxisomes (via a C-terminal peroxisome-targeting sequence), mitochondria, and plasma membrane microdomains such as lipid rafts and caveolae.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Its dysfunction is implicated in diseases of peroxisome function, such as Zellweger syndrome, and metabolic disorders including Type 2 diabetes mellitus (T2DM), obesity, and non-alcoholic fatty liver disease (NAFLD).</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SCP2 modulates several crucial signaling pathways involved in lipogenesis and lipolysis, including SREBP, PPAR$\alpha$, LRH-1, and TORC1.</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protein’s influence on these pathways, in conjunction with its role in dynamic lipid transfer, establishes it as a central metabolic regulator that connects lipid flow directly to gene expression programs.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h9d6z3jcwh" w:id="10"/>
      <w:bookmarkEnd w:id="10"/>
      <w:r w:rsidDel="00000000" w:rsidR="00000000" w:rsidRPr="00000000">
        <w:rPr>
          <w:b w:val="1"/>
          <w:color w:val="1b1c1d"/>
          <w:sz w:val="26"/>
          <w:szCs w:val="26"/>
          <w:rtl w:val="0"/>
        </w:rPr>
        <w:t xml:space="preserve">C. SEC14-Like Lipid Binding 2 (SEC14L2): Vitamin and Squalene Carrier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SEC14L2 is an intracellular carrier protein belonging to the family of SEC14-like domains, specialized in binding and promoting the transfer of various hydrophobic molecules between cellular sites.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lrgxvpwovnk" w:id="11"/>
      <w:bookmarkEnd w:id="11"/>
      <w:r w:rsidDel="00000000" w:rsidR="00000000" w:rsidRPr="00000000">
        <w:rPr>
          <w:b w:val="1"/>
          <w:color w:val="1b1c1d"/>
          <w:sz w:val="22"/>
          <w:szCs w:val="22"/>
          <w:rtl w:val="0"/>
        </w:rPr>
        <w:t xml:space="preserve">1. Carrier Function and Ligand Profile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SEC14L2 is documented to bind with high affinity to $\alpha$-tocopherol, a form of Vitamin E, and with weaker affinity to other tocopherols and tocotrienols.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Based on similarity studies, it is also believed to recognize and bind structures derived from </w:t>
      </w:r>
      <w:r w:rsidDel="00000000" w:rsidR="00000000" w:rsidRPr="00000000">
        <w:rPr>
          <w:b w:val="1"/>
          <w:color w:val="1b1c1d"/>
          <w:rtl w:val="0"/>
        </w:rPr>
        <w:t xml:space="preserve">squalene</w:t>
      </w:r>
      <w:r w:rsidDel="00000000" w:rsidR="00000000" w:rsidRPr="00000000">
        <w:rPr>
          <w:color w:val="1b1c1d"/>
          <w:rtl w:val="0"/>
        </w:rPr>
        <w:t xml:space="preserve">, suggesting a functional role in regulating cholesterol biosynthesis by enhancing the transfer of squalene to an active metabolic pool.</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cpkcouehng5" w:id="12"/>
      <w:bookmarkEnd w:id="12"/>
      <w:r w:rsidDel="00000000" w:rsidR="00000000" w:rsidRPr="00000000">
        <w:rPr>
          <w:b w:val="1"/>
          <w:color w:val="1b1c1d"/>
          <w:sz w:val="22"/>
          <w:szCs w:val="22"/>
          <w:rtl w:val="0"/>
        </w:rPr>
        <w:t xml:space="preserve">2. Localization and Signaling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localization is dynamically regulated by its ligand status. It is found in the cytoplasm when $\alpha$-tocopherol is absent, but it translocates to the nucleus upon ligand presence.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ligand-dependent nucleocytoplasmic shuttling implies that SEC14L2 possesses a direct regulatory or transcriptional activatory role when bound to specific lipophilic nutrients, effectively serving as a signal transducer that links the availability of exogenous lipids directly to changes in the cellular transcriptome.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General Features and Localization of PLM Cluster Proteins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7267140387942"/>
        <w:gridCol w:w="1362.0818129441138"/>
        <w:gridCol w:w="1623.4914538121761"/>
        <w:gridCol w:w="1623.4914538121761"/>
        <w:gridCol w:w="2407.7203764163633"/>
        <w:tblGridChange w:id="0">
          <w:tblGrid>
            <w:gridCol w:w="2008.7267140387942"/>
            <w:gridCol w:w="1362.0818129441138"/>
            <w:gridCol w:w="1623.4914538121761"/>
            <w:gridCol w:w="1623.4914538121761"/>
            <w:gridCol w:w="2407.7203764163633"/>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Protein (Representative Identifier)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Gene Locus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Primary Functional 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Localization (Primary)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Domain Archetype</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TRBV19*... (TCR $\beta$ Subunit)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TRB (6957)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Adaptive Immune Receptor / TCR-CD3 Complex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Cell Surface, Plasma Membrane (Integral)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Immunoglobulin Variable Domain / Single Transmembrane Helix</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SCP2 (Sterol Carrier Protein 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SCP2 (6342)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Intracellular Lipid/Sterol Transfer / $\beta$-oxidation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Cytosol, Peroxisome, Mitochondria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SCP2 Sterol-Binding Domain (3-layer $\alpha/\beta/\alpha$ fold)</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SEC14L2 (SEC14-Like Lipid Binding 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SEC14L2 (Q99MS0)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Hydrophobic Carrier Protein / Lipid Homeostasis 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Cytoplasm, Nucleus (Tocopherol-dependent)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SEC14-like Domain</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mluxlcv1cff" w:id="13"/>
      <w:bookmarkEnd w:id="13"/>
      <w:r w:rsidDel="00000000" w:rsidR="00000000" w:rsidRPr="00000000">
        <w:rPr>
          <w:b w:val="1"/>
          <w:color w:val="1b1c1d"/>
          <w:sz w:val="34"/>
          <w:szCs w:val="34"/>
          <w:rtl w:val="0"/>
        </w:rPr>
        <w:t xml:space="preserve">IV. Mechanistic Analysis of Steroid and Sterol Interactions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3xrudhi5gw8" w:id="14"/>
      <w:bookmarkEnd w:id="14"/>
      <w:r w:rsidDel="00000000" w:rsidR="00000000" w:rsidRPr="00000000">
        <w:rPr>
          <w:b w:val="1"/>
          <w:color w:val="1b1c1d"/>
          <w:sz w:val="26"/>
          <w:szCs w:val="26"/>
          <w:rtl w:val="0"/>
        </w:rPr>
        <w:t xml:space="preserve">A. TCR $\beta$ Subunit: Cholesterol as an Allosteric Regulator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interaction of the T cell receptor complex with sterols represents a non-canonical mechanism where membrane lipid composition directly impacts receptor signal transduction. The TCR $\alpha\beta$ complex directly binds the sterol </w:t>
      </w:r>
      <w:r w:rsidDel="00000000" w:rsidR="00000000" w:rsidRPr="00000000">
        <w:rPr>
          <w:b w:val="1"/>
          <w:color w:val="1b1c1d"/>
          <w:rtl w:val="0"/>
        </w:rPr>
        <w:t xml:space="preserve">cholesterol</w:t>
      </w:r>
      <w:r w:rsidDel="00000000" w:rsidR="00000000" w:rsidRPr="00000000">
        <w:rPr>
          <w:color w:val="1b1c1d"/>
          <w:rtl w:val="0"/>
        </w:rPr>
        <w:t xml:space="preserve"> at the </w:t>
      </w:r>
      <w:r w:rsidDel="00000000" w:rsidR="00000000" w:rsidRPr="00000000">
        <w:rPr>
          <w:b w:val="1"/>
          <w:color w:val="1b1c1d"/>
          <w:rtl w:val="0"/>
        </w:rPr>
        <w:t xml:space="preserve">transmembrane (TM) domain of the TCR $\beta$ subunit</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interaction is specific to the $\alpha\beta$ T cell lineage, as the $\gamma\delta$ TCR does not exhibit cholesterol binding.</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Cholesterol binding to the TCR $\beta$ TM domain exerts two dynamically opposing functions that tune T cell activation kinetics.</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8hm91d3zwxz" w:id="15"/>
      <w:bookmarkEnd w:id="15"/>
      <w:r w:rsidDel="00000000" w:rsidR="00000000" w:rsidRPr="00000000">
        <w:rPr>
          <w:b w:val="1"/>
          <w:color w:val="1b1c1d"/>
          <w:sz w:val="22"/>
          <w:szCs w:val="22"/>
          <w:rtl w:val="0"/>
        </w:rPr>
        <w:t xml:space="preserve">1. Negative Allosteric Regulation and Quiescence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Cholesterol acts as a natural negative allosteric regulator by stabilizing the TCR complex in an </w:t>
      </w:r>
      <w:r w:rsidDel="00000000" w:rsidR="00000000" w:rsidRPr="00000000">
        <w:rPr>
          <w:b w:val="1"/>
          <w:color w:val="1b1c1d"/>
          <w:rtl w:val="0"/>
        </w:rPr>
        <w:t xml:space="preserve">inactive, non-signaling conformation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conformational stabilization is essential for T cell tolerance and quiescence, ensuring that the $\alpha\beta$ T cell remains inert in the absence of its specific antigenic pMHC ligand.</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Experimental depletion of cholesterol (via extraction or oxidation) causes the spontaneous shift of the TCR equilibrium toward the active state, initiating low-level T cell signaling.</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Likewise, mutation of the TCR $\beta$ TM domain to abolish cholesterol binding forces the equilibrium toward the active state.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molecular mechanism confirms that the TCR $\beta$ TM domain functions as a chemosensor, actively sensing local cholesterol concentration to impose a conformational constraint on the receptor complex, thereby governing the necessary energy threshold for activation.</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5jc2bp6wk4m" w:id="16"/>
      <w:bookmarkEnd w:id="16"/>
      <w:r w:rsidDel="00000000" w:rsidR="00000000" w:rsidRPr="00000000">
        <w:rPr>
          <w:b w:val="1"/>
          <w:color w:val="1b1c1d"/>
          <w:sz w:val="22"/>
          <w:szCs w:val="22"/>
          <w:rtl w:val="0"/>
        </w:rPr>
        <w:t xml:space="preserve">2. Positive Regulation via Nanoclustering and Avidity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direct contrast to its stabilizing, inhibitory role, cholesterol binding simultaneously promotes the </w:t>
      </w:r>
      <w:r w:rsidDel="00000000" w:rsidR="00000000" w:rsidRPr="00000000">
        <w:rPr>
          <w:b w:val="1"/>
          <w:color w:val="1b1c1d"/>
          <w:rtl w:val="0"/>
        </w:rPr>
        <w:t xml:space="preserve">increased formation of TCR nanoclusters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formation of these stable micro-domains enhances the functional avidity of the TCRs toward the pMHC ligand.</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These nanoclusters exhibit positive cooperativity, meaning that stabilizing one receptor within the cluster in the active state facilitates the shift of adjacent receptors to the active state upon ligand binding.</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clustering mechanism increases the overall sensitivity of the T cell to antigen stimulation.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Physiologically, this effect is relevant in cancer immunotherapy; pharmacologically increasing cholesterol concentration in T cells enhances TCR clustering and subsequently strengthens anti-tumor responses in mouse models.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complex interplay between these two mechanisms (stabilization of the inactive state and promotion of high-avidity clustering) dictates the ultimate threshold for T cell activation. The system exploits membrane cholesterol availability to set the level of immunological responsiveness, demanding a higher pMHC trigger to overcome the stabilized inactive conformation when cholesterol is abundant, yet simultaneously maximizing the potential signaling efficiency through enhanced clustering.</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et7o6aibhiz" w:id="17"/>
      <w:bookmarkEnd w:id="17"/>
      <w:r w:rsidDel="00000000" w:rsidR="00000000" w:rsidRPr="00000000">
        <w:rPr>
          <w:b w:val="1"/>
          <w:color w:val="1b1c1d"/>
          <w:sz w:val="26"/>
          <w:szCs w:val="26"/>
          <w:rtl w:val="0"/>
        </w:rPr>
        <w:t xml:space="preserve">B. SCP2: The Steroidogenesis Facilitator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 Carrier Protein 2 plays a pivotal role in regulating the kinetics and translocation of sterol molecules within the cell, particularly those critical for steroid hormone synthesis.</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xombca2dxqu" w:id="18"/>
      <w:bookmarkEnd w:id="18"/>
      <w:r w:rsidDel="00000000" w:rsidR="00000000" w:rsidRPr="00000000">
        <w:rPr>
          <w:b w:val="1"/>
          <w:color w:val="1b1c1d"/>
          <w:sz w:val="22"/>
          <w:szCs w:val="22"/>
          <w:rtl w:val="0"/>
        </w:rPr>
        <w:t xml:space="preserve">1. Steroidogenic Activity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SCP2 efficiently binds and transfers cholesterol and key sterol precursors, including 7-dehydrocholesterol.</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Its most recognized role in steroid metabolism is its capacity to enhance the rate-limiting step of steroidogenesis: the non-vesicular movement of cholesterol to the inner mitochondrial membrane.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translocation is necessary for the subsequent conversion of cholesterol into pregnenolone, the foundational precursor for all steroid hormones.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Studies confirm this crucial function: anti-SCP2 antibodies reduce steroid secretion in intact cells, and overexpression of SCP2 increases progestin production in engineered cells.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SCP2 expression is responsive to tropic hormones that stimulate steroidogenesis, further establishing it as an integrated and dynamic factor in the endocrine system.</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lugzjws78aa" w:id="19"/>
      <w:bookmarkEnd w:id="19"/>
      <w:r w:rsidDel="00000000" w:rsidR="00000000" w:rsidRPr="00000000">
        <w:rPr>
          <w:b w:val="1"/>
          <w:color w:val="1b1c1d"/>
          <w:sz w:val="22"/>
          <w:szCs w:val="22"/>
          <w:rtl w:val="0"/>
        </w:rPr>
        <w:t xml:space="preserve">2. Adaptable Binding Mechanism</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mechanism of SCP2’s function relies on the encapsulating ability of its $\alpha/\beta/\alpha$ binding pocket.</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structure enables rapid, non-vesicular transfer across the aqueous cellular compartments and facilitates membrane remodeling, including the redistribution of signaling lipids between intracellular sites and lipid rafts/caveolae at the plasma membrane.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SCP2’s affinity is broad, accommodating cholesterol, fatty acids, and large bile acid intermediates.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molecular flexibility suggests that the SCP2 binding domain, while specifically categorized as sterol-binding, is architecturally optimized for adaptable accommodation of diverse hydrophobic molecules possessing rigid ring structures or long aliphatic chains.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qwxsaf67ihh" w:id="20"/>
      <w:bookmarkEnd w:id="20"/>
      <w:r w:rsidDel="00000000" w:rsidR="00000000" w:rsidRPr="00000000">
        <w:rPr>
          <w:b w:val="1"/>
          <w:color w:val="1b1c1d"/>
          <w:sz w:val="26"/>
          <w:szCs w:val="26"/>
          <w:rtl w:val="0"/>
        </w:rPr>
        <w:t xml:space="preserve">C. SEC14L2: Cholesterol Uptake and Biosynthesis Links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SEC14L2 mediates sterol-related function by regulating both endogenous production and exogenous uptake of cholesterol.</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qxxwlrt72t" w:id="21"/>
      <w:bookmarkEnd w:id="21"/>
      <w:r w:rsidDel="00000000" w:rsidR="00000000" w:rsidRPr="00000000">
        <w:rPr>
          <w:b w:val="1"/>
          <w:color w:val="1b1c1d"/>
          <w:sz w:val="22"/>
          <w:szCs w:val="22"/>
          <w:rtl w:val="0"/>
        </w:rPr>
        <w:t xml:space="preserve">1. Regulation of Cholesterol Biosynthesis and Uptake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SEC14L2 is implicated in regulating the earliest stages of cholesterol synthesis via its hypothesized binding affinity for </w:t>
      </w:r>
      <w:r w:rsidDel="00000000" w:rsidR="00000000" w:rsidRPr="00000000">
        <w:rPr>
          <w:b w:val="1"/>
          <w:color w:val="1b1c1d"/>
          <w:rtl w:val="0"/>
        </w:rPr>
        <w:t xml:space="preserve">squalene</w:t>
      </w:r>
      <w:r w:rsidDel="00000000" w:rsidR="00000000" w:rsidRPr="00000000">
        <w:rPr>
          <w:color w:val="1b1c1d"/>
          <w:rtl w:val="0"/>
        </w:rPr>
        <w:t xml:space="preserve"> structures.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By binding squalene, SEC14L2 is thought to increase the flow of this intermediate into the active metabolic pathway leading to cholesterol production.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In addition to synthesis regulation, SEC14L2 directly controls the import of external cholesterol. It has been shown to regulate the transport of cholesterol by promoting the expression and/or activity of the scavenger receptor class B, member 1 (SCARB1).</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SCARB1 is a key receptor for high-density lipoprotein (HDL) cholesterol uptake.</w:t>
      </w:r>
    </w:p>
    <w:p w:rsidR="00000000" w:rsidDel="00000000" w:rsidP="00000000" w:rsidRDefault="00000000" w:rsidRPr="00000000" w14:paraId="000000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3eyzrfsvttf" w:id="22"/>
      <w:bookmarkEnd w:id="22"/>
      <w:r w:rsidDel="00000000" w:rsidR="00000000" w:rsidRPr="00000000">
        <w:rPr>
          <w:b w:val="1"/>
          <w:color w:val="1b1c1d"/>
          <w:sz w:val="22"/>
          <w:szCs w:val="22"/>
          <w:rtl w:val="0"/>
        </w:rPr>
        <w:t xml:space="preserve">2. Pathological Relevance in Metabolism</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SEC14L2-SCARB1 axis links intracellular carrier activity directly to plasma membrane receptor function, establishing a mechanism that rapidly adjusts cellular cholesterol burden based on internal metabolic needs.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mechanism holds significant pathological relevance. In non-small cell lung cancer (NSCLC), silencing SEC14L2 significantly inhibits tumor proliferation and migration by reducing cholesterol uptake, confirming that SEC14L2 fuels cancer growth by sustaining high lipid availability.</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protein thus represents a critical node linking metabolic flux and oncogenic progression through its regulatory control of sterol availability.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Mechanistic Summary of Sterol and Sterol-Precursor Interactions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6.0456410014617"/>
        <w:gridCol w:w="1815.9113583855913"/>
        <w:gridCol w:w="1945.6193125559907"/>
        <w:gridCol w:w="1783.4843698429913"/>
        <w:gridCol w:w="2464.4511292375882"/>
        <w:tblGridChange w:id="0">
          <w:tblGrid>
            <w:gridCol w:w="1016.0456410014617"/>
            <w:gridCol w:w="1815.9113583855913"/>
            <w:gridCol w:w="1945.6193125559907"/>
            <w:gridCol w:w="1783.4843698429913"/>
            <w:gridCol w:w="2464.4511292375882"/>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Primary Sterol/Steroid Ligands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Binding Site/Domain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Interaction 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Physiological/Pathological Outcome</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TCR $\beta$ Subunit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Transmembrane (TM) Domain of TCR $\beta$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Direct Allosteric Binding: Stabilizes inactive conformation; drives nanoclustering.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Regulates T cell quiescence and antigen avidity; crucial for anti-tumor response sensitivity.</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SCP2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Cholesterol, 7-Dehydrocholesterol, Bile Acids (DHCA/THCA)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SCP2 Sterol-Binding Pocket ($\alpha/\beta/\alpha$ fold)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Non-Vesicular Intracellular Transfer/Exchange.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Stimulates mitochondrial steroidogenesis (pregnenolone synthesis); involved in metabolic disorders (NAFLD, T2DM).</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SEC14L2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Squalene, $\alpha$-Tocopherol, External Cholesterol (Indirect)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SEC14-like Carrier Pocket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Carrier function; regulates uptake via SCARB1 upregulation and biosynthetic channeling.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Modulates endogenous cholesterol biosynthesis; promotes oncogenic cholesterol uptake (NSCLC).</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rh1kn808yyg" w:id="23"/>
      <w:bookmarkEnd w:id="23"/>
      <w:r w:rsidDel="00000000" w:rsidR="00000000" w:rsidRPr="00000000">
        <w:rPr>
          <w:b w:val="1"/>
          <w:color w:val="1b1c1d"/>
          <w:sz w:val="34"/>
          <w:szCs w:val="34"/>
          <w:rtl w:val="0"/>
        </w:rPr>
        <w:t xml:space="preserve">V. Cross-Cutting Overview and Interpretation of PLM Clustering</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grouping of TRBV19 (TCR $\beta$ TM domain), SCP2 (soluble carrier), and SEC14L2 (SEC14-like domain) into a single sterol-binding cluster based on PLM embeddings is a major computational finding that requires detailed biophysical justification. This clustering transcends traditional structural homology and indicates a high-level convergence in the sequence features required for sterol handling.</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sygv65xds2f" w:id="24"/>
      <w:bookmarkEnd w:id="24"/>
      <w:r w:rsidDel="00000000" w:rsidR="00000000" w:rsidRPr="00000000">
        <w:rPr>
          <w:b w:val="1"/>
          <w:color w:val="1b1c1d"/>
          <w:sz w:val="26"/>
          <w:szCs w:val="26"/>
          <w:rtl w:val="0"/>
        </w:rPr>
        <w:t xml:space="preserve">A. Shared Thematic Convergence: The Cholesterol Axis and Membrane Dynamics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primary unifying biological principle across the cluster is the dynamic regulation of cholesterol and sterol precursor dynamics at critical regulatory bottlenecks within the cell. Each protein serves to modulate the utilization, transport, or signaling capability of sterols, forming a comprehensive cellular sterol control system:</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Metabolic Flow Control:</w:t>
      </w:r>
      <w:r w:rsidDel="00000000" w:rsidR="00000000" w:rsidRPr="00000000">
        <w:rPr>
          <w:color w:val="1b1c1d"/>
          <w:rtl w:val="0"/>
        </w:rPr>
        <w:t xml:space="preserve"> SCP2 and SEC14L2 primarily govern metabolic flow, ensuring efficient delivery of sterols (SCP2) and precursors (SEC14L2/Squalene) to synthesis and catabolic pathways.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Membrane Bioregulation:</w:t>
      </w:r>
      <w:r w:rsidDel="00000000" w:rsidR="00000000" w:rsidRPr="00000000">
        <w:rPr>
          <w:color w:val="1b1c1d"/>
          <w:rtl w:val="0"/>
        </w:rPr>
        <w:t xml:space="preserve"> Both the TCR $\beta$ subunit and SCP2 are actively involved in modulating processes reliant on specific membrane lipid organization, such as lipid rafts and caveolae.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TCR $\beta$ utilizes cholesterol binding for nanoclustering </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while SCP2 can selectively redistribute signaling lipids within these microdomains.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convergence around localized membrane dynamics suggests that cholesterol binding, regardless of the protein environment, is fundamentally tied to lipid raft organization and signaling kinetics.</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pf6qh3t732u" w:id="25"/>
      <w:bookmarkEnd w:id="25"/>
      <w:r w:rsidDel="00000000" w:rsidR="00000000" w:rsidRPr="00000000">
        <w:rPr>
          <w:b w:val="1"/>
          <w:color w:val="1b1c1d"/>
          <w:sz w:val="26"/>
          <w:szCs w:val="26"/>
          <w:rtl w:val="0"/>
        </w:rPr>
        <w:t xml:space="preserve">B. The Structural Basis for PLM Clustering: Sequence Motifs for Hydrophobic Accommodation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compelling explanation for the PLM clustering lies in the abstraction of sequence features that encode the geometry necessary for sterol recognition. The cluster integrates proteins with soluble $\alpha/\beta/\alpha$ folds (SCP2) </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SEC14-like folds (SEC14L2), and the single transmembrane $\alpha$-helix interaction motif (TCR $\beta$ TM).</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Traditional sequence or structural homology methods would fail to group these disparate domains.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rigid, bulky tetracyclic core of cholesterol and sterols necessitates a specialized, highly hydrophobic environment for stable binding or encapsulation. The PLM, trained on vast datasets of protein sequence and structural context, successfully detects recurring, convergent sequence signatures that are optimized for this specific biophysical requirement. These recurring signatures likely include localized high-density clusters of large hydrophobic residues (e.g., Leucine, Phenylalanine, Tryptophan) that define the flat, deep surfaces necessary to bury the sterol core.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SCP2 and SEC14L2, this sequence language determines the flexibility and chemical potential of the internal binding pocket required for dynamic, non-vesicular transfer. For the TCR $\beta$ TM domain, this sequence language defines the optimal interface for lateral interaction with membrane cholesterol to stabilize a specific conformational state.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common signal recognized by the PLM is the requirement for creating a specialized, highly hydrophobic interface—whether internal (carrier pocket) or external (membrane helix surface)—that efficiently stabilizes or accommodates the bulky sterol structure. This demonstrates the PLM’s ability to generalize sequence function based on chemical constraints, confirming its utility in identifying functional relationships that arise from convergent evolution rather than common ancestry.</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Structural and Computational Convergence: Explaining the PLM Cluster</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1.1227571963343"/>
        <w:gridCol w:w="2426.5310442752034"/>
        <w:gridCol w:w="2752.041306312121"/>
        <w:gridCol w:w="2115.816703239964"/>
        <w:tblGridChange w:id="0">
          <w:tblGrid>
            <w:gridCol w:w="1731.1227571963343"/>
            <w:gridCol w:w="2426.5310442752034"/>
            <w:gridCol w:w="2752.041306312121"/>
            <w:gridCol w:w="2115.816703239964"/>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Feature Category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TCR β Subunit (Membrane)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color w:val="1b1c1d"/>
                <w:rtl w:val="0"/>
              </w:rPr>
              <w:t xml:space="preserve">SCP2/SEC14L2 (Soluble)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PLM Clustering Interpretation</w:t>
            </w:r>
            <w:r w:rsidDel="00000000" w:rsidR="00000000" w:rsidRPr="00000000">
              <w:rPr>
                <w:rtl w:val="0"/>
              </w:rPr>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Ligand Profile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Rigid, bulky sterol (Cholesterol).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Rigid, bulky sterols/precursors (Cholesterol, Squalene, Bile Acids).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The PLM detects a common sequence composition optimized for binding the planar sterol core.</w:t>
            </w:r>
          </w:p>
        </w:tc>
      </w:tr>
      <w:tr>
        <w:trPr>
          <w:cantSplit w:val="0"/>
          <w:trHeight w:val="357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color w:val="1b1c1d"/>
                <w:rtl w:val="0"/>
              </w:rPr>
              <w:t xml:space="preserve">Mechanistic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Allosteric conformational stabilization and receptor clustering.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Non-vesicular transfer requiring dynamic encapsulation/release.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Clustering identifies sequences encoding highly hydrophobic interfaces necessary for deep ligand accommodation, regardless of environmental phase.</w:t>
            </w:r>
          </w:p>
        </w:tc>
      </w:tr>
      <w:tr>
        <w:trPr>
          <w:cantSplit w:val="0"/>
          <w:trHeight w:val="357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b w:val="1"/>
                <w:color w:val="1b1c1d"/>
                <w:rtl w:val="0"/>
              </w:rPr>
              <w:t xml:space="preserve">Pathway Linkage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Adaptive Immune cell signaling and membrane mechanosensation.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Systemic Metabolic flow and targeted membrane microdomain regulation.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PLMs group sequences mediating high-sensitivity interaction with key metabolic regulators (sterols) at functionally critical signaling or transport nodes.</w:t>
            </w:r>
          </w:p>
        </w:tc>
      </w:tr>
    </w:tbl>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opst1jkqsrs" w:id="26"/>
      <w:bookmarkEnd w:id="26"/>
      <w:r w:rsidDel="00000000" w:rsidR="00000000" w:rsidRPr="00000000">
        <w:rPr>
          <w:b w:val="1"/>
          <w:color w:val="1b1c1d"/>
          <w:sz w:val="34"/>
          <w:szCs w:val="34"/>
          <w:rtl w:val="0"/>
        </w:rPr>
        <w:t xml:space="preserve">VI. Conclusion and Future Directions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investigation of this PLM-derived cluster validates a compelling convergence of adaptive immunity (TCR $\beta$ subunit) and fundamental lipid metabolism (SCP2 and SEC14L2) around the cholesterol axis. The TCR $\beta$ subunit leverages cholesterol binding to its transmembrane domain for sophisticated regulation of T cell responsiveness, acting as a crucial biophysical gatekeeper of immune activation. Concurrently, SCP2 and SEC14L2 manage the metabolic supply and cellular uptake of cholesterol and its precursors, directly impacting steroidogenesis and oncogenic metabolism.</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validation of mechanistic sterol interactions across all three molecular archetypes strongly supports the computational hypothesis that the PLM embeddings accurately identified shared sequence characteristics. This finding underscores the power of utilizing high-dimensional sequence embeddings (such as those generated via Sliced-Wasserstein methods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to reveal non-homologous functional linkages. The successful clustering demonstrates that PLMs can effectively recognize the specialized sequence language required for stable hydrophobic accommodation of the rigid sterol molecule, abstracting this feature away from the diverse global protein folds and cellular environments in which the proteins operate.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focus on structural validation of this computational hypothesis. This requires using computational saliency mapping tools to identify the specific residues and sequence motifs within the TCR $\beta$ TM domain, the SCP2 $\alpha/\beta/\alpha$ pocket, and the SEC14L2 pocket that contributed most significantly to the PLM clustering vector. Subsequent targeted mutagenesis and detailed biophysical analysis are necessary to compare the chemical and structural properties of these localized interaction sites, thereby confirming the existence of a convergent, universally recognized "sterol-binding sequence signature." This approach will bridge the gap between abstract computational features and concrete biological mechanisms.</w:t>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