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reejbdxuzj9" w:id="0"/>
      <w:bookmarkEnd w:id="0"/>
      <w:r w:rsidDel="00000000" w:rsidR="00000000" w:rsidRPr="00000000">
        <w:rPr>
          <w:b w:val="1"/>
          <w:color w:val="1b1c1d"/>
          <w:sz w:val="46"/>
          <w:szCs w:val="46"/>
          <w:rtl w:val="0"/>
        </w:rPr>
        <w:t xml:space="preserve">Cytochrome P450 3A Hydroxylases: The Molecular and Physiological Nexus of Bile Acid Detoxification and Steroid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bwniyjpui47" w:id="1"/>
      <w:bookmarkEnd w:id="1"/>
      <w:r w:rsidDel="00000000" w:rsidR="00000000" w:rsidRPr="00000000">
        <w:rPr>
          <w:b w:val="1"/>
          <w:color w:val="1b1c1d"/>
          <w:sz w:val="34"/>
          <w:szCs w:val="34"/>
          <w:rtl w:val="0"/>
        </w:rPr>
        <w:t xml:space="preserve">I. INTRODUCTION TO THE CYP3A SUPERFAMILY AND THE LITHOHYDROXYLASE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Cytochrome P450 (CYP) enzymes constitute a large superfamily of heme-containing proteins that operate primarily as monooxygenases, forming the terminal oxidase enzymes within electron transfer chains.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are foundational to Phase I metabolism in mammals, catalyzing reactions that convert highly lipophilic endogenous compounds (such as steroids and fatty acids) and exogenous substances (xenobiotics) into more polar, hydrophilic derivatives that can be readily excreted.</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2cjto2scuvk" w:id="2"/>
      <w:bookmarkEnd w:id="2"/>
      <w:r w:rsidDel="00000000" w:rsidR="00000000" w:rsidRPr="00000000">
        <w:rPr>
          <w:b w:val="1"/>
          <w:color w:val="1b1c1d"/>
          <w:sz w:val="26"/>
          <w:szCs w:val="26"/>
          <w:rtl w:val="0"/>
        </w:rPr>
        <w:t xml:space="preserve">1.1 Classification and Nomenclature of the CYP3A Subfamily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focus of this specialized cluster is the Cytochrome P450 3A subfamily, specifically anchored by the hamster enzyme Lithocholate $6\beta$-hydroxylase, systematically named </w:t>
      </w:r>
      <w:r w:rsidDel="00000000" w:rsidR="00000000" w:rsidRPr="00000000">
        <w:rPr>
          <w:b w:val="1"/>
          <w:color w:val="1b1c1d"/>
          <w:rtl w:val="0"/>
        </w:rPr>
        <w:t xml:space="preserve">CYP3A10</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enzyme is formally classified under the Enzyme Commission (EC) designation </w:t>
      </w:r>
      <w:r w:rsidDel="00000000" w:rsidR="00000000" w:rsidRPr="00000000">
        <w:rPr>
          <w:b w:val="1"/>
          <w:color w:val="1b1c1d"/>
          <w:rtl w:val="0"/>
        </w:rPr>
        <w:t xml:space="preserve">EC 1.14.14.138</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systematic nomenclature defines its function as lithocholate,:oxygen oxidoreductase ($6\beta$-hydroxylating).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core catalytic reaction involves the $6\beta$-hydroxylation of lithocholate (LCA), where lithocholate (3$\alpha$-hydroxy-5$\beta$-cholan-24-oate) reacts with reduced NADPH-hemoprotein reductase and molecular oxygen to yield $6\beta$-hydroxylithocholate (or murideoxycholate).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highly conserved family in humans includes the major isoforms CYP3A4, CYP3A5, and the fetal form CYP3A7, all of which exhibit overlapping roles in sterol metabolism.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fsiigmgya1" w:id="3"/>
      <w:bookmarkEnd w:id="3"/>
      <w:r w:rsidDel="00000000" w:rsidR="00000000" w:rsidRPr="00000000">
        <w:rPr>
          <w:b w:val="1"/>
          <w:color w:val="1b1c1d"/>
          <w:sz w:val="26"/>
          <w:szCs w:val="26"/>
          <w:rtl w:val="0"/>
        </w:rPr>
        <w:t xml:space="preserve">1.2 Physiological Mandate: The Detoxification of Lithocholic Acid (LCA)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physiological role underlying the evolution of this enzymatic activity is the necessary detoxification of lithocholic acid (LCA). LCA is a secondary bile acid produced from chenodeoxycholic acid via bacterial action in the colon.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Due to its high hydrophobicity, LCA is inherently toxic. If its concentration rises too high, it can precipitate within the liver canaliculi, leading to pathological cholestasis.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$6\beta$-hydroxylation pathway catalyzed by CYP3A10, and functionally mirrored by the human CYP3A isoforms, represents the major catabolic route for LCA elimination.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By converting LCA into the more hydrophilic $6\beta$-hydroxylithocholate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 ensures the maintenance of the critical bile acid pool integrity and prevents liver toxicity associated with excessive LCA accumulation.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99ytyd3rlb" w:id="4"/>
      <w:bookmarkEnd w:id="4"/>
      <w:r w:rsidDel="00000000" w:rsidR="00000000" w:rsidRPr="00000000">
        <w:rPr>
          <w:b w:val="1"/>
          <w:color w:val="1b1c1d"/>
          <w:sz w:val="34"/>
          <w:szCs w:val="34"/>
          <w:rtl w:val="0"/>
        </w:rPr>
        <w:t xml:space="preserve">II. GENERAL BIOCHEMISTRY AND STRUCTURAL CHARACTERISTICS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is9btmrc3s" w:id="5"/>
      <w:bookmarkEnd w:id="5"/>
      <w:r w:rsidDel="00000000" w:rsidR="00000000" w:rsidRPr="00000000">
        <w:rPr>
          <w:b w:val="1"/>
          <w:color w:val="1b1c1d"/>
          <w:sz w:val="26"/>
          <w:szCs w:val="26"/>
          <w:rtl w:val="0"/>
        </w:rPr>
        <w:t xml:space="preserve">2.1 Foundational P450 Architecture and Mechanism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 enzymes share a conserved tertiary architecture typically comprising 12 common $\alpha$-helices (A-L) and four $\beta$-sheets.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These proteins are generally localized to the membrane of the endoplasmic reticulum.</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catalytic mechanism depends on a heme-iron center situated in the active site, which is bound to the protein via a conserved cysteine thiolate ligand.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As monooxygenases, CYP enzymes bind two oxygen molecules to this ferrous heme iron, incorporating one oxygen atom into the substrate while converting the other into water.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process requires the delivery of electrons from the electron donor, NADPH, which is typically facilitated by the associated NADPH-P450 reductase.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2qussktomoo" w:id="6"/>
      <w:bookmarkEnd w:id="6"/>
      <w:r w:rsidDel="00000000" w:rsidR="00000000" w:rsidRPr="00000000">
        <w:rPr>
          <w:b w:val="1"/>
          <w:color w:val="1b1c1d"/>
          <w:sz w:val="26"/>
          <w:szCs w:val="26"/>
          <w:rtl w:val="0"/>
        </w:rPr>
        <w:t xml:space="preserve">2.2 Structural Homology and the Molecular Basis of Promiscuity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CYP3A subfamily is renowned for its broad substrate specificity, enabling it to metabolize approximately 30 to 50 percent of all clinically used drugs, in addition to endogenous molecules.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promiscuity is structurally underpinned by an unusually large and flexible active site cavity, particularly in the predominant human form, CYP3A4, compared to other CYP families.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CYP3A4 is known to possess multiple substrate binding sites, a feature that allows it to interact with diverse ligands simultaneously.</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isoforms, CYP3A4 and CYP3A5, exhibit extremely high sequence homology, sharing approximately 83 to 84.1 percent identical amino acids.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substantial similarity dictates that they share many common substrate classes, including large lipophilic steroids and bile acids. However, detailed structural analysis reveals subtle but functionally significant differences, particularly in key flexible regions, which account for measured kinetic divergences between the isoforms. For instance, CYP3A4 typically exhibits a 3- to 4-fold lower Michaelis constant ($K_m$) for several substrates when compared to CYP3A5 or CYP3A7.</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observation indicates that while they share common structural roots, localized variations modify the efficiency and affinity of substrate binding.</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mxln4dqkwcu" w:id="7"/>
      <w:bookmarkEnd w:id="7"/>
      <w:r w:rsidDel="00000000" w:rsidR="00000000" w:rsidRPr="00000000">
        <w:rPr>
          <w:b w:val="1"/>
          <w:color w:val="1b1c1d"/>
          <w:sz w:val="26"/>
          <w:szCs w:val="26"/>
          <w:rtl w:val="0"/>
        </w:rPr>
        <w:t xml:space="preserve">2.3 Role of Dynamic Loops (F-G/F-F') in Ligand Recognition and Conformational Plasticity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dynamic structural elements within the CYP3A active site are fundamental to their broad yet differential substrate recognition. The conformational malleability of the F-G and F-F' loop/helix regions (around residues 211–220) is crucial for governing ligand access and specificity.</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Molecular dynamics simulations have demonstrated that large-scale movements in these regions occur upon interaction with the lipid bilayer, which facilitates the opening and closing of the substrate access channel connecting the active site to the membrane surface.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differences in the F-F' loop are directly linked to the divergent specificities between CYP3A4 and CYP3A5.</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For example, studies on the binding of specific inhibitors to CYP3A5 have revealed a unique conformation of the F-F' loop in this isoform.</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Replacing the highly conserved residue G214 in CYP3A5 with the D214 residue found in CYP3A4 would sterically clash with neighboring residues and impede the formation of this unique F-F' loop conformation.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structural plasticity, controlled by sequence variations in dynamic loops, allows for nuanced differences in ligand selectivity, despite the high overall sequence identity.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mechanism is further complicated by the fact that the large active site supports complex kinetic behavior, including cooperativity.</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kinetic deviation is not merely a consequence of multiple substrate binding but represents a complex allosteric mechanism.</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CYP3A proteins contain allosteric sites, distinct from the orthosteric active site, where effectors can bind and induce conformational changes that modulate catalytic activity.</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allosteric regulation—involving ligand-induced changes and the modulation of homo- or hetero-oligomer formation—is suggested to be a critical physiological strategy. By dynamically adjusting the enzyme's conformation, this mechanism improves the coupling efficiency of the monooxygenase system, thereby preventing unproductive electron flow and maximizing the catalytic output of a promiscuous enzyme in the dense environment of the endoplasmic reticulum.</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ozlqoprpwqr" w:id="8"/>
      <w:bookmarkEnd w:id="8"/>
      <w:r w:rsidDel="00000000" w:rsidR="00000000" w:rsidRPr="00000000">
        <w:rPr>
          <w:b w:val="1"/>
          <w:color w:val="1b1c1d"/>
          <w:sz w:val="34"/>
          <w:szCs w:val="34"/>
          <w:rtl w:val="0"/>
        </w:rPr>
        <w:t xml:space="preserve">III. STEROID AND STEROL INTERACTION MECHANISMS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characteristic of this protein cluster is its capacity to bind and catalyze hydroxylation reactions on endogenous sterol-like molecules, spanning both bile acid detoxification and steroid hormone catabolism.</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gy3ablfbrr5" w:id="9"/>
      <w:bookmarkEnd w:id="9"/>
      <w:r w:rsidDel="00000000" w:rsidR="00000000" w:rsidRPr="00000000">
        <w:rPr>
          <w:b w:val="1"/>
          <w:color w:val="1b1c1d"/>
          <w:sz w:val="26"/>
          <w:szCs w:val="26"/>
          <w:rtl w:val="0"/>
        </w:rPr>
        <w:t xml:space="preserve">3.1 Lithocholic Acid (LCA) Metabolism and Comparative Kinetics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characterization of CYP3A10 (Lithocholate $6\beta$-hydroxylase) in the hamster liver established the kinetic priority of LCA.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Recombinant CYP3A10 demonstrated similar maximum reaction velocities ($V_{max}$) for the $6\beta$-hydroxylation of both LCA (164 pmol/min/mg) and the steroid androstenedione (132 pmol/min/mg).</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the enzyme displayed a dramatically higher affinity for the toxic bile acid, metabolizing LCA with a three-fold lower Michaelis constant ($K_m$) (25 $\mu$M) compared to androstenedione (75 $\mu$M).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lower $K_m$ confirms LCA as the kinetically preferred endogenous substrate, validating the enzyme's central role in bile acid detoxification.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capacity to perform $6\beta$-hydroxylation for LCA, as well as for major steroid hormones (e.g., testosterone, androstenedione), suggests that the conserved structural geometry required for $6\beta$ oxidation is the basal catalytic configuration for processing endogenous sterol compounds in the CYP3A family. This mechanical link unifies the enzyme's roles in detoxification and hormone catabolism under a common structural requirement.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humans, CYP3A4 and CYP3A5 also participate in LCA biotransformation.</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CYP3A4 catalyzes the $6\alpha$-hydroxylation of LCA, yielding $6\alpha$-hydroxy-LCA (hyodeoxycholic acid), and is also involved in the formation of other products such as $1\beta$-hydroxy-LCA and 3-dehydro-LCA.</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y15hiqykbrr" w:id="10"/>
      <w:bookmarkEnd w:id="10"/>
      <w:r w:rsidDel="00000000" w:rsidR="00000000" w:rsidRPr="00000000">
        <w:rPr>
          <w:b w:val="1"/>
          <w:color w:val="1b1c1d"/>
          <w:sz w:val="26"/>
          <w:szCs w:val="26"/>
          <w:rtl w:val="0"/>
        </w:rPr>
        <w:t xml:space="preserve">3.2 Metabolism of Endogenous Steroid Hormones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CYP3A cluster functions as a highly active catalyst of steroid-hormone $6\beta$-hydroxylation.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function is paramount to endocrine homeostasis, regulating the activity and elimination of numerous hormonal signals.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Steroids assayed against expressed CYP3A10 included testosterone, progesterone, and androstenedione, all of which demonstrated $6\beta$-hydroxylation as a primary metabolic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Other specific hydroxylations observed included androstenedione $16\alpha$-hydroxylation and progesterone $16\alpha$- and $21$-hydroxylation.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critical functional distinction exists among the human isoforms regarding regioselectivity, the exact position of hydroxylation on the steroid ring:</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Adult Forms (CYP3A4/3A5):</w:t>
      </w:r>
      <w:r w:rsidDel="00000000" w:rsidR="00000000" w:rsidRPr="00000000">
        <w:rPr>
          <w:color w:val="1b1c1d"/>
          <w:rtl w:val="0"/>
        </w:rPr>
        <w:t xml:space="preserve"> Predominantly catalyze the $6\beta$-hydroxylation of testosterone.</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Fetal Form (CYP3A7):</w:t>
      </w:r>
      <w:r w:rsidDel="00000000" w:rsidR="00000000" w:rsidRPr="00000000">
        <w:rPr>
          <w:color w:val="1b1c1d"/>
          <w:rtl w:val="0"/>
        </w:rPr>
        <w:t xml:space="preserve"> Exhibits significantly higher $2\alpha$-hydroxylation activity of testosterone.</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studies, including </w:t>
      </w:r>
      <w:r w:rsidDel="00000000" w:rsidR="00000000" w:rsidRPr="00000000">
        <w:rPr>
          <w:i w:val="1"/>
          <w:color w:val="1b1c1d"/>
          <w:rtl w:val="0"/>
        </w:rPr>
        <w:t xml:space="preserve">in silico</w:t>
      </w:r>
      <w:r w:rsidDel="00000000" w:rsidR="00000000" w:rsidRPr="00000000">
        <w:rPr>
          <w:color w:val="1b1c1d"/>
          <w:rtl w:val="0"/>
        </w:rPr>
        <w:t xml:space="preserve"> docking, illustrate the molecular basis of this functional shift: while CYP3A4 favors a binding mode that positions testosterone for oxidation at C6$\beta$, CYP3A7 favors an alternative binding mode where the steroid methyl groups are positioned away from the heme, promoting oxidation at C2$\alpha$.</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CYP3A7 is chiefly expressed in the fetal liver and placenta, where it is believed to protect the fetus from toxic levels of endogenous steroids.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resulting $2\alpha$-hydroxylated metabolite may be a form that is more readily conjugated and excreted, fulfilling a specific detoxification requirement unique to the developmental stage.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d77djs07dok" w:id="11"/>
      <w:bookmarkEnd w:id="11"/>
      <w:r w:rsidDel="00000000" w:rsidR="00000000" w:rsidRPr="00000000">
        <w:rPr>
          <w:b w:val="1"/>
          <w:color w:val="1b1c1d"/>
          <w:sz w:val="26"/>
          <w:szCs w:val="26"/>
          <w:rtl w:val="0"/>
        </w:rPr>
        <w:t xml:space="preserve">3.3 Sterol-like Substrates and Clinical Relevance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primary bile acids and sex hormones, the CYP3A cluster metabolizes other clinically relevant sterol-like substrates.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CYP3A4 and CYP3A5 contribute to cholesterol catabolism, catalyzing its conversion into $4\beta$-hydroxycholesterol and $25$-hydroxycholesterol.</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Furthermore, all major human isoforms (CYP3A4, CYP3A5, and CYP3A7) selectively catalyze the $1\beta$-hydroxylation of the secondary bile acid deoxycholic acid (DCA).</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resultant metabolite, $1\beta$-hydroxydeoxycholic acid ($1\beta$-OHDCA), has gained significant clinical attention as a potential urinary biomarker for assessing </w:t>
      </w:r>
      <w:r w:rsidDel="00000000" w:rsidR="00000000" w:rsidRPr="00000000">
        <w:rPr>
          <w:i w:val="1"/>
          <w:color w:val="1b1c1d"/>
          <w:rtl w:val="0"/>
        </w:rPr>
        <w:t xml:space="preserve">in vivo</w:t>
      </w:r>
      <w:r w:rsidDel="00000000" w:rsidR="00000000" w:rsidRPr="00000000">
        <w:rPr>
          <w:color w:val="1b1c1d"/>
          <w:rtl w:val="0"/>
        </w:rPr>
        <w:t xml:space="preserve"> CYP3A activity and monitoring drug-drug interactions (DDIs).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comparative kinetic and regioselectivity data for the key sterol substrates discussed across the cluster.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Comparative Regioselectivity and Kinetic Data for Sterol Substrates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1176550908017"/>
        <w:gridCol w:w="1291.2220654499115"/>
        <w:gridCol w:w="1525.9897137135315"/>
        <w:gridCol w:w="1721.6294205998818"/>
        <w:gridCol w:w="1369.4779482044514"/>
        <w:gridCol w:w="1552.075007965045"/>
        <w:tblGridChange w:id="0">
          <w:tblGrid>
            <w:gridCol w:w="1565.1176550908017"/>
            <w:gridCol w:w="1291.2220654499115"/>
            <w:gridCol w:w="1525.9897137135315"/>
            <w:gridCol w:w="1721.6294205998818"/>
            <w:gridCol w:w="1369.4779482044514"/>
            <w:gridCol w:w="1552.07500796504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Specific 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Primary Hydroxylation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Km (μM) (or relative affinity)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Structural Determinant of Selectivity</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CYP3A10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Bile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Lithocholic Acid (LCA)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$6\beta$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 (Highest Affinity)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Required geometry for vital detoxification pathway </w:t>
            </w:r>
            <w:r w:rsidDel="00000000" w:rsidR="00000000" w:rsidRPr="00000000">
              <w:rPr>
                <w:color w:val="444746"/>
                <w:sz w:val="40"/>
                <w:szCs w:val="40"/>
                <w:highlight w:val="white"/>
                <w:vertAlign w:val="superscript"/>
                <w:rtl w:val="0"/>
              </w:rPr>
              <w:t xml:space="preserve">9</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CYP3A4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Steroid Hormone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Testosterone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$6\beta$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Higher affinity (lower $K_m$) than $3A5/3A7$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 interaction favorable for $C6\beta$ oxidation </w:t>
            </w:r>
            <w:r w:rsidDel="00000000" w:rsidR="00000000" w:rsidRPr="00000000">
              <w:rPr>
                <w:color w:val="444746"/>
                <w:sz w:val="40"/>
                <w:szCs w:val="40"/>
                <w:highlight w:val="white"/>
                <w:vertAlign w:val="superscript"/>
                <w:rtl w:val="0"/>
              </w:rPr>
              <w:t xml:space="preserve">31</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CYP3A7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Steroid Hormone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Testosterone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$2\alpha$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Lowest metabolic capacity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Alternative binding mode positioning methyl groups away from heme </w:t>
            </w:r>
            <w:r w:rsidDel="00000000" w:rsidR="00000000" w:rsidRPr="00000000">
              <w:rPr>
                <w:color w:val="444746"/>
                <w:sz w:val="40"/>
                <w:szCs w:val="40"/>
                <w:highlight w:val="white"/>
                <w:vertAlign w:val="superscript"/>
                <w:rtl w:val="0"/>
              </w:rPr>
              <w:t xml:space="preserve">31</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CYP3A4/3A5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Bile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Deoxycholic Acid (DCA)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$1\beta$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Metabolite is proposed DDI/activity biomarker </w:t>
            </w:r>
            <w:r w:rsidDel="00000000" w:rsidR="00000000" w:rsidRPr="00000000">
              <w:rPr>
                <w:color w:val="444746"/>
                <w:sz w:val="40"/>
                <w:szCs w:val="40"/>
                <w:highlight w:val="white"/>
                <w:vertAlign w:val="superscript"/>
                <w:rtl w:val="0"/>
              </w:rPr>
              <w:t xml:space="preserve">33</w:t>
            </w:r>
          </w:p>
        </w:tc>
      </w:tr>
    </w:tbl>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b0y0g3j5gok" w:id="12"/>
      <w:bookmarkEnd w:id="12"/>
      <w:r w:rsidDel="00000000" w:rsidR="00000000" w:rsidRPr="00000000">
        <w:rPr>
          <w:b w:val="1"/>
          <w:color w:val="1b1c1d"/>
          <w:sz w:val="34"/>
          <w:szCs w:val="34"/>
          <w:rtl w:val="0"/>
        </w:rPr>
        <w:t xml:space="preserve">IV. REGULATORY MECHANISMS AND EXPRESSION PROFILES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and activity of the CYP3A cluster are governed by complex mechanisms involving ligand-sensing nuclear receptors and neuroendocrine signaling, which link metabolism directly to detoxification needs and developmental/sex status.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8824uyvus8o" w:id="13"/>
      <w:bookmarkEnd w:id="13"/>
      <w:r w:rsidDel="00000000" w:rsidR="00000000" w:rsidRPr="00000000">
        <w:rPr>
          <w:b w:val="1"/>
          <w:color w:val="1b1c1d"/>
          <w:sz w:val="26"/>
          <w:szCs w:val="26"/>
          <w:rtl w:val="0"/>
        </w:rPr>
        <w:t xml:space="preserve">4.1 Transcriptional Control by Nuclear Receptors (PXR and CAR)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mechanism for regulating human CYP3A expression involves ligand-activated nuclear receptors, serving as biological sensors for both endogenous metabolites and xenobiotics.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Pregnane X Receptor (PXR, NR1I2)</w:t>
      </w:r>
      <w:r w:rsidDel="00000000" w:rsidR="00000000" w:rsidRPr="00000000">
        <w:rPr>
          <w:color w:val="1b1c1d"/>
          <w:rtl w:val="0"/>
        </w:rPr>
        <w:t xml:space="preserve"> is recognized as the most critical regulator of CYP3A4 and CYP3A5 transcription.</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Notably, PXR functions as an LCA sensor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and its activation by high concentrations of LCA or various xenobiotic drugs (such as rifampicin) triggers a robust detoxification response.</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Upon ligand binding, PXR heterodimerizes with the Retinoid X Receptor (RXR) and binds to hormone response elements (HREs) in the regulatory regions of the CYP3A genes, leading to massive transcriptional induction.</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This induction is a pivotal protective mechanism against cholestasis.</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Constitutive Androstane Receptor (CAR, NR1I3)</w:t>
      </w:r>
      <w:r w:rsidDel="00000000" w:rsidR="00000000" w:rsidRPr="00000000">
        <w:rPr>
          <w:color w:val="1b1c1d"/>
          <w:rtl w:val="0"/>
        </w:rPr>
        <w:t xml:space="preserve"> shares structural features and regulatory overlap with PXR.</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CAR also transcriptionally controls CYP3A expression, often responding to overlapping or distinct sets of ligands.</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The large, flexible binding pockets and broad ligand specificity (promiscuity) of both PXR and CAR mean that they are activated by a multitude of pharmaceutical agents, making PXR/CAR induction the leading cause of adverse drug-drug interactions (DDIs) involving the CYP3A family.</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1h7w8v5ebff" w:id="14"/>
      <w:bookmarkEnd w:id="14"/>
      <w:r w:rsidDel="00000000" w:rsidR="00000000" w:rsidRPr="00000000">
        <w:rPr>
          <w:b w:val="1"/>
          <w:color w:val="1b1c1d"/>
          <w:sz w:val="26"/>
          <w:szCs w:val="26"/>
          <w:rtl w:val="0"/>
        </w:rPr>
        <w:t xml:space="preserve">4.2 Hormone-Mediated Regulation and Sexual Dimorphism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specific animal models, like the golden hamster (Mesocricetus auratus), the expression of CYP3A10 exhibits striking sexual dimorphism.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CYP3A10 expression is male-specific, demonstrating little presence before puberty but showing significant induction at puberty and remaining high throughout adulthood.</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sex-specific regulation is directly determined by the neuroendocrine system, specifically the sexually differentiated profile of pituitary growth hormone (GH) secretion.</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The pulsatile GH release pattern characteristic of adult males mediates the high, male-specific expression level.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Mechanistically, this regulation involves the activation of STAT5a and STAT5b (Signal Transducers and Activators of Transcription), which bind to regulatory DNA elements in the CYP3A10 promoter, thereby modulating the GH-dependent transcriptional activation.</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strong regulatory link between the GH-STAT5 axis (endocrine signal) and the enzyme responsible for LCA detoxification (CYP3A10) suggests a physiological integration. The system ensures that the necessary high metabolic capacity for rapid LCA clearance and general steroid hormone turnover is co-established under the specific systemic conditions of the adult male (pulsatile GH profile).</w:t>
      </w:r>
      <w:r w:rsidDel="00000000" w:rsidR="00000000" w:rsidRPr="00000000">
        <w:rPr>
          <w:color w:val="444746"/>
          <w:sz w:val="40"/>
          <w:szCs w:val="40"/>
          <w:highlight w:val="white"/>
          <w:vertAlign w:val="superscript"/>
          <w:rtl w:val="0"/>
        </w:rPr>
        <w:t xml:space="preserve">41</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jzkbkbezesg" w:id="15"/>
      <w:bookmarkEnd w:id="15"/>
      <w:r w:rsidDel="00000000" w:rsidR="00000000" w:rsidRPr="00000000">
        <w:rPr>
          <w:b w:val="1"/>
          <w:color w:val="1b1c1d"/>
          <w:sz w:val="26"/>
          <w:szCs w:val="26"/>
          <w:rtl w:val="0"/>
        </w:rPr>
        <w:t xml:space="preserve">4.3 Allosteric and Cooperative Regulation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complex kinetics often observed in CYP3A enzymes, deviating from simple saturation curves, are explained by allosteric and cooperative mechanisms. Allosteric regulation occurs when a molecule binds to a regulatory site spatially separated from the active site, inducing a conformational change that either enhances or inhibits catalytic function.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observation of homo- and heterotropic cooperativity within the microsomal CYP3A enzymes is now understood not as simple competitive behavior but as a highly complex allosteric mechanism.</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complexity arises from a superposition of multiple substrate binding (the "space-filling" mechanism) coupled with ligand-induced structural changes and the modulation of protein-protein interactions within P450 oligomers (including homo- and hetero-oligomers).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sophisticated regulatory strategy is vital for optimizing the enzyme's efficiency, ensuring productive catalytic coupling, and preventing wasteful electron consumption in the highly active microsomal monooxygenase system.</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epk6qkntfqw" w:id="16"/>
      <w:bookmarkEnd w:id="16"/>
      <w:r w:rsidDel="00000000" w:rsidR="00000000" w:rsidRPr="00000000">
        <w:rPr>
          <w:b w:val="1"/>
          <w:color w:val="1b1c1d"/>
          <w:sz w:val="34"/>
          <w:szCs w:val="34"/>
          <w:rtl w:val="0"/>
        </w:rPr>
        <w:t xml:space="preserve">V. CROSS-CUTTING OVERVIEW AND CLINICAL IMPLICATIONS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n9p0p630c5" w:id="17"/>
      <w:bookmarkEnd w:id="17"/>
      <w:r w:rsidDel="00000000" w:rsidR="00000000" w:rsidRPr="00000000">
        <w:rPr>
          <w:b w:val="1"/>
          <w:color w:val="1b1c1d"/>
          <w:sz w:val="26"/>
          <w:szCs w:val="26"/>
          <w:rtl w:val="0"/>
        </w:rPr>
        <w:t xml:space="preserve">5.1 Shared Features and Mechanistic Overlaps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in this cluster, including the functional human CYP3A isoforms and the rodent ortholog CYP3A10, demonstrate highly conserved features defined by their shared membership in the CYP3A subfamily:</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Common Substrate Repertoire:</w:t>
      </w:r>
      <w:r w:rsidDel="00000000" w:rsidR="00000000" w:rsidRPr="00000000">
        <w:rPr>
          <w:color w:val="1b1c1d"/>
          <w:rtl w:val="0"/>
        </w:rPr>
        <w:t xml:space="preserve"> All major cluster members retain high affinity and metabolic capacity for large, lipophilic sterol-like compounds, encompassing secondary bile acids (LCA, DCA) and major endogenous steroid hormones (testosterone, progesterone, androstenedione).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Conserved Detoxification Function:</w:t>
      </w:r>
      <w:r w:rsidDel="00000000" w:rsidR="00000000" w:rsidRPr="00000000">
        <w:rPr>
          <w:color w:val="1b1c1d"/>
          <w:rtl w:val="0"/>
        </w:rPr>
        <w:t xml:space="preserve"> The core function of sterol hydroxylation at the C6 position (either $6\beta$ or $6\alpha$) remains a crucial, conserved detoxification pathway essential for maintaining bile acid homeostasis.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Transcriptional Control:</w:t>
      </w:r>
      <w:r w:rsidDel="00000000" w:rsidR="00000000" w:rsidRPr="00000000">
        <w:rPr>
          <w:color w:val="1b1c1d"/>
          <w:rtl w:val="0"/>
        </w:rPr>
        <w:t xml:space="preserve"> The regulation of CYP3A expression in human isoforms is centrally controlled by the ligand-activated nuclear receptors PXR and CAR, linking xenobiotic metabolism and endogenous sterol sensing through conserved HRE motifs.</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4: Shared and Divergent Characteristics of the CYP3A Cluster</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145"/>
        <w:gridCol w:w="2115"/>
        <w:gridCol w:w="2610"/>
        <w:tblGridChange w:id="0">
          <w:tblGrid>
            <w:gridCol w:w="1980"/>
            <w:gridCol w:w="2145"/>
            <w:gridCol w:w="2115"/>
            <w:gridCol w:w="261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Characteristic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CYP3A Cluster (CYP3A10, 3A4, 3A5, 3A7)</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Shared Feature/Motif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Key Divergence/Nuance</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Core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Sterol/Steroid Hydroxylation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Detoxification of LCA is paramount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Regioselectivity (e.g., $C6\beta$ vs $C2\alpha$) </w:t>
            </w:r>
            <w:r w:rsidDel="00000000" w:rsidR="00000000" w:rsidRPr="00000000">
              <w:rPr>
                <w:color w:val="444746"/>
                <w:sz w:val="40"/>
                <w:szCs w:val="40"/>
                <w:highlight w:val="white"/>
                <w:vertAlign w:val="superscript"/>
                <w:rtl w:val="0"/>
              </w:rPr>
              <w:t xml:space="preserve">31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Structure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Monooxygenase (Heme-thiolate)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Large, flexible active site cavity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Dynamics of F-F' Loop (influencing selectivity/affinity) </w:t>
            </w:r>
            <w:r w:rsidDel="00000000" w:rsidR="00000000" w:rsidRPr="00000000">
              <w:rPr>
                <w:color w:val="444746"/>
                <w:sz w:val="40"/>
                <w:szCs w:val="40"/>
                <w:highlight w:val="white"/>
                <w:vertAlign w:val="superscript"/>
                <w:rtl w:val="0"/>
              </w:rPr>
              <w:t xml:space="preserve">24</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Regulation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control by Nuclear Receptors </w:t>
            </w:r>
            <w:r w:rsidDel="00000000" w:rsidR="00000000" w:rsidRPr="00000000">
              <w:rPr>
                <w:color w:val="444746"/>
                <w:sz w:val="40"/>
                <w:szCs w:val="40"/>
                <w:highlight w:val="white"/>
                <w:vertAlign w:val="superscript"/>
                <w:rtl w:val="0"/>
              </w:rPr>
              <w:t xml:space="preserve">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PXR-mediated induction by LCA/xenobiotics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Hormonal control (GH-STAT5) exhibited by CYP3A10 (hamster) </w:t>
            </w:r>
            <w:r w:rsidDel="00000000" w:rsidR="00000000" w:rsidRPr="00000000">
              <w:rPr>
                <w:color w:val="444746"/>
                <w:sz w:val="40"/>
                <w:szCs w:val="40"/>
                <w:highlight w:val="white"/>
                <w:vertAlign w:val="superscript"/>
                <w:rtl w:val="0"/>
              </w:rPr>
              <w:t xml:space="preserve">40</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Kinetics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Broad Substrate Promiscuity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Frequent observation of allosteric cooperativity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CYP3A4 generally exhibits higher affinity (lower $K_m$) than CYP3A5/3A7 </w:t>
            </w:r>
            <w:r w:rsidDel="00000000" w:rsidR="00000000" w:rsidRPr="00000000">
              <w:rPr>
                <w:color w:val="444746"/>
                <w:sz w:val="40"/>
                <w:szCs w:val="40"/>
                <w:highlight w:val="white"/>
                <w:vertAlign w:val="superscript"/>
                <w:rtl w:val="0"/>
              </w:rPr>
              <w:t xml:space="preserve">19</w:t>
            </w:r>
          </w:p>
        </w:tc>
      </w:tr>
    </w:tbl>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huz11gwplci" w:id="18"/>
      <w:bookmarkEnd w:id="18"/>
      <w:r w:rsidDel="00000000" w:rsidR="00000000" w:rsidRPr="00000000">
        <w:rPr>
          <w:b w:val="1"/>
          <w:color w:val="1b1c1d"/>
          <w:sz w:val="26"/>
          <w:szCs w:val="26"/>
          <w:rtl w:val="0"/>
        </w:rPr>
        <w:t xml:space="preserve">5.2 Clinical Relevance in Disease and Drug Metabolism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the CYP3A cluster has profound implications for human health and pharmacological interventions.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Bile Acid Homeostasis and Liver Disease:</w:t>
      </w:r>
      <w:r w:rsidDel="00000000" w:rsidR="00000000" w:rsidRPr="00000000">
        <w:rPr>
          <w:color w:val="1b1c1d"/>
          <w:rtl w:val="0"/>
        </w:rPr>
        <w:t xml:space="preserve"> The detoxification role of CYP3A, primarily through the metabolism of toxic LCA into safer, excretable derivatives, is essential for preventing pathological cholestasis.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When bile acid synthesis and transport are disrupted, or when CYP3A activity is inhibited, the resulting disruption of bile acid homeostasis can contribute to metabolic liver diseases.</w:t>
      </w:r>
      <w:r w:rsidDel="00000000" w:rsidR="00000000" w:rsidRPr="00000000">
        <w:rPr>
          <w:color w:val="444746"/>
          <w:sz w:val="40"/>
          <w:szCs w:val="40"/>
          <w:highlight w:val="white"/>
          <w:vertAlign w:val="superscript"/>
          <w:rtl w:val="0"/>
        </w:rPr>
        <w:t xml:space="preserve">42</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Pharmacogenetics and Inter-Individual Variability:</w:t>
      </w:r>
      <w:r w:rsidDel="00000000" w:rsidR="00000000" w:rsidRPr="00000000">
        <w:rPr>
          <w:color w:val="1b1c1d"/>
          <w:rtl w:val="0"/>
        </w:rPr>
        <w:t xml:space="preserve"> CYP3A4, CYP3A5, and CYP3A7 expression and activity display large inter-individual differences, driven by genetic polymorphisms and epigenetic factors (such as age, sex, and hormonal status).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variations lead to divergent drug metabolism phenotypes, including poor metabolizers (who risk drug toxicity) and ultrarapid metabolizers (who risk therapeutic failure).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Understanding the genetic impact on CYP activity is vital for personalized medicine.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Drug-Drug Interactions (DDIs) and Dual Risk:</w:t>
      </w:r>
      <w:r w:rsidDel="00000000" w:rsidR="00000000" w:rsidRPr="00000000">
        <w:rPr>
          <w:color w:val="1b1c1d"/>
          <w:rtl w:val="0"/>
        </w:rPr>
        <w:t xml:space="preserve"> Because CYP3A enzymes metabolize a significant fraction of clinical drugs, their regulation by the PXR/CAR system is a double-edged sword.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While PXR induction by LCA is an adaptive defense against bile acid toxicity </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this same mechanism leads to widespread drug-drug interactions when xenobiotics activate the receptors. Furthermore, this powerful induction system, designed for detoxification, presents a potential risk in extrahepatic tissues. The constitutive or induced expression of CYP3A in non-hepatic sites, such as the lung epithelium and vascular endothelium </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can metabolically activate procarcinogens (like polycyclic aromatic hydrocarbons from tobacco), which may contribute to localized carcinogenesis, demonstrating how an adaptive defense mechanism can paradoxically increase vulnerability to chemically induced disease.</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The clinical utility of the $1\beta$-OHDCA metabolite as an </w:t>
      </w:r>
      <w:r w:rsidDel="00000000" w:rsidR="00000000" w:rsidRPr="00000000">
        <w:rPr>
          <w:i w:val="1"/>
          <w:color w:val="1b1c1d"/>
          <w:rtl w:val="0"/>
        </w:rPr>
        <w:t xml:space="preserve">in vivo</w:t>
      </w:r>
      <w:r w:rsidDel="00000000" w:rsidR="00000000" w:rsidRPr="00000000">
        <w:rPr>
          <w:color w:val="1b1c1d"/>
          <w:rtl w:val="0"/>
        </w:rPr>
        <w:t xml:space="preserve"> biomarker provides a tool to monitor shifts in CYP3A activity caused by drugs or disease, helping to assess DDI risk and guide therapeutic decisions.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hd3e3ruqbas" w:id="19"/>
      <w:bookmarkEnd w:id="19"/>
      <w:r w:rsidDel="00000000" w:rsidR="00000000" w:rsidRPr="00000000">
        <w:rPr>
          <w:b w:val="1"/>
          <w:color w:val="1b1c1d"/>
          <w:sz w:val="34"/>
          <w:szCs w:val="34"/>
          <w:rtl w:val="0"/>
        </w:rPr>
        <w:t xml:space="preserve">VI. CONCLUSION AND OUTLOOK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CYP3A cluster of steroid-binding hydroxylases, exemplified by Lithocholate $6\beta$-hydroxylase (CYP3A10) and its human orthologs, stands at a critical intersection of xenobiotic defense and fundamental endogenous sterol regulation. The analysis confirms their foundational role as high-capacity monooxygenases tasked with detoxifying highly toxic secondary bile acids like LCA and maintaining steroid hormone homeostasis through conserved $6\beta$-hydroxylation activity.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structure-function relationship in this cluster is defined by the tension between high homology and subtle structural plasticity. The large, flexible active site, coupled with allosteric cooperativity, provides the broad promiscuity necessary for mass detoxification, while minor sequence differences in dynamic elements like the F-F' loop dictate specialized regioselectivity (e.g., the C2$\alpha$ activity of the fetal CYP3A7) and kinetic efficiency among isoforms.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Moving forward, research must continue to elucidate the detailed structural basis of this regioselectivity, particularly to inform the development of highly selective inhibitors.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Such compounds could precisely delineate the functional roles of isoforms, such as CYP3A5, without affecting the dominant CYP3A4, potentially mitigating DDI risk. Clinically, the future of personalized medicine relies heavily on leveraging genetic understanding of CYP3A polymorphisms and utilizing endogenous biomarkers, such as $1\beta$-OHDCA, to non-invasively monitor the highly variable </w:t>
      </w:r>
      <w:r w:rsidDel="00000000" w:rsidR="00000000" w:rsidRPr="00000000">
        <w:rPr>
          <w:i w:val="1"/>
          <w:color w:val="1b1c1d"/>
          <w:rtl w:val="0"/>
        </w:rPr>
        <w:t xml:space="preserve">in vivo</w:t>
      </w:r>
      <w:r w:rsidDel="00000000" w:rsidR="00000000" w:rsidRPr="00000000">
        <w:rPr>
          <w:color w:val="1b1c1d"/>
          <w:rtl w:val="0"/>
        </w:rPr>
        <w:t xml:space="preserve"> activity of these critical enzymes, thereby optimizing drug efficacy and minimizing toxicity.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