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color w:val="1b1c1d"/>
          <w:sz w:val="46"/>
          <w:szCs w:val="46"/>
        </w:rPr>
      </w:pPr>
      <w:bookmarkStart w:colFirst="0" w:colLast="0" w:name="_9k4ih74wyxz" w:id="0"/>
      <w:bookmarkEnd w:id="0"/>
      <w:r w:rsidDel="00000000" w:rsidR="00000000" w:rsidRPr="00000000">
        <w:rPr>
          <w:rFonts w:ascii="Google Sans" w:cs="Google Sans" w:eastAsia="Google Sans" w:hAnsi="Google Sans"/>
          <w:b w:val="1"/>
          <w:color w:val="1b1c1d"/>
          <w:sz w:val="46"/>
          <w:szCs w:val="46"/>
          <w:rtl w:val="0"/>
        </w:rPr>
        <w:t xml:space="preserve">EXPERT REFERENCE REPORT: STRUCTURAL AND FUNCTIONAL CONVERGENCE OF BACTERIAL CATABOLIC HYDROLASES (EC 3.7.1.17 AND EC 3.7.1.8)</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color w:val="1b1c1d"/>
          <w:sz w:val="34"/>
          <w:szCs w:val="34"/>
        </w:rPr>
      </w:pPr>
      <w:bookmarkStart w:colFirst="0" w:colLast="0" w:name="_fei0gzoc9t7g" w:id="1"/>
      <w:bookmarkEnd w:id="1"/>
      <w:r w:rsidDel="00000000" w:rsidR="00000000" w:rsidRPr="00000000">
        <w:rPr>
          <w:rFonts w:ascii="Google Sans" w:cs="Google Sans" w:eastAsia="Google Sans" w:hAnsi="Google Sans"/>
          <w:b w:val="1"/>
          <w:color w:val="1b1c1d"/>
          <w:sz w:val="34"/>
          <w:szCs w:val="34"/>
          <w:rtl w:val="0"/>
        </w:rPr>
        <w:t xml:space="preserve">I. General Background: Classification, Superfamily, and Catabolic Context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enzymes identified, 4,5:9,10-diseco-3-hydroxy-5,9,17-trioxoandrosta-1(10),2-diene-4-oate hydrolase (EC 3.7.1.17) and 2-hydroxy-6-oxo-6-phenylhexa-2,4-dienoate hydrolase (EC 3.7.1.8), represent two specialized classes of bacterial hydrolases crucial for the aerobic degradation of complex organic compounds. Their recognition as a single cluster through protein language modeling highlights a deep evolutionary homology underlying disparate biological functions. Both enzymes belong to the Hydrolase classification (EC 3), specifically acting on carbon-carbon (C-C) bonds (EC 3.7).</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e3ohsr8em2ae" w:id="2"/>
      <w:bookmarkEnd w:id="2"/>
      <w:r w:rsidDel="00000000" w:rsidR="00000000" w:rsidRPr="00000000">
        <w:rPr>
          <w:rFonts w:ascii="Google Sans" w:cs="Google Sans" w:eastAsia="Google Sans" w:hAnsi="Google Sans"/>
          <w:b w:val="1"/>
          <w:color w:val="1b1c1d"/>
          <w:sz w:val="26"/>
          <w:szCs w:val="26"/>
          <w:rtl w:val="0"/>
        </w:rPr>
        <w:t xml:space="preserve">1.1 EC 3.7.1.17: The Steroid Degradation Hydrolase (HsaD/TesD)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EC 3.7.1.17 is systematically named 4,5:9,10-diseco-3-hydroxy-5,9,17-trioxoandrosta-1(10),2-diene-4-oate hydrolase.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enzyme is functionally defined as a C-C bond hydrolase operating on ketonic substances.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Its primary biological role is to catalyze a critical hydrolysis step in the bacterial breakdown of the steroid ring structure.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pathway enables various bacterial species to metabolize complex sterols, including common environmental and host-derived compounds such as testosterone, cholesterol, and sitosterol.</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genes encoding this activity are often designated as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i w:val="1"/>
          <w:color w:val="1b1c1d"/>
          <w:rtl w:val="0"/>
        </w:rPr>
        <w:t xml:space="preserve">tesD</w:t>
      </w:r>
      <w:r w:rsidDel="00000000" w:rsidR="00000000" w:rsidRPr="00000000">
        <w:rPr>
          <w:rFonts w:ascii="Google Sans Text" w:cs="Google Sans Text" w:eastAsia="Google Sans Text" w:hAnsi="Google Sans Text"/>
          <w:color w:val="1b1c1d"/>
          <w:rtl w:val="0"/>
        </w:rPr>
        <w:t xml:space="preserve"> (referring to testosterone degradation) or </w:t>
      </w:r>
      <w:r w:rsidDel="00000000" w:rsidR="00000000" w:rsidRPr="00000000">
        <w:rPr>
          <w:rFonts w:ascii="Google Sans Text" w:cs="Google Sans Text" w:eastAsia="Google Sans Text" w:hAnsi="Google Sans Text"/>
          <w:i w:val="1"/>
          <w:color w:val="1b1c1d"/>
          <w:rtl w:val="0"/>
        </w:rPr>
        <w:t xml:space="preserve">hsaD</w:t>
      </w:r>
      <w:r w:rsidDel="00000000" w:rsidR="00000000" w:rsidRPr="00000000">
        <w:rPr>
          <w:rFonts w:ascii="Google Sans Text" w:cs="Google Sans Text" w:eastAsia="Google Sans Text" w:hAnsi="Google Sans Text"/>
          <w:color w:val="1b1c1d"/>
          <w:rtl w:val="0"/>
        </w:rPr>
        <w:t xml:space="preserve"> (hydroxy-steroid degradation), reflecting its involvement in the Steroid degradation pathway (KEGG ec00984).</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functionality of EC 3.7.1.17 is essential for utilizing these highly structured molecules as a carbon and energy source.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4</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i4h65h4hpjkd" w:id="3"/>
      <w:bookmarkEnd w:id="3"/>
      <w:r w:rsidDel="00000000" w:rsidR="00000000" w:rsidRPr="00000000">
        <w:rPr>
          <w:rFonts w:ascii="Google Sans" w:cs="Google Sans" w:eastAsia="Google Sans" w:hAnsi="Google Sans"/>
          <w:b w:val="1"/>
          <w:color w:val="1b1c1d"/>
          <w:sz w:val="26"/>
          <w:szCs w:val="26"/>
          <w:rtl w:val="0"/>
        </w:rPr>
        <w:t xml:space="preserve">1.2 EC 3.7.1.8: The Meta-Cleavage Product Hydrolase (HOPDA Hydrolase)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EC 3.7.1.8, also known as 2,6-dioxo-6-phenylhexa-3-enoate hydrolase, or more broadly, a Meta-cleavage Product (MCP) hydrolase, plays an indispensable role in the catabolism of aromatic compounds.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enzyme specifically cleaves dienol ring-fission products generated upstream in the meta-cleavage pathway.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enzyme achieves C-C bond ring-fission hydrolysis on products derived from compounds such as biphenol, 3-isopropylcatechol, and 3-methylcatechol.</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reactions are crucial for certain bacteria, notably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i w:val="1"/>
          <w:color w:val="1b1c1d"/>
          <w:rtl w:val="0"/>
        </w:rPr>
        <w:t xml:space="preserve">Pseudomonas</w:t>
      </w:r>
      <w:r w:rsidDel="00000000" w:rsidR="00000000" w:rsidRPr="00000000">
        <w:rPr>
          <w:rFonts w:ascii="Google Sans Text" w:cs="Google Sans Text" w:eastAsia="Google Sans Text" w:hAnsi="Google Sans Text"/>
          <w:color w:val="1b1c1d"/>
          <w:rtl w:val="0"/>
        </w:rPr>
        <w:t xml:space="preserve"> species, which rely on this pathway for the degradation and recycling of environmental aromatic pollutants.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members of this functional group are responsible for the cleavage of the C5-C6 bond in the specific dienol fission products, thereby facilitating the subsequent breakdown of the linear molecules.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52djco71htdd" w:id="4"/>
      <w:bookmarkEnd w:id="4"/>
      <w:r w:rsidDel="00000000" w:rsidR="00000000" w:rsidRPr="00000000">
        <w:rPr>
          <w:rFonts w:ascii="Google Sans" w:cs="Google Sans" w:eastAsia="Google Sans" w:hAnsi="Google Sans"/>
          <w:b w:val="1"/>
          <w:color w:val="1b1c1d"/>
          <w:sz w:val="26"/>
          <w:szCs w:val="26"/>
          <w:rtl w:val="0"/>
        </w:rPr>
        <w:t xml:space="preserve">1.3 The Unifying Structural Principle: The </w:t>
      </w:r>
      <w:r w:rsidDel="00000000" w:rsidR="00000000" w:rsidRPr="00000000">
        <w:rPr>
          <w:rFonts w:ascii="Google Sans" w:cs="Google Sans" w:eastAsia="Google Sans" w:hAnsi="Google Sans"/>
          <w:b w:val="1"/>
          <w:color w:val="1b1c1d"/>
          <w:sz w:val="26"/>
          <w:szCs w:val="26"/>
        </w:rPr>
        <w:drawing>
          <wp:inline distB="114300" distT="114300" distL="114300" distR="114300">
            <wp:extent cx="1905000" cy="19050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w:cs="Google Sans" w:eastAsia="Google Sans" w:hAnsi="Google Sans"/>
          <w:b w:val="1"/>
          <w:color w:val="1b1c1d"/>
          <w:sz w:val="26"/>
          <w:szCs w:val="26"/>
          <w:rtl w:val="0"/>
        </w:rPr>
        <w:t xml:space="preserve">-Hydrolase Superfamily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high similarity observed in protein language model embeddings between these two functionally divergent hydrolase groups is structurally grounded in their shared membership in the </w:t>
      </w: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b w:val="1"/>
          <w:color w:val="1b1c1d"/>
          <w:rtl w:val="0"/>
        </w:rPr>
        <w:t xml:space="preserve">-Hydrolase Superfamily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superfamily is characterized by a highly conserved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 fold scaffold.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7</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enzymatic mechanism within this family involves the hydrolysis of C-C, C-O, and C-N bonds, mediated by a conserved active-site architecture.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architecture typically features 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b w:val="1"/>
          <w:color w:val="1b1c1d"/>
          <w:rtl w:val="0"/>
        </w:rPr>
        <w:t xml:space="preserve">catalytic triad</w:t>
      </w:r>
      <w:r w:rsidDel="00000000" w:rsidR="00000000" w:rsidRPr="00000000">
        <w:rPr>
          <w:rFonts w:ascii="Google Sans Text" w:cs="Google Sans Text" w:eastAsia="Google Sans Text" w:hAnsi="Google Sans Text"/>
          <w:color w:val="1b1c1d"/>
          <w:rtl w:val="0"/>
        </w:rPr>
        <w:t xml:space="preserve">—a precise spatial arrangement of three key residues (commonly a nucleophile, a histidine base, and an acidic residue like aspartate).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triad functions as a charge-relay network, activating the nucleophile (often serine or cysteine) to attack the substrate, forming a covalent intermediate that is subsequently hydrolyzed.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existence of this highly conserved core fold and catalytic machinery is the fundamental structural determinant that drives the close clustering of EC 3.7.1.17 and EC 3.7.1.8 despite their vastly different substrate preferences.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color w:val="1b1c1d"/>
          <w:sz w:val="34"/>
          <w:szCs w:val="34"/>
        </w:rPr>
      </w:pPr>
      <w:bookmarkStart w:colFirst="0" w:colLast="0" w:name="_flao9pvlzz4u" w:id="5"/>
      <w:bookmarkEnd w:id="5"/>
      <w:r w:rsidDel="00000000" w:rsidR="00000000" w:rsidRPr="00000000">
        <w:rPr>
          <w:rFonts w:ascii="Google Sans" w:cs="Google Sans" w:eastAsia="Google Sans" w:hAnsi="Google Sans"/>
          <w:b w:val="1"/>
          <w:color w:val="1b1c1d"/>
          <w:sz w:val="34"/>
          <w:szCs w:val="34"/>
          <w:rtl w:val="0"/>
        </w:rPr>
        <w:t xml:space="preserve">II. Steroid Interactions: Functional Specialization of EC 3.7.1.17 (HsaD/TesD)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EC 3.7.1.8 is associated with xenobiotic degradation, the evolutionary specialization of EC 3.7.1.17 centers entirely on its ability to recognize and process the bulky intermediate products of sterol catabolism. This adaptation required a significant alteration of the enzyme's binding environment without compromising the conserved catalytic core.</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9gwvhlh5mgl3" w:id="6"/>
      <w:bookmarkEnd w:id="6"/>
      <w:r w:rsidDel="00000000" w:rsidR="00000000" w:rsidRPr="00000000">
        <w:rPr>
          <w:rFonts w:ascii="Google Sans" w:cs="Google Sans" w:eastAsia="Google Sans" w:hAnsi="Google Sans"/>
          <w:b w:val="1"/>
          <w:color w:val="1b1c1d"/>
          <w:sz w:val="26"/>
          <w:szCs w:val="26"/>
          <w:rtl w:val="0"/>
        </w:rPr>
        <w:t xml:space="preserve">2.1 Steroids and Sterol-like Molecules Metabolized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catabolic pathway utilizing EC 3.7.1.17 initiates with complex sterols such as cholesterol, testosterone, and sitosterol.</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These four-ring structures must first undergo several oxidative steps, including the aromatization and cleavage of the A and B rings, leading to a linear, ring-opened intermediate.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immediate catalytic substrate for EC 3.7.1.17 is this large, highly oxidized intermediate molecule, formally named </w:t>
      </w:r>
      <w:r w:rsidDel="00000000" w:rsidR="00000000" w:rsidRPr="00000000">
        <w:rPr>
          <w:rFonts w:ascii="Google Sans Text" w:cs="Google Sans Text" w:eastAsia="Google Sans Text" w:hAnsi="Google Sans Text"/>
          <w:b w:val="1"/>
          <w:color w:val="1b1c1d"/>
          <w:rtl w:val="0"/>
        </w:rPr>
        <w:t xml:space="preserve">4,5:9,10-diseco-3-hydroxy-5,9,17-trioxoandrosta-1(10),2-diene-4-oate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"seco-steroid" designation indicates that the steroid ring system has already been broken, leaving a complex, bulky molecule that requires further disassembly via hydrolysis before the remaining C and D rings can be fully metabolized.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5nynxl52r3yv" w:id="7"/>
      <w:bookmarkEnd w:id="7"/>
      <w:r w:rsidDel="00000000" w:rsidR="00000000" w:rsidRPr="00000000">
        <w:rPr>
          <w:rFonts w:ascii="Google Sans" w:cs="Google Sans" w:eastAsia="Google Sans" w:hAnsi="Google Sans"/>
          <w:b w:val="1"/>
          <w:color w:val="1b1c1d"/>
          <w:sz w:val="26"/>
          <w:szCs w:val="26"/>
          <w:rtl w:val="0"/>
        </w:rPr>
        <w:t xml:space="preserve">2.2 Structural Basis for Steroid Interaction and Mechanism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capacity of EC 3.7.1.17 (exemplified by HsaD) to process such large, hydrophobic substrates is achieved through a crucial structural modification within the </w:t>
      </w: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-hydrolase fold. Although HsaD maintains the conserved catalytic triad necessary for the hydrolytic C-C bond cleavage, it features a dramatically expanded active-site pocket.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Structural studies revealed that the volume of the active-site cleft in </w:t>
      </w:r>
      <w:r w:rsidDel="00000000" w:rsidR="00000000" w:rsidRPr="00000000">
        <w:rPr>
          <w:rFonts w:ascii="Google Sans Text" w:cs="Google Sans Text" w:eastAsia="Google Sans Text" w:hAnsi="Google Sans Text"/>
          <w:i w:val="1"/>
          <w:color w:val="1b1c1d"/>
          <w:rtl w:val="0"/>
        </w:rPr>
        <w:t xml:space="preserve">Mycobacterium tuberculosis</w:t>
      </w:r>
      <w:r w:rsidDel="00000000" w:rsidR="00000000" w:rsidRPr="00000000">
        <w:rPr>
          <w:rFonts w:ascii="Google Sans Text" w:cs="Google Sans Text" w:eastAsia="Google Sans Text" w:hAnsi="Google Sans Text"/>
          <w:color w:val="1b1c1d"/>
          <w:rtl w:val="0"/>
        </w:rPr>
        <w:t xml:space="preserve"> HsaD is significantly larger than its structural relatives involved in aromatic compound catabolism.</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Specifically, the non-polar (NP) portion of the active-site cavity of</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M. tuberculosis</w:t>
      </w:r>
      <w:r w:rsidDel="00000000" w:rsidR="00000000" w:rsidRPr="00000000">
        <w:rPr>
          <w:rFonts w:ascii="Google Sans Text" w:cs="Google Sans Text" w:eastAsia="Google Sans Text" w:hAnsi="Google Sans Text"/>
          <w:color w:val="1b1c1d"/>
          <w:rtl w:val="0"/>
        </w:rPr>
        <w:t xml:space="preserve"> HsaD was calculated to be approximately 2100 A˚3.</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is more than twofold greater than the corresponding volume observed in related MCP hydrolases, such as the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i w:val="1"/>
          <w:color w:val="1b1c1d"/>
          <w:rtl w:val="0"/>
        </w:rPr>
        <w:t xml:space="preserve">B. xenovorans</w:t>
      </w:r>
      <w:r w:rsidDel="00000000" w:rsidR="00000000" w:rsidRPr="00000000">
        <w:rPr>
          <w:rFonts w:ascii="Google Sans Text" w:cs="Google Sans Text" w:eastAsia="Google Sans Text" w:hAnsi="Google Sans Text"/>
          <w:color w:val="1b1c1d"/>
          <w:rtl w:val="0"/>
        </w:rPr>
        <w:t xml:space="preserve"> BphD ortholog, which has a cavity volume of around 1200 A˚3.</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enlarged non-polar subsite is a specialized adaptation, providing the necessary space and hydrophobic contacts to correctly orient the bulky seco-steroid backbone, ensuring that the specific C-C bond is positioned adjacent to the conserved catalytic machinery for productive hydrolysis.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jskb4dukdsxq" w:id="8"/>
      <w:bookmarkEnd w:id="8"/>
      <w:r w:rsidDel="00000000" w:rsidR="00000000" w:rsidRPr="00000000">
        <w:rPr>
          <w:rFonts w:ascii="Google Sans" w:cs="Google Sans" w:eastAsia="Google Sans" w:hAnsi="Google Sans"/>
          <w:b w:val="1"/>
          <w:color w:val="1b1c1d"/>
          <w:sz w:val="26"/>
          <w:szCs w:val="26"/>
          <w:rtl w:val="0"/>
        </w:rPr>
        <w:t xml:space="preserve">2.3 Physiological and Pathological Roles of Steroid Catabolism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physiological role of EC 3.7.1.17 is catabolic, driving the mineralization of sterols for bacterial carbon and energy acquisition.</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is particularly relevant in the context of pathogenesis.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In pathogens such as </w:t>
      </w:r>
      <w:r w:rsidDel="00000000" w:rsidR="00000000" w:rsidRPr="00000000">
        <w:rPr>
          <w:rFonts w:ascii="Google Sans Text" w:cs="Google Sans Text" w:eastAsia="Google Sans Text" w:hAnsi="Google Sans Text"/>
          <w:i w:val="1"/>
          <w:color w:val="1b1c1d"/>
          <w:rtl w:val="0"/>
        </w:rPr>
        <w:t xml:space="preserve">Mycobacterium tuberculosis</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color w:val="1b1c1d"/>
          <w:rtl w:val="0"/>
        </w:rPr>
        <w:t xml:space="preserve">hsaD</w:t>
      </w:r>
      <w:r w:rsidDel="00000000" w:rsidR="00000000" w:rsidRPr="00000000">
        <w:rPr>
          <w:rFonts w:ascii="Google Sans Text" w:cs="Google Sans Text" w:eastAsia="Google Sans Text" w:hAnsi="Google Sans Text"/>
          <w:color w:val="1b1c1d"/>
          <w:rtl w:val="0"/>
        </w:rPr>
        <w:t xml:space="preserve"> gene is essential because cholesterol derived from the host is used as a crucial nutrient source during chronic infection.</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Consequently, the detailed understanding of the unique structural determinants that govern HsaD's specificity—namely, its enlarged active site—facilitates the design of targeted enzyme inhibitors.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Inhibiting this specific hydrolytic step effectively blocks the microbe's ability to process host sterols, offering a potent strategy for developing novel anti-mycobacterial agents.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color w:val="1b1c1d"/>
          <w:sz w:val="34"/>
          <w:szCs w:val="34"/>
        </w:rPr>
      </w:pPr>
      <w:bookmarkStart w:colFirst="0" w:colLast="0" w:name="_vgw7biizvlh" w:id="9"/>
      <w:bookmarkEnd w:id="9"/>
      <w:r w:rsidDel="00000000" w:rsidR="00000000" w:rsidRPr="00000000">
        <w:rPr>
          <w:rFonts w:ascii="Google Sans" w:cs="Google Sans" w:eastAsia="Google Sans" w:hAnsi="Google Sans"/>
          <w:b w:val="1"/>
          <w:color w:val="1b1c1d"/>
          <w:sz w:val="34"/>
          <w:szCs w:val="34"/>
          <w:rtl w:val="0"/>
        </w:rPr>
        <w:t xml:space="preserve">III. Cross-Cutting Overview: Shared Features and Evolutionary Rationale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of EC 3.7.1.17 and EC 3.7.1.8 reveals that their functional divergence is a recent evolutionary event built upon a deeply conserved structural and mechanistic framework. The protein language model clustering is justified by the profound chemical analogy between their respective intermediate substrates.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h6wd8kqmuqb" w:id="10"/>
      <w:bookmarkEnd w:id="10"/>
      <w:r w:rsidDel="00000000" w:rsidR="00000000" w:rsidRPr="00000000">
        <w:rPr>
          <w:rFonts w:ascii="Google Sans" w:cs="Google Sans" w:eastAsia="Google Sans" w:hAnsi="Google Sans"/>
          <w:b w:val="1"/>
          <w:color w:val="1b1c1d"/>
          <w:sz w:val="26"/>
          <w:szCs w:val="26"/>
          <w:rtl w:val="0"/>
        </w:rPr>
        <w:t xml:space="preserve">3.1 Unifying Structural and Mechanistic Homology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foundational similarity shared by the two enzyme groups is their membership in the highly versatile </w:t>
      </w: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-Hydrolase Superfamily.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membership dictates the conservation of several critical features:</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b w:val="1"/>
          <w:color w:val="1b1c1d"/>
          <w:rtl w:val="0"/>
        </w:rPr>
        <w:t xml:space="preserve">The </w:t>
      </w:r>
      <w:r w:rsidDel="00000000" w:rsidR="00000000" w:rsidRPr="00000000">
        <w:rPr>
          <w:rFonts w:ascii="Google Sans Text" w:cs="Google Sans Text" w:eastAsia="Google Sans Text" w:hAnsi="Google Sans Text"/>
          <w:b w:val="1"/>
          <w:color w:val="1b1c1d"/>
        </w:rPr>
        <w:drawing>
          <wp:inline distB="114300" distT="114300" distL="114300" distR="114300">
            <wp:extent cx="1905000" cy="190500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b w:val="1"/>
          <w:color w:val="1b1c1d"/>
          <w:rtl w:val="0"/>
        </w:rPr>
        <w:t xml:space="preserve">-Fold:</w:t>
      </w:r>
      <w:r w:rsidDel="00000000" w:rsidR="00000000" w:rsidRPr="00000000">
        <w:rPr>
          <w:rFonts w:ascii="Google Sans Text" w:cs="Google Sans Text" w:eastAsia="Google Sans Text" w:hAnsi="Google Sans Text"/>
          <w:color w:val="1b1c1d"/>
          <w:rtl w:val="0"/>
        </w:rPr>
        <w:t xml:space="preserve"> Both enzymes possess the universal </w:t>
      </w: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-hydrolase fold, confirming their shared ancestry.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Google Sans Text" w:cs="Google Sans Text" w:eastAsia="Google Sans Text" w:hAnsi="Google Sans Text"/>
          <w:b w:val="1"/>
          <w:color w:val="1b1c1d"/>
          <w:rtl w:val="0"/>
        </w:rPr>
        <w:t xml:space="preserve">The Catalytic Triad:</w:t>
      </w:r>
      <w:r w:rsidDel="00000000" w:rsidR="00000000" w:rsidRPr="00000000">
        <w:rPr>
          <w:rFonts w:ascii="Google Sans Text" w:cs="Google Sans Text" w:eastAsia="Google Sans Text" w:hAnsi="Google Sans Text"/>
          <w:color w:val="1b1c1d"/>
          <w:rtl w:val="0"/>
        </w:rPr>
        <w:t xml:space="preserve"> They rely on a canonical catalytic triad, typically comprising a nucleophile (Ser/Cys), Histidine, and Aspartate, to execute C-C bond hydrolysis.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mechanism ensures that water is effectively incorporated to cleave the keto-dienoate structures.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fact that HsaD (EC 3.7.1.17) is categorized as a member of the "related MCP hydrolases" confirms that the specialized steroid-degrading enzyme is structurally and evolutionarily descended from the general-purpose aromatic-degrading MCP scaffold (EC 3.7.1.8).</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75jjx4utz0pp" w:id="11"/>
      <w:bookmarkEnd w:id="11"/>
      <w:r w:rsidDel="00000000" w:rsidR="00000000" w:rsidRPr="00000000">
        <w:rPr>
          <w:rFonts w:ascii="Google Sans" w:cs="Google Sans" w:eastAsia="Google Sans" w:hAnsi="Google Sans"/>
          <w:b w:val="1"/>
          <w:color w:val="1b1c1d"/>
          <w:sz w:val="26"/>
          <w:szCs w:val="26"/>
          <w:rtl w:val="0"/>
        </w:rPr>
        <w:t xml:space="preserve">3.2 The Chemical Analogy Driving Conservation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crucial factor linking these two enzymes functionally is the chemical similarity of the immediate products they cleave, which are generated immediately downstream of ring-fission dioxygenase reactions.</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Google Sans Text" w:cs="Google Sans Text" w:eastAsia="Google Sans Text" w:hAnsi="Google Sans Text"/>
          <w:b w:val="1"/>
          <w:color w:val="1b1c1d"/>
          <w:rtl w:val="0"/>
        </w:rPr>
        <w:t xml:space="preserve">Meta-Cleavage Pathway Substrate (EC 3.7.1.8):</w:t>
      </w:r>
      <w:r w:rsidDel="00000000" w:rsidR="00000000" w:rsidRPr="00000000">
        <w:rPr>
          <w:rFonts w:ascii="Google Sans Text" w:cs="Google Sans Text" w:eastAsia="Google Sans Text" w:hAnsi="Google Sans Text"/>
          <w:color w:val="1b1c1d"/>
          <w:rtl w:val="0"/>
        </w:rPr>
        <w:t xml:space="preserve"> The substrate is a linear, highly conjugated dienol derivative, such as 2-hydroxy-6-oxo-hexa-2,4-dienoate (HOPDA), resulting from the meta-cleavage of a simple aromatic ring.</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Google Sans Text" w:cs="Google Sans Text" w:eastAsia="Google Sans Text" w:hAnsi="Google Sans Text"/>
          <w:b w:val="1"/>
          <w:color w:val="1b1c1d"/>
          <w:rtl w:val="0"/>
        </w:rPr>
        <w:t xml:space="preserve">Steroid Pathway Substrate (EC 3.7.1.17):</w:t>
      </w:r>
      <w:r w:rsidDel="00000000" w:rsidR="00000000" w:rsidRPr="00000000">
        <w:rPr>
          <w:rFonts w:ascii="Google Sans Text" w:cs="Google Sans Text" w:eastAsia="Google Sans Text" w:hAnsi="Google Sans Text"/>
          <w:color w:val="1b1c1d"/>
          <w:rtl w:val="0"/>
        </w:rPr>
        <w:t xml:space="preserve"> The substrate, the seco-steroid intermediate, is also a highly conjugated dienolic carboxylic acid resulting from the oxidative cleavage of the steroid A- and B-rings.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Though vastly different in size, both intermediates present the same essential chemical motif—a complex </w:t>
      </w: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-keto-dienoate moiety—that requires hydrolytic C-C cleavage at a specific position along the conjugated chain. The conservation of the core catalytic geometry is necessary to accommodate this chemical requirement, thereby explaining why the protein language models identified them as belonging to a single cluster, as the mechanism is conserved despite the scale difference in substrates.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color w:val="1b1c1d"/>
          <w:sz w:val="26"/>
          <w:szCs w:val="26"/>
        </w:rPr>
      </w:pPr>
      <w:bookmarkStart w:colFirst="0" w:colLast="0" w:name="_hxdtcs6ipbo5" w:id="12"/>
      <w:bookmarkEnd w:id="12"/>
      <w:r w:rsidDel="00000000" w:rsidR="00000000" w:rsidRPr="00000000">
        <w:rPr>
          <w:rFonts w:ascii="Google Sans" w:cs="Google Sans" w:eastAsia="Google Sans" w:hAnsi="Google Sans"/>
          <w:b w:val="1"/>
          <w:color w:val="1b1c1d"/>
          <w:sz w:val="26"/>
          <w:szCs w:val="26"/>
          <w:rtl w:val="0"/>
        </w:rPr>
        <w:t xml:space="preserve">3.3 Evolutionary Divergence through Active Site Modification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functional specialization observed in EC 3.7.1.17 represents a classic case of evolutionary repurposing of a catabolic scaffold. The ancestral function is likely related to the degradation of simpler aromatic compounds (EC 3.7.1.8 function).</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When certain bacteria evolved pathways to degrade bulky steroids, they utilized existing hydrolase machinery, requiring only local modifications to the substrate binding site.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structural adaptation involved the expansion of the non-polar subsite volume from approximately 1200 A˚3 (typical of MCP hydrolases) to 2100 A˚3 (observed in HsaD).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geometric tuning enabled the incorporation of the bulky, non-polar remnants of the steroid ring system while preserving the highly efficient and conserved C-C hydrolytic chemistry mediated by the catalytic triad. This mechanism of functional divergence, achieved by modifying surface loop architectures rather than the catalytic core, is a recurrent theme in the evolution of microbial catabolic superfamilies.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Structural and Functional Comparison of EC 3.7.1.17 and EC 3.7.1.8</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3510"/>
        <w:gridCol w:w="3465"/>
        <w:tblGridChange w:id="0">
          <w:tblGrid>
            <w:gridCol w:w="1830"/>
            <w:gridCol w:w="3510"/>
            <w:gridCol w:w="346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Feature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 3.7.1.17 (Steroid Hydrolase, HsaD/TesD)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EC 3.7.1.8 (MCP Hydrolase)</w:t>
            </w:r>
          </w:p>
        </w:tc>
      </w:tr>
      <w:tr>
        <w:trPr>
          <w:cantSplit w:val="0"/>
          <w:trHeight w:val="11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Primary Substrates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Testosterone, Cholesterol, Sitosterol (via seco-steroid intermediate)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Aromatic compounds (via HOPDA intermediate)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Pathway Role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Steroid degradation (Ring C-C bond hydrolysis)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Aromatic meta-cleavage pathway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p>
        </w:tc>
      </w:tr>
      <w:tr>
        <w:trPr>
          <w:cantSplit w:val="0"/>
          <w:trHeight w:val="36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Structural Superfamily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-Hydrolase Superfamily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-Hydrolase Superfamily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Catalytic 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Conserved Catalytic Triad (Hydrolytic C-C cleavage)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Conserved Catalytic Triad (Hydrolytic C-C cleavage)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Active Site Volume (NP Subsite)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Expanded (approx. 2100 A˚3)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Ancestral/Smaller (approx. 1200 A˚3) </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tc>
      </w:tr>
    </w:tbl>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color w:val="1b1c1d"/>
          <w:sz w:val="34"/>
          <w:szCs w:val="34"/>
        </w:rPr>
      </w:pPr>
      <w:bookmarkStart w:colFirst="0" w:colLast="0" w:name="_wiioricfgbvf" w:id="13"/>
      <w:bookmarkEnd w:id="13"/>
      <w:r w:rsidDel="00000000" w:rsidR="00000000" w:rsidRPr="00000000">
        <w:rPr>
          <w:rFonts w:ascii="Google Sans" w:cs="Google Sans" w:eastAsia="Google Sans" w:hAnsi="Google Sans"/>
          <w:b w:val="1"/>
          <w:color w:val="1b1c1d"/>
          <w:sz w:val="34"/>
          <w:szCs w:val="34"/>
          <w:rtl w:val="0"/>
        </w:rPr>
        <w:t xml:space="preserve">IV. Conclusions and Future Directions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investigation into the shared characteristics of EC 3.7.1.17 and EC 3.7.1.8 confirms that protein language models successfully identify deep homology rooted in structural conservation, even when surface-level function appears highly divergent. Both enzymes maintain the core </w:t>
      </w: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-hydrolase fold and the fundamental hydrolytic C-C cleavage mechanism required for breaking down highly conjugated, linear intermediates generated by ring-fission pathways.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Steroid Hydrolase (EC 3.7.1.17) represents a highly specialized descendant of the ancestral Meta-Cleavage Product Hydrolase (EC 3.7.1.8). Its specialization is manifested physically through the dramatic enlargement of its active site cavity, an adaptation essential for accommodating the bulk of seco-steroid intermediates derived from cholesterol and other sterols. This specific structural knowledge of HsaD’s substrate binding pocket provides critical parameters for structure-based drug design, particularly against pathogens such as </w:t>
      </w:r>
      <w:r w:rsidDel="00000000" w:rsidR="00000000" w:rsidRPr="00000000">
        <w:rPr>
          <w:rFonts w:ascii="Google Sans Text" w:cs="Google Sans Text" w:eastAsia="Google Sans Text" w:hAnsi="Google Sans Text"/>
          <w:i w:val="1"/>
          <w:color w:val="1b1c1d"/>
          <w:rtl w:val="0"/>
        </w:rPr>
        <w:t xml:space="preserve">M. tuberculosis</w:t>
      </w:r>
      <w:r w:rsidDel="00000000" w:rsidR="00000000" w:rsidRPr="00000000">
        <w:rPr>
          <w:rFonts w:ascii="Google Sans Text" w:cs="Google Sans Text" w:eastAsia="Google Sans Text" w:hAnsi="Google Sans Text"/>
          <w:color w:val="1b1c1d"/>
          <w:rtl w:val="0"/>
        </w:rPr>
        <w:t xml:space="preserve"> that rely on this enzyme for nutrient assimilation during infection. Future comparative genomics and structural studies focused on the non-conserved regions of the </w:t>
      </w:r>
      <w:r w:rsidDel="00000000" w:rsidR="00000000" w:rsidRPr="00000000">
        <w:rPr>
          <w:rFonts w:ascii="Google Sans Text" w:cs="Google Sans Text" w:eastAsia="Google Sans Text" w:hAnsi="Google Sans Text"/>
          <w:color w:val="1b1c1d"/>
        </w:rPr>
        <w:drawing>
          <wp:inline distB="114300" distT="114300" distL="114300" distR="114300">
            <wp:extent cx="1905000" cy="1905000"/>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 xml:space="preserve">-hydrolase superfamily are likely to reveal additional examples of functional specialization through localized active site modification across diverse catabolic pathways.</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