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wmdx9d8ckhu4" w:id="0"/>
      <w:bookmarkEnd w:id="0"/>
      <w:r w:rsidDel="00000000" w:rsidR="00000000" w:rsidRPr="00000000">
        <w:rPr>
          <w:b w:val="1"/>
          <w:color w:val="1b1c1d"/>
          <w:sz w:val="46"/>
          <w:szCs w:val="46"/>
          <w:rtl w:val="0"/>
        </w:rPr>
        <w:t xml:space="preserve">Molecular and Functional Divergence Among Steroid-Interacting Proteins: A Comparative Analysis of CYP51A1, AKR1C3, EPB42, and CNIH-3</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6ho1cpmo4g4h" w:id="1"/>
      <w:bookmarkEnd w:id="1"/>
      <w:r w:rsidDel="00000000" w:rsidR="00000000" w:rsidRPr="00000000">
        <w:rPr>
          <w:b w:val="1"/>
          <w:color w:val="1b1c1d"/>
          <w:sz w:val="34"/>
          <w:szCs w:val="34"/>
          <w:rtl w:val="0"/>
        </w:rPr>
        <w:t xml:space="preserve">Chapter 1: Introduction to Sterol and Steroid Homeostasis</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rrokxgj22xm" w:id="2"/>
      <w:bookmarkEnd w:id="2"/>
      <w:r w:rsidDel="00000000" w:rsidR="00000000" w:rsidRPr="00000000">
        <w:rPr>
          <w:b w:val="1"/>
          <w:color w:val="1b1c1d"/>
          <w:sz w:val="26"/>
          <w:szCs w:val="26"/>
          <w:rtl w:val="0"/>
        </w:rPr>
        <w:t xml:space="preserve">1.1. The Centrality and Diversity of Sterol/Steroid Interactions in Biology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Sterols and their hormonal derivatives are fundamental molecules in eukaryotic biology, governing essential physiological processes including metabolism, inflammation, immune function, and sexual development.</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Steroid hormones are synthesized primarily from cholesterol in the gonads and adrenal glands, acting typically via intracellular nuclear receptors (genomic pathway) or through rapid, non-genomic pathways involving membrane receptors and ion channels.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Given their potent regulatory roles, the availability, synthesis, catabolism, and cellular localization of these molecules are tightly controlled by specialized proteins.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proteins examined in this report—Lanosterol 14-alpha demethylase (CYP51A1), Prostaglandin-E(2) 9-reductase (AKR1C3), Protein 4.2 (EPB42), and Protein cornichon homolog 3 (CNIH-3)—are all functionally annotated as steroid-binding, yet they exhibit maximal separation in terms of their protein language model embeddings. This structural divergence underscores that the necessity to engage with the lipophilic and rigid chemical structure of the sterol/steroid scaffold has driven significant evolutionary convergence, resulting in functionally distinct mechanisms tailored to specific cellular requirements. These mechanisms span the entire scope of cellular sterol engagement, from enzymatic synthesis and redox interconversion to structural maintenance and allosteric signaling.</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vddm6kj37n" w:id="3"/>
      <w:bookmarkEnd w:id="3"/>
      <w:r w:rsidDel="00000000" w:rsidR="00000000" w:rsidRPr="00000000">
        <w:rPr>
          <w:b w:val="1"/>
          <w:color w:val="1b1c1d"/>
          <w:sz w:val="26"/>
          <w:szCs w:val="26"/>
          <w:rtl w:val="0"/>
        </w:rPr>
        <w:t xml:space="preserve">1.2. Classification Framework: Modalities of Sterol/Steroid Engagement</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To analyze these structurally unrelated proteins, a functional classification based on their molecular modality of interaction is necessary. This approach distinguishes the biological role dictated by the protein's localization and specific catalytic or structural activity:</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Metabolic Transformation (Synthesis):</w:t>
      </w:r>
      <w:r w:rsidDel="00000000" w:rsidR="00000000" w:rsidRPr="00000000">
        <w:rPr>
          <w:color w:val="1b1c1d"/>
          <w:rtl w:val="0"/>
        </w:rPr>
        <w:t xml:space="preserve"> Enzymes responsible for building the sterol molecule (e.g., CYP51A1).</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Metabolic Transformation (Redox Interconversion):</w:t>
      </w:r>
      <w:r w:rsidDel="00000000" w:rsidR="00000000" w:rsidRPr="00000000">
        <w:rPr>
          <w:color w:val="1b1c1d"/>
          <w:rtl w:val="0"/>
        </w:rPr>
        <w:t xml:space="preserve"> Enzymes that modify the activity or potency of existing hormones (e.g., AKR1C3).</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Structural and Homeostatic Maintenance:</w:t>
      </w:r>
      <w:r w:rsidDel="00000000" w:rsidR="00000000" w:rsidRPr="00000000">
        <w:rPr>
          <w:color w:val="1b1c1d"/>
          <w:rtl w:val="0"/>
        </w:rPr>
        <w:t xml:space="preserve"> Peripheral proteins that enforce membrane integrity dependent on bulk sterol composition (e.g., EPB42).</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Allosteric/Gating Modulation:</w:t>
      </w:r>
      <w:r w:rsidDel="00000000" w:rsidR="00000000" w:rsidRPr="00000000">
        <w:rPr>
          <w:color w:val="1b1c1d"/>
          <w:rtl w:val="0"/>
        </w:rPr>
        <w:t xml:space="preserve"> Integral membrane proteins that sense the lipid microenvironment or bind to neurosteroids to rapidly alter receptor function (e.g., CNIH-3).</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kef6xqmma001" w:id="4"/>
      <w:bookmarkEnd w:id="4"/>
      <w:r w:rsidDel="00000000" w:rsidR="00000000" w:rsidRPr="00000000">
        <w:rPr>
          <w:b w:val="1"/>
          <w:color w:val="1b1c1d"/>
          <w:sz w:val="34"/>
          <w:szCs w:val="34"/>
          <w:rtl w:val="0"/>
        </w:rPr>
        <w:t xml:space="preserve">Chapter 2: Lanosterol 14-alpha Demethylase (CYP51A1): The Cholesterol Synthesis Checkpoint</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x0ogph4wisc" w:id="5"/>
      <w:bookmarkEnd w:id="5"/>
      <w:r w:rsidDel="00000000" w:rsidR="00000000" w:rsidRPr="00000000">
        <w:rPr>
          <w:b w:val="1"/>
          <w:color w:val="1b1c1d"/>
          <w:sz w:val="26"/>
          <w:szCs w:val="26"/>
          <w:rtl w:val="0"/>
        </w:rPr>
        <w:t xml:space="preserve">2.1. General Background, Structure, and Enzymology (EC 1.14.14.154)</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Lanosterol 14$\alpha$-demethylase (CYP51A1), also known as Cytochrome P450 51, is a membrane-bound monooxygenase localized primarily in the endoplasmic reticulum (ER).</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It is a highly conserved enzyme essential for the early stages of sterol biosynthesis in eukaryotes.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As a member of the Cytochrome P450 family, its specialized structural configuration reflects its adaptation for sterol metabolism.</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 protein utilizes a heme prosthetic group, essential for its catalytic function, with the iron atom coordinated by a specific axial binding residue, typically Cysteine 449.</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no79z4f3civ" w:id="6"/>
      <w:bookmarkEnd w:id="6"/>
      <w:r w:rsidDel="00000000" w:rsidR="00000000" w:rsidRPr="00000000">
        <w:rPr>
          <w:b w:val="1"/>
          <w:color w:val="1b1c1d"/>
          <w:sz w:val="26"/>
          <w:szCs w:val="26"/>
          <w:rtl w:val="0"/>
        </w:rPr>
        <w:t xml:space="preserve">2.2. Mechanism of Sterol Binding and Demethylation</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CYP51A1 catalyzes the oxidative removal of the C-14$\alpha$-methyl group (C-32) from lanosterol (lanosta-8,24-dien-3$\beta$-ol) and 24,25-dihydrolanosterol (DHL), which are intermediates in the cholesterol biosynthesis pathway.</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demethylation step is considered a critical initial checkpoint in the transformation of lanosterol into downstream sterols.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reaction is a complex, three-step oxidative process that converts the methyl group into formate, resulting in a demethylated product with a newly formed C14-C15 double bond.</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Mechanistically, each oxidative step requires one molecule of diatomic oxygen and a reducing equivalent such as NADPH.</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$14\alpha$-methyl group is sequentially oxidized: first to a carboxyalcohol, then to a carboxyaldehyde. The aldehyde then fragments off as formic acid.</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crucial feature of this multi-step enzymatic reaction is the processivity enforced by the active site's affinity dynamics. Molecular studies reveal that the hydroxylated intermediate reaction products (carboxyalcohol, carboxyaldehyde) exhibit a higher binding affinity for the enzyme than the initial substrate, lanosterol.</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mechanism prevents the accumulation of potentially toxic or reactive intermediate metabolites and ensures the efficient continuation of the catalytic cycle until the stable demethylated product is released.</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29xh5588266" w:id="7"/>
      <w:bookmarkEnd w:id="7"/>
      <w:r w:rsidDel="00000000" w:rsidR="00000000" w:rsidRPr="00000000">
        <w:rPr>
          <w:b w:val="1"/>
          <w:color w:val="1b1c1d"/>
          <w:sz w:val="26"/>
          <w:szCs w:val="26"/>
          <w:rtl w:val="0"/>
        </w:rPr>
        <w:t xml:space="preserve">2.3. Structural Determinants and Ligand Recognition</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deep substrate-binding cavity of CYP51A1 dictates its high specificity for sterol scaffolds. Molecular dynamics simulations and alanine scanning modeling have successfully identified key residues within the substrate-binding region that contribute significantly to the free energy of steroid ligand binding.</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Substitutions of key residues to alanine were found to cause the most serious weakening of substrate binding, highlighting their importance in stabilizing the sterol within the active site.</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These residues ensure the precise orientation of the lanosterol core necessary for the oxidative removal of the C-14 methyl group by the heme iron center.</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Key Substrate Binding Residues in Human CYP51A1</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2490"/>
        <w:gridCol w:w="2625"/>
        <w:gridCol w:w="2580"/>
        <w:tblGridChange w:id="0">
          <w:tblGrid>
            <w:gridCol w:w="1305"/>
            <w:gridCol w:w="2490"/>
            <w:gridCol w:w="2625"/>
            <w:gridCol w:w="2580"/>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b w:val="1"/>
                <w:color w:val="1b1c1d"/>
                <w:rtl w:val="0"/>
              </w:rPr>
              <w:t xml:space="preserve">Residue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b w:val="1"/>
                <w:color w:val="1b1c1d"/>
                <w:rtl w:val="0"/>
              </w:rPr>
              <w:t xml:space="preserve">Location/Domain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b w:val="1"/>
                <w:color w:val="1b1c1d"/>
                <w:rtl w:val="0"/>
              </w:rPr>
              <w:t xml:space="preserve">Functional Role in Sterol Binding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b w:val="1"/>
                <w:color w:val="1b1c1d"/>
                <w:rtl w:val="0"/>
              </w:rPr>
              <w:t xml:space="preserve">Impact of Alanine Substitution</w:t>
            </w:r>
            <w:r w:rsidDel="00000000" w:rsidR="00000000" w:rsidRPr="00000000">
              <w:rPr>
                <w:rtl w:val="0"/>
              </w:rPr>
            </w:r>
          </w:p>
        </w:tc>
      </w:tr>
      <w:tr>
        <w:trPr>
          <w:cantSplit w:val="0"/>
          <w:trHeight w:val="10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Y137</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Substrate-binding region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color w:val="1b1c1d"/>
                <w:rtl w:val="0"/>
              </w:rPr>
              <w:t xml:space="preserve">Critical for binding free energy/stability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Most serious weakening of binding observed</w:t>
            </w:r>
          </w:p>
        </w:tc>
      </w:tr>
      <w:tr>
        <w:trPr>
          <w:cantSplit w:val="0"/>
          <w:trHeight w:val="10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F145</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Substrate-binding region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Contributes to specific ligand recognition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Serious weakening of binding</w:t>
            </w:r>
          </w:p>
        </w:tc>
      </w:tr>
      <w:tr>
        <w:trPr>
          <w:cantSplit w:val="0"/>
          <w:trHeight w:val="10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V149</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Substrate-binding region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Contributes to specific ligand recognition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Serious weakening of binding</w:t>
            </w:r>
          </w:p>
        </w:tc>
      </w:tr>
      <w:tr>
        <w:trPr>
          <w:cantSplit w:val="0"/>
          <w:trHeight w:val="10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I383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Substrate-binding region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Contributes to specific ligand recognition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Serious weakening of binding</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R388</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Substrate-binding region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Critical for binding free energy/stability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Serious weakening of binding</w:t>
            </w:r>
          </w:p>
        </w:tc>
      </w:tr>
    </w:tbl>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y09dtlc0cg8" w:id="8"/>
      <w:bookmarkEnd w:id="8"/>
      <w:r w:rsidDel="00000000" w:rsidR="00000000" w:rsidRPr="00000000">
        <w:rPr>
          <w:b w:val="1"/>
          <w:color w:val="1b1c1d"/>
          <w:sz w:val="26"/>
          <w:szCs w:val="26"/>
          <w:rtl w:val="0"/>
        </w:rPr>
        <w:t xml:space="preserve">2.4. Pathophysiological and Pharmacological Relevance</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essential role of CYP51A1 in sterol synthesis makes it a critical pharmacological target. In fungi, inhibition of CYP51 blocks the synthesis of ergosterol, the fungal equivalent of cholesterol, which is why it is the target for the majority of systemic antifungal drugs.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human physiology, dysregulation of CYP51A1 has been linked to various metabolic diseases and cancers.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For instance, elevated CYP51A1 expression has been observed in primary ovarian and colorectal cancers, correlating with poorer patient prognoses.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Consequently, inhibitors of human CYP51A1 are being explored for their potential cholesterol-lowering and anti-cancer effects.</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Compounds like the natural flavonoid luteolin 7,3′-disulfate can inhibit the enzyme's activity, potentially by sterically blocking the substrate access channel or by interfering with the interaction site of the enzyme’s redox partner.</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aavjcksn9qsl" w:id="9"/>
      <w:bookmarkEnd w:id="9"/>
      <w:r w:rsidDel="00000000" w:rsidR="00000000" w:rsidRPr="00000000">
        <w:rPr>
          <w:b w:val="1"/>
          <w:color w:val="1b1c1d"/>
          <w:sz w:val="34"/>
          <w:szCs w:val="34"/>
          <w:rtl w:val="0"/>
        </w:rPr>
        <w:t xml:space="preserve">Chapter 3: Prostaglandin-E(2) 9-reductase (AKR1C3): Redox Control of Hormones and Eicosanoids</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9lop1zat3c9" w:id="10"/>
      <w:bookmarkEnd w:id="10"/>
      <w:r w:rsidDel="00000000" w:rsidR="00000000" w:rsidRPr="00000000">
        <w:rPr>
          <w:b w:val="1"/>
          <w:color w:val="1b1c1d"/>
          <w:sz w:val="26"/>
          <w:szCs w:val="26"/>
          <w:rtl w:val="0"/>
        </w:rPr>
        <w:t xml:space="preserve">3.1. General Background and AKR Superfamily Context (EC 1.1.1.189)</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Prostaglandin-E(2) 9-reductase, formally known as Aldo-Keto Reductase 1C3 (AKR1C3), is a member of the large AKR superfamily of NAD(P)H-dependent oxidoreductases.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The enzyme is soluble, monomeric, and approximately 37 kDa.</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Structurally, all AKR members share a characteristic ( $\alpha/\beta)_8$-barrel fold, also known as a triose-phosphate isomerase (TIM)-barrel.</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AKR1C3's function is centered on interconverting carbonyl groups and alcohols, relying on a highly conserved catalytic tetrad composed of Tyr 55, Asp 50, Lys 84, and His 117.</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While AKR1C enzymes (AKR1C1-AKR1C4) share high sequence identity (over 86%), variations in three large loops (A, B, and C) located at the back of the barrel confer distinct substrate specificities, allowing AKR1C3 to accommodate a diverse range of substrates, including prostaglandins, retinols, quinones, and various ketosteroids.</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ycg3cjd0zph" w:id="11"/>
      <w:bookmarkEnd w:id="11"/>
      <w:r w:rsidDel="00000000" w:rsidR="00000000" w:rsidRPr="00000000">
        <w:rPr>
          <w:b w:val="1"/>
          <w:color w:val="1b1c1d"/>
          <w:sz w:val="26"/>
          <w:szCs w:val="26"/>
          <w:rtl w:val="0"/>
        </w:rPr>
        <w:t xml:space="preserve">3.2. Multifunctional Enzymology: Steroid and Prostaglandin Interconversion</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AKR1C3 exhibits dual functionality, metabolizing both prostaglandins and sex hormones. This enzyme is commonly referred to as Prostaglandin F synthase due to its role in converting Prostaglandin $\text{H}_2$ ($\text{PGH}_2$) to Prostaglandin $\text{F}_{2\alpha}$ ($\text{PGF}_{2\alpha}$) and Prostaglandin $\text{D}_2$ ($\text{PGD}_2$) to $9\alpha,11\beta$-$\text{PGF}_2$.</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$\text{PGF}_{2\alpha}$ is a potent lipid mediator involved in inflammation and, critically, in the initiation of labor.</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Its steroid-related role stems from its identity as a type 5 $17\beta$-hydroxysteroid dehydrogenase ($17\beta$-HSD).</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The enzyme's catalytic preference is centered on the reduction of 17-ketosteroids.</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26lr1r75h4" w:id="12"/>
      <w:bookmarkEnd w:id="12"/>
      <w:r w:rsidDel="00000000" w:rsidR="00000000" w:rsidRPr="00000000">
        <w:rPr>
          <w:b w:val="1"/>
          <w:color w:val="1b1c1d"/>
          <w:sz w:val="26"/>
          <w:szCs w:val="26"/>
          <w:rtl w:val="0"/>
        </w:rPr>
        <w:t xml:space="preserve">3.3. Specific Steroid Interactions and Activation Mechanism</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AKR1C3 catalyzes the activation of key steroid hormones by reducing their inactive or weak precursors into potent forms.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Specifically, it converts the relatively weak androgen precursor $\Delta$4-androstene-3,17-dione ($\Delta$4-AD) into the potent androgen Testosterone.</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Furthermore, it reduces the weak estrogen Estrone to $17\beta$-estradiol, a significantly more potent estrogen.</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local activation capability gives AKR1C3 a critical role in </w:t>
      </w:r>
      <w:r w:rsidDel="00000000" w:rsidR="00000000" w:rsidRPr="00000000">
        <w:rPr>
          <w:i w:val="1"/>
          <w:color w:val="1b1c1d"/>
          <w:rtl w:val="0"/>
        </w:rPr>
        <w:t xml:space="preserve">intracrine</w:t>
      </w:r>
      <w:r w:rsidDel="00000000" w:rsidR="00000000" w:rsidRPr="00000000">
        <w:rPr>
          <w:color w:val="1b1c1d"/>
          <w:rtl w:val="0"/>
        </w:rPr>
        <w:t xml:space="preserve"> hormone metabolism within target tissues.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 physiological consequence of this function is profound in pathology, particularly in oncology. Upregulation of AKR1C3, often stimulated by transcription factors like NRF2, SIAH2, or STAT3 </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allows cancer cells, such as those found in Castration-Resistant Prostate Cancer (CRPC), to bypass systemic hormone deprivation.</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In this context, AKR1C3 elevates androgen levels locally within the tumor by actively synthesizing potent hormones (Testosterone and $5\alpha$-dihydrotestosterone, DHT) from available, weaker precursors like $\Delta$4-AD, thereby sustaining cell proliferation and tumor aggressiveness even when systemic androgen levels are low.</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The enzyme thus acts as a pivotal regulatory switch, directly linking cellular redox state and inflammatory signaling pathways to hormone-driven tumor progression.</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3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6wolcu7h4e7c" w:id="13"/>
      <w:bookmarkEnd w:id="13"/>
      <w:r w:rsidDel="00000000" w:rsidR="00000000" w:rsidRPr="00000000">
        <w:rPr>
          <w:b w:val="1"/>
          <w:color w:val="1b1c1d"/>
          <w:sz w:val="34"/>
          <w:szCs w:val="34"/>
          <w:rtl w:val="0"/>
        </w:rPr>
        <w:t xml:space="preserve">Chapter 4: Protein 4.2 (EPB42): A Non-Enzymatic Regulator of Membrane Structure</w:t>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9gbipkuz9yy" w:id="14"/>
      <w:bookmarkEnd w:id="14"/>
      <w:r w:rsidDel="00000000" w:rsidR="00000000" w:rsidRPr="00000000">
        <w:rPr>
          <w:b w:val="1"/>
          <w:color w:val="1b1c1d"/>
          <w:sz w:val="26"/>
          <w:szCs w:val="26"/>
          <w:rtl w:val="0"/>
        </w:rPr>
        <w:t xml:space="preserve">4.1. General Background and Cytoskeletal Function</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Protein 4.2 (EPB42) is a peripheral membrane protein found almost exclusively on the cytoplasmic surface of erythrocyte membranes.</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It is a major component of the erythrocyte membrane skeleton, functioning primarily as an ATP-binding scaffolding protein that is integral to maintaining the cell's shape and mechanical resilience.</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EPB42 shares structural homology with the transglutaminase family but lacks the necessary catalytic triad residues, confirming its role as a non-enzymatic structural element.</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The gene ontology classification for EPB42 includes lipid binding activity, although its primary known molecular function relates to protein scaffolding.</w:t>
      </w:r>
      <w:r w:rsidDel="00000000" w:rsidR="00000000" w:rsidRPr="00000000">
        <w:rPr>
          <w:color w:val="444746"/>
          <w:sz w:val="40"/>
          <w:szCs w:val="40"/>
          <w:highlight w:val="white"/>
          <w:vertAlign w:val="superscript"/>
          <w:rtl w:val="0"/>
        </w:rPr>
        <w:t xml:space="preserve">21</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02m7ul17b9y" w:id="15"/>
      <w:bookmarkEnd w:id="15"/>
      <w:r w:rsidDel="00000000" w:rsidR="00000000" w:rsidRPr="00000000">
        <w:rPr>
          <w:b w:val="1"/>
          <w:color w:val="1b1c1d"/>
          <w:sz w:val="26"/>
          <w:szCs w:val="26"/>
          <w:rtl w:val="0"/>
        </w:rPr>
        <w:t xml:space="preserve">4.2. Complex Interactions and Stabilization of the Membrane Skeleton</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EPB42 is a crucial component of the extensive multiprotein complexes that anchor the lipid bilayer to the underlying spectrin-actin cytoskeleton.</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Its stable expression and critical regulatory function are dependent on its interactions with other major membrane proteins.</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The protein 4.2 major binding site resides on the cytoplasmic domain of Band 3 (Anion Exchanger 1, AE1).</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It also interacts directly with Ankyrin-1 and Spectrin, helping to stabilize the Band 3-Ankyrin association and linking the membrane skeleton to the lipid bilayer.</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Furthermore, EPB42 plays a regulatory role concerning other membrane proteins within the Band 3 macrocomplex, such as the Rhesus protein complex member CD47.</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Deficiency in EPB42 in humans causes a severe reduction (approximately 80%) in the membrane level of CD47, suggesting a strong influence on the trafficking or stability of CD47.</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71o25vcl7a7" w:id="16"/>
      <w:bookmarkEnd w:id="16"/>
      <w:r w:rsidDel="00000000" w:rsidR="00000000" w:rsidRPr="00000000">
        <w:rPr>
          <w:b w:val="1"/>
          <w:color w:val="1b1c1d"/>
          <w:sz w:val="26"/>
          <w:szCs w:val="26"/>
          <w:rtl w:val="0"/>
        </w:rPr>
        <w:t xml:space="preserve">4.3. Sterol/Lipid Interaction by Structural Proxy</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EPB42 does not engage in classical enzymatic modification of sterols like CYP51A1 or AKR1C3. Its role in steroid interaction is classified as structural and homeostatic. The mechanical integrity and shape of the erythrocyte membrane are critically dependent on the precise organization and fluidity of the lipid bilayer, which is primarily regulated by membrane cholesterol.</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EPB42's function is to stabilize the physical connection between the protein skeleton and the lipid bilayer, enforcing the membrane's structural limits.</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The physiological consequences of EPB42 deficiency—recessive spherocytic elliptocytosis and hereditary hemolytic anemia—result from a failure of the membrane skeleton to withstand physical stress.</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This molecular mechanism represents the </w:t>
      </w:r>
      <w:r w:rsidDel="00000000" w:rsidR="00000000" w:rsidRPr="00000000">
        <w:rPr>
          <w:i w:val="1"/>
          <w:color w:val="1b1c1d"/>
          <w:rtl w:val="0"/>
        </w:rPr>
        <w:t xml:space="preserve">mechanical enforcement</w:t>
      </w:r>
      <w:r w:rsidDel="00000000" w:rsidR="00000000" w:rsidRPr="00000000">
        <w:rPr>
          <w:color w:val="1b1c1d"/>
          <w:rtl w:val="0"/>
        </w:rPr>
        <w:t xml:space="preserve"> of membrane integrity. By stabilizing the scaffold that interacts directly with the lipid components, EPB42 indirectly governs the homeostatic distribution and mechanical function of bulk membrane cholesterol, confirming the "steroid-binding" annotation in a non-covalent, structural context.</w:t>
      </w:r>
    </w:p>
    <w:p w:rsidR="00000000" w:rsidDel="00000000" w:rsidP="00000000" w:rsidRDefault="00000000" w:rsidRPr="00000000" w14:paraId="0000004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iaexmpmsrw34" w:id="17"/>
      <w:bookmarkEnd w:id="17"/>
      <w:r w:rsidDel="00000000" w:rsidR="00000000" w:rsidRPr="00000000">
        <w:rPr>
          <w:b w:val="1"/>
          <w:color w:val="1b1c1d"/>
          <w:sz w:val="34"/>
          <w:szCs w:val="34"/>
          <w:rtl w:val="0"/>
        </w:rPr>
        <w:t xml:space="preserve">Chapter 5: Protein Cornichon Homolog 3 (CNIH-3): Neurosteroid-Sensitive Receptor Modulation</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7u4ntje4ica" w:id="18"/>
      <w:bookmarkEnd w:id="18"/>
      <w:r w:rsidDel="00000000" w:rsidR="00000000" w:rsidRPr="00000000">
        <w:rPr>
          <w:b w:val="1"/>
          <w:color w:val="1b1c1d"/>
          <w:sz w:val="26"/>
          <w:szCs w:val="26"/>
          <w:rtl w:val="0"/>
        </w:rPr>
        <w:t xml:space="preserve">5.1. General Background and Synaptic Localization</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Protein cornichon homolog 3 (CNIH-3) is an auxiliary subunit specific to AMPA-type glutamate receptors (AMPARs).</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AMPARs mediate the majority of fast excitatory synaptic transmission in the brain, and their function is vital for synaptic plasticity, learning, and memory.</w:t>
      </w:r>
      <w:r w:rsidDel="00000000" w:rsidR="00000000" w:rsidRPr="00000000">
        <w:rPr>
          <w:color w:val="444746"/>
          <w:sz w:val="40"/>
          <w:szCs w:val="40"/>
          <w:highlight w:val="white"/>
          <w:vertAlign w:val="superscript"/>
          <w:rtl w:val="0"/>
        </w:rPr>
        <w:t xml:space="preserve">25</w:t>
      </w:r>
      <w:r w:rsidDel="00000000" w:rsidR="00000000" w:rsidRPr="00000000">
        <w:rPr>
          <w:color w:val="1b1c1d"/>
          <w:rtl w:val="0"/>
        </w:rPr>
        <w:t xml:space="preserve"> CNIH-3 is a multi-pass membrane protein localized to the postsynaptic cell membrane and is an active component of the glutamatergic synapse.</w:t>
      </w:r>
      <w:r w:rsidDel="00000000" w:rsidR="00000000" w:rsidRPr="00000000">
        <w:rPr>
          <w:color w:val="444746"/>
          <w:sz w:val="40"/>
          <w:szCs w:val="40"/>
          <w:highlight w:val="white"/>
          <w:vertAlign w:val="superscript"/>
          <w:rtl w:val="0"/>
        </w:rPr>
        <w:t xml:space="preserve">23</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Structural analysis using cryo-electron microscopy confirmed CNIH-3's structure as containing four membrane-spanning helices and lacking a large extracellular domain.</w:t>
      </w:r>
      <w:r w:rsidDel="00000000" w:rsidR="00000000" w:rsidRPr="00000000">
        <w:rPr>
          <w:color w:val="444746"/>
          <w:sz w:val="40"/>
          <w:szCs w:val="40"/>
          <w:highlight w:val="white"/>
          <w:vertAlign w:val="superscript"/>
          <w:rtl w:val="0"/>
        </w:rPr>
        <w:t xml:space="preserve">25</w:t>
      </w:r>
      <w:r w:rsidDel="00000000" w:rsidR="00000000" w:rsidRPr="00000000">
        <w:rPr>
          <w:color w:val="1b1c1d"/>
          <w:rtl w:val="0"/>
        </w:rPr>
        <w:t xml:space="preserve"> CNIH-3 promotes the trafficking of AMPARs to the synaptic membrane and stabilizes the resulting multi-protein complex.</w:t>
      </w:r>
      <w:r w:rsidDel="00000000" w:rsidR="00000000" w:rsidRPr="00000000">
        <w:rPr>
          <w:color w:val="444746"/>
          <w:sz w:val="40"/>
          <w:szCs w:val="40"/>
          <w:highlight w:val="white"/>
          <w:vertAlign w:val="superscript"/>
          <w:rtl w:val="0"/>
        </w:rPr>
        <w:t xml:space="preserve">23</w:t>
      </w:r>
    </w:p>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6jsf71ulm5z" w:id="19"/>
      <w:bookmarkEnd w:id="19"/>
      <w:r w:rsidDel="00000000" w:rsidR="00000000" w:rsidRPr="00000000">
        <w:rPr>
          <w:b w:val="1"/>
          <w:color w:val="1b1c1d"/>
          <w:sz w:val="26"/>
          <w:szCs w:val="26"/>
          <w:rtl w:val="0"/>
        </w:rPr>
        <w:t xml:space="preserve">5.2. Function: Trafficking and Gating Modulation of AMPARs</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CNIH-3 profoundly modulates the kinetics and functional output of AMPARs. By forming a stable complex with the tetrameric receptor, CNIH-3 regulates the receptor's gating properties: it significantly slows the rates of activation, deactivation, and desensitization.</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This modulation enhances glutamate sensitivity, single-channel conductance, and the calcium permeability of the receptors.</w:t>
      </w:r>
      <w:r w:rsidDel="00000000" w:rsidR="00000000" w:rsidRPr="00000000">
        <w:rPr>
          <w:color w:val="444746"/>
          <w:sz w:val="40"/>
          <w:szCs w:val="40"/>
          <w:highlight w:val="white"/>
          <w:vertAlign w:val="superscript"/>
          <w:rtl w:val="0"/>
        </w:rPr>
        <w:t xml:space="preserve">28</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Specific interaction studies indicate that CNIH-3 binds directly to the AMPAR, primarily making contact with the ligand-binding domain (LBD) and possibly the regions around the transmembrane domains (TMDs).</w:t>
      </w:r>
      <w:r w:rsidDel="00000000" w:rsidR="00000000" w:rsidRPr="00000000">
        <w:rPr>
          <w:color w:val="444746"/>
          <w:sz w:val="40"/>
          <w:szCs w:val="40"/>
          <w:highlight w:val="white"/>
          <w:vertAlign w:val="superscript"/>
          <w:rtl w:val="0"/>
        </w:rPr>
        <w:t xml:space="preserve">27</w:t>
      </w:r>
      <w:r w:rsidDel="00000000" w:rsidR="00000000" w:rsidRPr="00000000">
        <w:rPr>
          <w:color w:val="1b1c1d"/>
          <w:rtl w:val="0"/>
        </w:rPr>
        <w:t xml:space="preserve"> This auxiliary subunit is thus strategically positioned to transduce signals from the surrounding membrane environment directly into changes in ion channel kinetics.</w:t>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mvi7wft4py8" w:id="20"/>
      <w:bookmarkEnd w:id="20"/>
      <w:r w:rsidDel="00000000" w:rsidR="00000000" w:rsidRPr="00000000">
        <w:rPr>
          <w:b w:val="1"/>
          <w:color w:val="1b1c1d"/>
          <w:sz w:val="26"/>
          <w:szCs w:val="26"/>
          <w:rtl w:val="0"/>
        </w:rPr>
        <w:t xml:space="preserve">5.3. Allosteric Regulation by Lipids and Neurosteroids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primary mechanism linking CNIH-3 to the steroid-binding functional annotation is its role in mediating the allosteric modulation of AMPARs by membrane cholesterol and neuroactive steroids.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activity of the AMPAR complex is highly sensitive to the surrounding lipid environment.</w:t>
      </w:r>
      <w:r w:rsidDel="00000000" w:rsidR="00000000" w:rsidRPr="00000000">
        <w:rPr>
          <w:color w:val="444746"/>
          <w:sz w:val="40"/>
          <w:szCs w:val="40"/>
          <w:highlight w:val="white"/>
          <w:vertAlign w:val="superscript"/>
          <w:rtl w:val="0"/>
        </w:rPr>
        <w:t xml:space="preserve">29</w:t>
      </w:r>
      <w:r w:rsidDel="00000000" w:rsidR="00000000" w:rsidRPr="00000000">
        <w:rPr>
          <w:color w:val="1b1c1d"/>
          <w:rtl w:val="0"/>
        </w:rPr>
        <w:t xml:space="preserve"> Studies show that altering neuronal membrane cholesterol levels affects AMPAR function: cholesterol depletion increases AMPA potency and reduces receptor desensitization, while cholesterol enrichment has the opposite effect, decreasing potency and increasing desensitization.</w:t>
      </w:r>
      <w:r w:rsidDel="00000000" w:rsidR="00000000" w:rsidRPr="00000000">
        <w:rPr>
          <w:color w:val="444746"/>
          <w:sz w:val="40"/>
          <w:szCs w:val="40"/>
          <w:highlight w:val="white"/>
          <w:vertAlign w:val="superscript"/>
          <w:rtl w:val="0"/>
        </w:rPr>
        <w:t xml:space="preserve">29</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lipid-sensitive mechanism is coupled with the action of neurosteroids. Neuroactive steroids, which are produced locally in the central nervous system (neurosteroidogenesis) or delivered from the periphery </w:t>
      </w:r>
      <w:r w:rsidDel="00000000" w:rsidR="00000000" w:rsidRPr="00000000">
        <w:rPr>
          <w:color w:val="444746"/>
          <w:sz w:val="40"/>
          <w:szCs w:val="40"/>
          <w:highlight w:val="white"/>
          <w:vertAlign w:val="superscript"/>
          <w:rtl w:val="0"/>
        </w:rPr>
        <w:t xml:space="preserve">30</w:t>
      </w:r>
      <w:r w:rsidDel="00000000" w:rsidR="00000000" w:rsidRPr="00000000">
        <w:rPr>
          <w:color w:val="1b1c1d"/>
          <w:rtl w:val="0"/>
        </w:rPr>
        <w:t xml:space="preserve">, modulate AMPARs via rapid, non-genomic mechanisms.</w:t>
      </w:r>
      <w:r w:rsidDel="00000000" w:rsidR="00000000" w:rsidRPr="00000000">
        <w:rPr>
          <w:color w:val="444746"/>
          <w:sz w:val="40"/>
          <w:szCs w:val="40"/>
          <w:highlight w:val="white"/>
          <w:vertAlign w:val="superscript"/>
          <w:rtl w:val="0"/>
        </w:rPr>
        <w:t xml:space="preserve">29</w:t>
      </w:r>
      <w:r w:rsidDel="00000000" w:rsidR="00000000" w:rsidRPr="00000000">
        <w:rPr>
          <w:color w:val="1b1c1d"/>
          <w:rtl w:val="0"/>
        </w:rPr>
        <w:t xml:space="preserve"> Steroids such as pregnenolone sulfate, deoxycorticosterone, corticosterone, and progesterone acutely reduce both the maximum response and potency of AMPA.</w:t>
      </w:r>
      <w:r w:rsidDel="00000000" w:rsidR="00000000" w:rsidRPr="00000000">
        <w:rPr>
          <w:color w:val="444746"/>
          <w:sz w:val="40"/>
          <w:szCs w:val="40"/>
          <w:highlight w:val="white"/>
          <w:vertAlign w:val="superscript"/>
          <w:rtl w:val="0"/>
        </w:rPr>
        <w:t xml:space="preserve">29</w:t>
      </w:r>
      <w:r w:rsidDel="00000000" w:rsidR="00000000" w:rsidRPr="00000000">
        <w:rPr>
          <w:color w:val="1b1c1d"/>
          <w:rtl w:val="0"/>
        </w:rPr>
        <w:t xml:space="preserve"> Importantly, the efficacy of these neuroactive steroids is regulated by membrane cholesterol levels; cholesterol depletion enhances the modulatory effects of the active steroids on AMPAR potency.</w:t>
      </w:r>
      <w:r w:rsidDel="00000000" w:rsidR="00000000" w:rsidRPr="00000000">
        <w:rPr>
          <w:color w:val="444746"/>
          <w:sz w:val="40"/>
          <w:szCs w:val="40"/>
          <w:highlight w:val="white"/>
          <w:vertAlign w:val="superscript"/>
          <w:rtl w:val="0"/>
        </w:rPr>
        <w:t xml:space="preserve">29</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CNIH-3 acts as a specialized </w:t>
      </w:r>
      <w:r w:rsidDel="00000000" w:rsidR="00000000" w:rsidRPr="00000000">
        <w:rPr>
          <w:i w:val="1"/>
          <w:color w:val="1b1c1d"/>
          <w:rtl w:val="0"/>
        </w:rPr>
        <w:t xml:space="preserve">steroid-lipid environment sensor</w:t>
      </w:r>
      <w:r w:rsidDel="00000000" w:rsidR="00000000" w:rsidRPr="00000000">
        <w:rPr>
          <w:color w:val="1b1c1d"/>
          <w:rtl w:val="0"/>
        </w:rPr>
        <w:t xml:space="preserve">. By being structurally integrated with the AMPAR TMDs, CNIH-3 translates changes in the local concentration of membrane cholesterol or the acute binding of neuroactive steroids into specific changes in the receptor's conformational dynamics (channel gating). This represents the "Allosteric Gating" modality, directly linking the cell's hormonal and metabolic state to fast excitatory synaptic transmission.</w:t>
      </w:r>
    </w:p>
    <w:p w:rsidR="00000000" w:rsidDel="00000000" w:rsidP="00000000" w:rsidRDefault="00000000" w:rsidRPr="00000000" w14:paraId="000000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bn3fvi462sw" w:id="21"/>
      <w:bookmarkEnd w:id="21"/>
      <w:r w:rsidDel="00000000" w:rsidR="00000000" w:rsidRPr="00000000">
        <w:rPr>
          <w:b w:val="1"/>
          <w:color w:val="1b1c1d"/>
          <w:sz w:val="26"/>
          <w:szCs w:val="26"/>
          <w:rtl w:val="0"/>
        </w:rPr>
        <w:t xml:space="preserve">5.4. Physiological Relevance in Cognition and Sex-Specific Behavior</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impact of CNIH-3 is observed in complex neurological processes. CNIH-3 expression is highly concentrated in the dorsal hippocampus, a brain region critical for spatial learning and memory.</w:t>
      </w:r>
      <w:r w:rsidDel="00000000" w:rsidR="00000000" w:rsidRPr="00000000">
        <w:rPr>
          <w:color w:val="444746"/>
          <w:sz w:val="40"/>
          <w:szCs w:val="40"/>
          <w:highlight w:val="white"/>
          <w:vertAlign w:val="superscript"/>
          <w:rtl w:val="0"/>
        </w:rPr>
        <w:t xml:space="preserve">31</w:t>
      </w:r>
      <w:r w:rsidDel="00000000" w:rsidR="00000000" w:rsidRPr="00000000">
        <w:rPr>
          <w:color w:val="1b1c1d"/>
          <w:rtl w:val="0"/>
        </w:rPr>
        <w:t xml:space="preserve"> Manipulation of CNIH-3 levels demonstrated sexually dimorphic effects on behavior. Deletion of CNIH-3 resulted in significant impairment of spatial memory tasks in female mice, while overexpression enhanced memory performance in females.</w:t>
      </w:r>
      <w:r w:rsidDel="00000000" w:rsidR="00000000" w:rsidRPr="00000000">
        <w:rPr>
          <w:color w:val="444746"/>
          <w:sz w:val="40"/>
          <w:szCs w:val="40"/>
          <w:highlight w:val="white"/>
          <w:vertAlign w:val="superscript"/>
          <w:rtl w:val="0"/>
        </w:rPr>
        <w:t xml:space="preserve">31</w:t>
      </w:r>
      <w:r w:rsidDel="00000000" w:rsidR="00000000" w:rsidRPr="00000000">
        <w:rPr>
          <w:color w:val="1b1c1d"/>
          <w:rtl w:val="0"/>
        </w:rPr>
        <w:t xml:space="preserve"> The link between CNIH-3, the neurosteroid-sensitive AMPAR complex, and these sex-specific cognitive effects highlights a crucial regulatory point where gonadal hormones and local sterol metabolism intersect with synaptic plasticity.</w:t>
      </w:r>
    </w:p>
    <w:p w:rsidR="00000000" w:rsidDel="00000000" w:rsidP="00000000" w:rsidRDefault="00000000" w:rsidRPr="00000000" w14:paraId="0000005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qibs0w3j7hdx" w:id="22"/>
      <w:bookmarkEnd w:id="22"/>
      <w:r w:rsidDel="00000000" w:rsidR="00000000" w:rsidRPr="00000000">
        <w:rPr>
          <w:b w:val="1"/>
          <w:color w:val="1b1c1d"/>
          <w:sz w:val="34"/>
          <w:szCs w:val="34"/>
          <w:rtl w:val="0"/>
        </w:rPr>
        <w:t xml:space="preserve">Chapter 6: Cross-Cutting Synthesis: Decoding Functional Annotation in Diverse Protein Architectures</w:t>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evi014ytun" w:id="23"/>
      <w:bookmarkEnd w:id="23"/>
      <w:r w:rsidDel="00000000" w:rsidR="00000000" w:rsidRPr="00000000">
        <w:rPr>
          <w:b w:val="1"/>
          <w:color w:val="1b1c1d"/>
          <w:sz w:val="26"/>
          <w:szCs w:val="26"/>
          <w:rtl w:val="0"/>
        </w:rPr>
        <w:t xml:space="preserve">6.1. Categorizing Steroid/Sterol Engagement Modalities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four proteins detailed herein occupy maximally divergent structural folds yet share the functional requirement of engaging a sterol or steroid molecule. This analysis confirms that "steroid-binding" is an annotation of necessity, reflecting the indispensable role of sterols in all cellular life, rather than evolutionary conservation of structure.</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modes of engagement are summarized in Table 2, illustrating the disparity in mechanism and physiological outcome across the group.</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Sterol/Steroid Interaction Modalities and Protein Classification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6.5517241379312"/>
        <w:gridCol w:w="2111.3793103448274"/>
        <w:gridCol w:w="2205.5172413793107"/>
        <w:gridCol w:w="1748.2758620689654"/>
        <w:gridCol w:w="1748.2758620689654"/>
        <w:tblGridChange w:id="0">
          <w:tblGrid>
            <w:gridCol w:w="1546.5517241379312"/>
            <w:gridCol w:w="2111.3793103448274"/>
            <w:gridCol w:w="2205.5172413793107"/>
            <w:gridCol w:w="1748.2758620689654"/>
            <w:gridCol w:w="1748.2758620689654"/>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b w:val="1"/>
                <w:color w:val="1b1c1d"/>
                <w:rtl w:val="0"/>
              </w:rPr>
              <w:t xml:space="preserve">Protein (Alias)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b w:val="1"/>
                <w:color w:val="1b1c1d"/>
                <w:rtl w:val="0"/>
              </w:rPr>
              <w:t xml:space="preserve">Structural Family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b w:val="1"/>
                <w:color w:val="1b1c1d"/>
                <w:rtl w:val="0"/>
              </w:rPr>
              <w:t xml:space="preserve">Interaction Modality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b w:val="1"/>
                <w:color w:val="1b1c1d"/>
                <w:rtl w:val="0"/>
              </w:rPr>
              <w:t xml:space="preserve">Sterol/Steroid Ligand Type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b w:val="1"/>
                <w:color w:val="1b1c1d"/>
                <w:rtl w:val="0"/>
              </w:rPr>
              <w:t xml:space="preserve">Biological Consequence</w:t>
            </w:r>
            <w:r w:rsidDel="00000000" w:rsidR="00000000" w:rsidRPr="00000000">
              <w:rPr>
                <w:rtl w:val="0"/>
              </w:rPr>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b w:val="1"/>
                <w:color w:val="1b1c1d"/>
                <w:rtl w:val="0"/>
              </w:rPr>
              <w:t xml:space="preserve">CYP51A1</w:t>
            </w:r>
            <w:r w:rsidDel="00000000" w:rsidR="00000000" w:rsidRPr="00000000">
              <w:rPr>
                <w:color w:val="1b1c1d"/>
                <w:rtl w:val="0"/>
              </w:rPr>
              <w:t xml:space="preserve"> (LDM)</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color w:val="1b1c1d"/>
                <w:rtl w:val="0"/>
              </w:rPr>
              <w:t xml:space="preserve">Cytochrome P450 (Monooxygenase)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color w:val="1b1c1d"/>
                <w:rtl w:val="0"/>
              </w:rPr>
              <w:t xml:space="preserve">Covalent Metabolism (Synthesis)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color w:val="1b1c1d"/>
                <w:rtl w:val="0"/>
              </w:rPr>
              <w:t xml:space="preserve">Lanosterol (Precursor Sterol)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color w:val="1b1c1d"/>
                <w:rtl w:val="0"/>
              </w:rPr>
              <w:t xml:space="preserve">Cholesterol biosynthesis; Essential synthesis step.</w:t>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b w:val="1"/>
                <w:color w:val="1b1c1d"/>
                <w:rtl w:val="0"/>
              </w:rPr>
              <w:t xml:space="preserve">AKR1C3</w:t>
            </w:r>
            <w:r w:rsidDel="00000000" w:rsidR="00000000" w:rsidRPr="00000000">
              <w:rPr>
                <w:color w:val="1b1c1d"/>
                <w:rtl w:val="0"/>
              </w:rPr>
              <w:t xml:space="preserve"> (20$\alpha$-HSD)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color w:val="1b1c1d"/>
                <w:rtl w:val="0"/>
              </w:rPr>
              <w:t xml:space="preserve">Aldo-Keto Reductase (TIM-Barrel)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color w:val="1b1c1d"/>
                <w:rtl w:val="0"/>
              </w:rPr>
              <w:t xml:space="preserve">Redox Metabolism (Interconversion)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color w:val="1b1c1d"/>
                <w:rtl w:val="0"/>
              </w:rPr>
              <w:t xml:space="preserve">Ketosteroids ($\Delta$4-AD, Estrone)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color w:val="1b1c1d"/>
                <w:rtl w:val="0"/>
              </w:rPr>
              <w:t xml:space="preserve">Local hormone activation; Tumour progression driver.</w:t>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b w:val="1"/>
                <w:color w:val="1b1c1d"/>
                <w:rtl w:val="0"/>
              </w:rPr>
              <w:t xml:space="preserve">EPB42</w:t>
            </w:r>
            <w:r w:rsidDel="00000000" w:rsidR="00000000" w:rsidRPr="00000000">
              <w:rPr>
                <w:color w:val="1b1c1d"/>
                <w:rtl w:val="0"/>
              </w:rPr>
              <w:t xml:space="preserve"> (Protein 4.2)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color w:val="1b1c1d"/>
                <w:rtl w:val="0"/>
              </w:rPr>
              <w:t xml:space="preserve">Band 4.2 family (Transglutaminase homology)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color w:val="1b1c1d"/>
                <w:rtl w:val="0"/>
              </w:rPr>
              <w:t xml:space="preserve">Structural Maintenance (Homeostasis)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color w:val="1b1c1d"/>
                <w:rtl w:val="0"/>
              </w:rPr>
              <w:t xml:space="preserve">Membrane Cholesterol (Bulk Lipid)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1b1c1d"/>
                <w:rtl w:val="0"/>
              </w:rPr>
              <w:t xml:space="preserve">Erythrocyte mechanical integrity; Prevents membrane fragility.</w:t>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b w:val="1"/>
                <w:color w:val="1b1c1d"/>
                <w:rtl w:val="0"/>
              </w:rPr>
              <w:t xml:space="preserve">CNIH-3</w:t>
            </w:r>
            <w:r w:rsidDel="00000000" w:rsidR="00000000" w:rsidRPr="00000000">
              <w:rPr>
                <w:color w:val="1b1c1d"/>
                <w:rtl w:val="0"/>
              </w:rPr>
              <w:t xml:space="preserve"> (Cornichon)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color w:val="1b1c1d"/>
                <w:rtl w:val="0"/>
              </w:rPr>
              <w:t xml:space="preserve">Cornichon family (Auxiliary subunit)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color w:val="1b1c1d"/>
                <w:rtl w:val="0"/>
              </w:rPr>
              <w:t xml:space="preserve">Allosteric Gating (Sensing/Signaling)</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color w:val="1b1c1d"/>
                <w:rtl w:val="0"/>
              </w:rPr>
              <w:t xml:space="preserve">Membrane Cholesterol / Neurosteroids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color w:val="1b1c1d"/>
                <w:rtl w:val="0"/>
              </w:rPr>
              <w:t xml:space="preserve">Synaptic plasticity; Rapid modulation of AMPAR current.</w:t>
            </w:r>
          </w:p>
        </w:tc>
      </w:tr>
    </w:tbl>
    <w:p w:rsidR="00000000" w:rsidDel="00000000" w:rsidP="00000000" w:rsidRDefault="00000000" w:rsidRPr="00000000" w14:paraId="000000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w5hk3kwa1ii" w:id="24"/>
      <w:bookmarkEnd w:id="24"/>
      <w:r w:rsidDel="00000000" w:rsidR="00000000" w:rsidRPr="00000000">
        <w:rPr>
          <w:b w:val="1"/>
          <w:color w:val="1b1c1d"/>
          <w:sz w:val="26"/>
          <w:szCs w:val="26"/>
          <w:rtl w:val="0"/>
        </w:rPr>
        <w:t xml:space="preserve">6.2. Contrasting Protein Architectures and Active Sites</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structural distance between these proteins determines how they physically interact with the rigid steroid skeleton:</w:t>
      </w:r>
    </w:p>
    <w:p w:rsidR="00000000" w:rsidDel="00000000" w:rsidP="00000000" w:rsidRDefault="00000000" w:rsidRPr="00000000" w14:paraId="0000007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CYP51A1:</w:t>
      </w:r>
      <w:r w:rsidDel="00000000" w:rsidR="00000000" w:rsidRPr="00000000">
        <w:rPr>
          <w:color w:val="1b1c1d"/>
          <w:rtl w:val="0"/>
        </w:rPr>
        <w:t xml:space="preserve"> Utilizes the canonical P450 fold, an ER-anchored enzyme where the sterol (lanosterol) is sequestered deep within a hydrophobic pocket, positioned precisely next to the heme iron center for complex, three-step oxidative catalysis.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mechanism demands a highly specific, buried active site geometry (Type I interaction).</w:t>
      </w:r>
    </w:p>
    <w:p w:rsidR="00000000" w:rsidDel="00000000" w:rsidP="00000000" w:rsidRDefault="00000000" w:rsidRPr="00000000" w14:paraId="0000007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AKR1C3:</w:t>
      </w:r>
      <w:r w:rsidDel="00000000" w:rsidR="00000000" w:rsidRPr="00000000">
        <w:rPr>
          <w:color w:val="1b1c1d"/>
          <w:rtl w:val="0"/>
        </w:rPr>
        <w:t xml:space="preserve"> Presents the soluble, cytosolic TIM-barrel fold, which relies on surface loops to define a relatively flexible active site pocket capable of accommodating various planar steroids and prostaglandins.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versatility enables rapid, reversible redox interconversion using NAD(P)H as a cofactor (Type I interaction).</w:t>
      </w:r>
    </w:p>
    <w:p w:rsidR="00000000" w:rsidDel="00000000" w:rsidP="00000000" w:rsidRDefault="00000000" w:rsidRPr="00000000" w14:paraId="0000007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EPB42:</w:t>
      </w:r>
      <w:r w:rsidDel="00000000" w:rsidR="00000000" w:rsidRPr="00000000">
        <w:rPr>
          <w:color w:val="1b1c1d"/>
          <w:rtl w:val="0"/>
        </w:rPr>
        <w:t xml:space="preserve"> Lacks a catalytic center entirely. Its structure is optimized for protein-protein interface formation, anchoring the membrane skeleton to the lipid bilayer via transmembrane partners like Band 3.</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Its interaction with cholesterol is mediated by bulk physics, acting as a mechanical buttress to preserve the overall structural dynamics of the sterol-rich lipid environment (Type II interaction).</w:t>
      </w:r>
    </w:p>
    <w:p w:rsidR="00000000" w:rsidDel="00000000" w:rsidP="00000000" w:rsidRDefault="00000000" w:rsidRPr="00000000" w14:paraId="00000076">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CNIH-3:</w:t>
      </w:r>
      <w:r w:rsidDel="00000000" w:rsidR="00000000" w:rsidRPr="00000000">
        <w:rPr>
          <w:color w:val="1b1c1d"/>
          <w:rtl w:val="0"/>
        </w:rPr>
        <w:t xml:space="preserve"> Functions as a small, integral, multi-pass transmembrane auxiliary unit, directly embedding itself within the lipid environment of the AMPAR complex.</w:t>
      </w:r>
      <w:r w:rsidDel="00000000" w:rsidR="00000000" w:rsidRPr="00000000">
        <w:rPr>
          <w:color w:val="444746"/>
          <w:sz w:val="40"/>
          <w:szCs w:val="40"/>
          <w:highlight w:val="white"/>
          <w:vertAlign w:val="superscript"/>
          <w:rtl w:val="0"/>
        </w:rPr>
        <w:t xml:space="preserve">25</w:t>
      </w:r>
      <w:r w:rsidDel="00000000" w:rsidR="00000000" w:rsidRPr="00000000">
        <w:rPr>
          <w:color w:val="1b1c1d"/>
          <w:rtl w:val="0"/>
        </w:rPr>
        <w:t xml:space="preserve"> Its binding involves residues within its TMD and extracellular loop.</w:t>
      </w:r>
      <w:r w:rsidDel="00000000" w:rsidR="00000000" w:rsidRPr="00000000">
        <w:rPr>
          <w:color w:val="444746"/>
          <w:sz w:val="40"/>
          <w:szCs w:val="40"/>
          <w:highlight w:val="white"/>
          <w:vertAlign w:val="superscript"/>
          <w:rtl w:val="0"/>
        </w:rPr>
        <w:t xml:space="preserve">27</w:t>
      </w:r>
      <w:r w:rsidDel="00000000" w:rsidR="00000000" w:rsidRPr="00000000">
        <w:rPr>
          <w:color w:val="1b1c1d"/>
          <w:rtl w:val="0"/>
        </w:rPr>
        <w:t xml:space="preserve"> Sterol interaction is executed at the lipid-protein interface (lipid annulus), mechanically transmitting lipid or neurosteroid binding events directly to the receptor channel gate (Type III interaction).</w:t>
      </w:r>
    </w:p>
    <w:p w:rsidR="00000000" w:rsidDel="00000000" w:rsidP="00000000" w:rsidRDefault="00000000" w:rsidRPr="00000000" w14:paraId="000000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qy2zpbxeqdh" w:id="25"/>
      <w:bookmarkEnd w:id="25"/>
      <w:r w:rsidDel="00000000" w:rsidR="00000000" w:rsidRPr="00000000">
        <w:rPr>
          <w:b w:val="1"/>
          <w:color w:val="1b1c1d"/>
          <w:sz w:val="26"/>
          <w:szCs w:val="26"/>
          <w:rtl w:val="0"/>
        </w:rPr>
        <w:t xml:space="preserve">6.3. The Functional Significance of Steroid Conjugates</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Beyond metabolic conversion and signaling, the regulation of sterol and steroid homeostasis also extends to the processing of their metabolic conjugates. An illustrative parallel is the activity of Nudix hydrolase 7 (NUDT7). Although not part of the primary query cluster, NUDT7 is annotated as a steroid-binding protein due to its interaction with specific sterol derivatives.</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NUDT7 is a peroxisomal enzyme that belongs to the Nudix hydrolase family.</w:t>
      </w:r>
      <w:r w:rsidDel="00000000" w:rsidR="00000000" w:rsidRPr="00000000">
        <w:rPr>
          <w:color w:val="444746"/>
          <w:sz w:val="40"/>
          <w:szCs w:val="40"/>
          <w:highlight w:val="white"/>
          <w:vertAlign w:val="superscript"/>
          <w:rtl w:val="0"/>
        </w:rPr>
        <w:t xml:space="preserve">32</w:t>
      </w:r>
      <w:r w:rsidDel="00000000" w:rsidR="00000000" w:rsidRPr="00000000">
        <w:rPr>
          <w:color w:val="1b1c1d"/>
          <w:rtl w:val="0"/>
        </w:rPr>
        <w:t xml:space="preserve"> Its primary function is as a fatty acyl-coenzyme A (CoA) diphosphatase, degrading CoA esters into acyl-$4^{\prime}$-phosphopantetheine and adenosine 3',5'-bisphosphate.</w:t>
      </w:r>
      <w:r w:rsidDel="00000000" w:rsidR="00000000" w:rsidRPr="00000000">
        <w:rPr>
          <w:color w:val="444746"/>
          <w:sz w:val="40"/>
          <w:szCs w:val="40"/>
          <w:highlight w:val="white"/>
          <w:vertAlign w:val="superscript"/>
          <w:rtl w:val="0"/>
        </w:rPr>
        <w:t xml:space="preserve">34</w:t>
      </w:r>
      <w:r w:rsidDel="00000000" w:rsidR="00000000" w:rsidRPr="00000000">
        <w:rPr>
          <w:color w:val="1b1c1d"/>
          <w:rtl w:val="0"/>
        </w:rPr>
        <w:t xml:space="preserve"> Crucially, NUDT7 preferentially hydrolyzes medium-chain acyl-CoAs and </w:t>
      </w:r>
      <w:r w:rsidDel="00000000" w:rsidR="00000000" w:rsidRPr="00000000">
        <w:rPr>
          <w:b w:val="1"/>
          <w:color w:val="1b1c1d"/>
          <w:rtl w:val="0"/>
        </w:rPr>
        <w:t xml:space="preserve">bile acid-CoAs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33</w:t>
      </w:r>
      <w:r w:rsidDel="00000000" w:rsidR="00000000" w:rsidRPr="00000000">
        <w:rPr>
          <w:color w:val="1b1c1d"/>
          <w:rtl w:val="0"/>
        </w:rPr>
        <w:t xml:space="preserve"> Since bile acids are synthesized from cholesterol, their CoA conjugates are intermediates in the catabolism and detoxification pathway of sterols.</w:t>
      </w:r>
      <w:r w:rsidDel="00000000" w:rsidR="00000000" w:rsidRPr="00000000">
        <w:rPr>
          <w:color w:val="444746"/>
          <w:sz w:val="40"/>
          <w:szCs w:val="40"/>
          <w:highlight w:val="white"/>
          <w:vertAlign w:val="superscript"/>
          <w:rtl w:val="0"/>
        </w:rPr>
        <w:t xml:space="preserve">32</w:t>
      </w:r>
      <w:r w:rsidDel="00000000" w:rsidR="00000000" w:rsidRPr="00000000">
        <w:rPr>
          <w:color w:val="1b1c1d"/>
          <w:rtl w:val="0"/>
        </w:rPr>
        <w:t xml:space="preserve"> NUDT7-mediated hydrolysis regulates the size and composition of the hepatic acyl-CoA pool and is key to modulating the composition of the intestinal bile acid pool, affecting cholesterol excretion.</w:t>
      </w:r>
      <w:r w:rsidDel="00000000" w:rsidR="00000000" w:rsidRPr="00000000">
        <w:rPr>
          <w:color w:val="444746"/>
          <w:sz w:val="40"/>
          <w:szCs w:val="40"/>
          <w:highlight w:val="white"/>
          <w:vertAlign w:val="superscript"/>
          <w:rtl w:val="0"/>
        </w:rPr>
        <w:t xml:space="preserve">32</w:t>
      </w:r>
      <w:r w:rsidDel="00000000" w:rsidR="00000000" w:rsidRPr="00000000">
        <w:rPr>
          <w:color w:val="1b1c1d"/>
          <w:rtl w:val="0"/>
        </w:rPr>
        <w:t xml:space="preserve"> This activity constitutes a dedicated catabolic mode (Type I, Catabolism/Detoxification) distinct from the regulatory, structural, and synthetic roles observed in CYP51A1, AKR1C3, EPB42, and CNIH-3.</w:t>
      </w:r>
    </w:p>
    <w:p w:rsidR="00000000" w:rsidDel="00000000" w:rsidP="00000000" w:rsidRDefault="00000000" w:rsidRPr="00000000" w14:paraId="000000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x5nvnorxzn2" w:id="26"/>
      <w:bookmarkEnd w:id="26"/>
      <w:r w:rsidDel="00000000" w:rsidR="00000000" w:rsidRPr="00000000">
        <w:rPr>
          <w:b w:val="1"/>
          <w:color w:val="1b1c1d"/>
          <w:sz w:val="26"/>
          <w:szCs w:val="26"/>
          <w:rtl w:val="0"/>
        </w:rPr>
        <w:t xml:space="preserve">6.4. Functional Convergence: Why the Annotation Persists</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consistency of the "steroid-binding" functional annotation across maximally divergent structures confirms that the regulatory importance of sterols dictates multiple, independently evolved solutions for molecular engagement. These proteins converge functionally because their activity—whether covalent modification (CYP51A1), redox control (AKR1C3), physical stabilization (EPB42), or allosteric modulation (CNIH-3)—profoundly impacts the concentration, localization, or activity of essential sterol or steroid molecules within their specific cellular or subcellular compartment. The rigid, lipophilic nature of the sterol core necessitates dedicated mechanisms to manage it at the ER membrane, in the cytosol, in the plasma membrane skeleton, and within synaptic receptor complexes.</w:t>
      </w:r>
    </w:p>
    <w:p w:rsidR="00000000" w:rsidDel="00000000" w:rsidP="00000000" w:rsidRDefault="00000000" w:rsidRPr="00000000" w14:paraId="0000007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qpylscn8bh1e" w:id="27"/>
      <w:bookmarkEnd w:id="27"/>
      <w:r w:rsidDel="00000000" w:rsidR="00000000" w:rsidRPr="00000000">
        <w:rPr>
          <w:b w:val="1"/>
          <w:color w:val="1b1c1d"/>
          <w:sz w:val="34"/>
          <w:szCs w:val="34"/>
          <w:rtl w:val="0"/>
        </w:rPr>
        <w:t xml:space="preserve">Chapter 7: Conclusion and Future Directions</w:t>
      </w:r>
    </w:p>
    <w:p w:rsidR="00000000" w:rsidDel="00000000" w:rsidP="00000000" w:rsidRDefault="00000000" w:rsidRPr="00000000" w14:paraId="000000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v1143y8iazr" w:id="28"/>
      <w:bookmarkEnd w:id="28"/>
      <w:r w:rsidDel="00000000" w:rsidR="00000000" w:rsidRPr="00000000">
        <w:rPr>
          <w:b w:val="1"/>
          <w:color w:val="1b1c1d"/>
          <w:sz w:val="26"/>
          <w:szCs w:val="26"/>
          <w:rtl w:val="0"/>
        </w:rPr>
        <w:t xml:space="preserve">7.1. Summary of Mechanistic Findings</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four proteins analyzed—CYP51A1, AKR1C3, EPB42, and CNIH-3—exemplify the molecular diversity required to control sterol and steroid function across biological systems. CYP51A1 represents the high-specificity, oxidative synthesis module of the ER; AKR1C3 represents the versatile, redox-driven cytosolic enzyme that regulates local hormone potency; EPB42 represents the structural mechanism stabilizing the sterol-rich plasma membrane against mechanical failure; and CNIH-3 represents the integral membrane sensor translating neurosteroid presence and lipid environment composition into rapid synaptic signaling changes. The fact that these proteins do not share a structural fold but share this functional annotation highlights the pervasive and crucial role of sterol-like molecules in virtually all facets of cellular regulation.</w:t>
      </w:r>
    </w:p>
    <w:p w:rsidR="00000000" w:rsidDel="00000000" w:rsidP="00000000" w:rsidRDefault="00000000" w:rsidRPr="00000000" w14:paraId="000000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e2q8zpudpxr" w:id="29"/>
      <w:bookmarkEnd w:id="29"/>
      <w:r w:rsidDel="00000000" w:rsidR="00000000" w:rsidRPr="00000000">
        <w:rPr>
          <w:b w:val="1"/>
          <w:color w:val="1b1c1d"/>
          <w:sz w:val="26"/>
          <w:szCs w:val="26"/>
          <w:rtl w:val="0"/>
        </w:rPr>
        <w:t xml:space="preserve">7.2. Implications for Drug Discovery</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functional disparity among these steroid-interacting proteins has direct implications for pharmacology. Metabolic targets like CYP51A1 and AKR1C3 (Type I) offer active sites amenable to classical inhibitor design, crucial for treating infectious disease, hypercholesterolemia, and hormone-driven cancers, such as CRPC.</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Rational drug design efforts targeting CYP51A1, for example, rely on detailed knowledge of the critical ligand-binding residues like Y137 and R388.</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contrast, targets like EPB42 (Type II) require modulators that influence protein-protein interaction stability, rather than catalytic activity, presenting a distinct challenge focused on stabilizing cytoskeletal-membrane links. Targeting CNIH-3 (Type III) necessitates developing chemical probes that either interact specifically with neurosteroid binding sites or modify the protein-lipid interface to allosterically modulate receptor gating.</w:t>
      </w:r>
      <w:r w:rsidDel="00000000" w:rsidR="00000000" w:rsidRPr="00000000">
        <w:rPr>
          <w:color w:val="444746"/>
          <w:sz w:val="40"/>
          <w:szCs w:val="40"/>
          <w:highlight w:val="white"/>
          <w:vertAlign w:val="superscript"/>
          <w:rtl w:val="0"/>
        </w:rPr>
        <w:t xml:space="preserve">25</w:t>
      </w:r>
      <w:r w:rsidDel="00000000" w:rsidR="00000000" w:rsidRPr="00000000">
        <w:rPr>
          <w:color w:val="1b1c1d"/>
          <w:rtl w:val="0"/>
        </w:rPr>
        <w:t xml:space="preserve"> The potential to target CNIH-3 offers a pathway for non-genomic intervention in neurological disorders linked to sex steroid and cholesterol homeostasis, with observed sex-specific effects on cognition.</w:t>
      </w:r>
      <w:r w:rsidDel="00000000" w:rsidR="00000000" w:rsidRPr="00000000">
        <w:rPr>
          <w:color w:val="444746"/>
          <w:sz w:val="40"/>
          <w:szCs w:val="40"/>
          <w:highlight w:val="white"/>
          <w:vertAlign w:val="superscript"/>
          <w:rtl w:val="0"/>
        </w:rPr>
        <w:t xml:space="preserve">31</w:t>
      </w:r>
    </w:p>
    <w:p w:rsidR="00000000" w:rsidDel="00000000" w:rsidP="00000000" w:rsidRDefault="00000000" w:rsidRPr="00000000" w14:paraId="000000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k3ylmtbfs9l" w:id="30"/>
      <w:bookmarkEnd w:id="30"/>
      <w:r w:rsidDel="00000000" w:rsidR="00000000" w:rsidRPr="00000000">
        <w:rPr>
          <w:b w:val="1"/>
          <w:color w:val="1b1c1d"/>
          <w:sz w:val="26"/>
          <w:szCs w:val="26"/>
          <w:rtl w:val="0"/>
        </w:rPr>
        <w:t xml:space="preserve">7.3. Open Questions in Lipid-Protein Interaction Science</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Despite recent structural advances, several mechanistic gaps remain. For EPB42, the precise molecular basis of its "lipid binding" annotation and how its ATP-binding capability (if functional) relates to local cholesterol dynamics and membrane mechanical properties warrants further investigation. For CNIH-3, while the functional outcome is clear—it integrates membrane cholesterol and neurosteroid signals to modify AMPAR function—the precise atomic resolution map of the neurosteroid-binding pocket within the CNIH-3/AMPAR complex and the mechanism by which membrane lipid changes are mechanically transduced into channel gating shifts requires continued structural and functional study.</w:t>
      </w:r>
      <w:r w:rsidDel="00000000" w:rsidR="00000000" w:rsidRPr="00000000">
        <w:rPr>
          <w:color w:val="444746"/>
          <w:sz w:val="40"/>
          <w:szCs w:val="40"/>
          <w:highlight w:val="white"/>
          <w:vertAlign w:val="superscript"/>
          <w:rtl w:val="0"/>
        </w:rPr>
        <w:t xml:space="preserve">25</w:t>
      </w:r>
      <w:r w:rsidDel="00000000" w:rsidR="00000000" w:rsidRPr="00000000">
        <w:rPr>
          <w:color w:val="1b1c1d"/>
          <w:rtl w:val="0"/>
        </w:rPr>
        <w:t xml:space="preserve"> Resolving these interfaces will be paramount for developing targeted therapies that leverage the allosteric regulation inherent in these structurally complex membrane systems.</w:t>
      </w:r>
    </w:p>
    <w:p w:rsidR="00000000" w:rsidDel="00000000" w:rsidP="00000000" w:rsidRDefault="00000000" w:rsidRPr="00000000" w14:paraId="0000008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