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pa0hhiqv6s0h" w:id="0"/>
      <w:bookmarkEnd w:id="0"/>
      <w:r w:rsidDel="00000000" w:rsidR="00000000" w:rsidRPr="00000000">
        <w:rPr>
          <w:b w:val="1"/>
          <w:color w:val="1b1c1d"/>
          <w:sz w:val="46"/>
          <w:szCs w:val="46"/>
          <w:rtl w:val="0"/>
        </w:rPr>
        <w:t xml:space="preserve">Non-Lysosomal Glucosylceramidase (GBA2): A Sterol-Glycolipid Processing Enzyme Central to Non-Lysosomal Lipid Homeostasis and Neurodegeneration</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Non-lysosomal glucosylceramidase (GBA2), encoded by the human </w:t>
      </w:r>
      <w:r w:rsidDel="00000000" w:rsidR="00000000" w:rsidRPr="00000000">
        <w:rPr>
          <w:i w:val="1"/>
          <w:color w:val="1b1c1d"/>
          <w:rtl w:val="0"/>
        </w:rPr>
        <w:t xml:space="preserve">GBA2</w:t>
      </w:r>
      <w:r w:rsidDel="00000000" w:rsidR="00000000" w:rsidRPr="00000000">
        <w:rPr>
          <w:color w:val="1b1c1d"/>
          <w:rtl w:val="0"/>
        </w:rPr>
        <w:t xml:space="preserve"> gene, represents a structurally and functionally unified cluster of annotated proteins, including Glucosylceramidase 2, Bile acid beta-glucosidase GBA2, and Cholesterol glucosyltransferase GBA2. These diverse annotations reflect the enzyme's pleiotropic activity in lipid and sterol metabolism outside the classical lysosomal pathway.</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GBA2 is critically important for maintaining cellular sphingolipid balance, specifically through the regulation of glucosylceramide (GlcCer) and cholesterol levels in extra-lysosomal compartments. Its inclusion within a cluster of steroid-binding proteins is derived from its unique capacity to bind and functionally modify major sterol molecules, a function integral to its physiological and pathological roles in hereditary neurological disorders and lipid storage diseases.</w:t>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ubhm6npwp9q1" w:id="1"/>
      <w:bookmarkEnd w:id="1"/>
      <w:r w:rsidDel="00000000" w:rsidR="00000000" w:rsidRPr="00000000">
        <w:rPr>
          <w:b w:val="1"/>
          <w:color w:val="1b1c1d"/>
          <w:sz w:val="34"/>
          <w:szCs w:val="34"/>
          <w:rtl w:val="0"/>
        </w:rPr>
        <w:t xml:space="preserve">1. Definitional Framework and Enzyme Classification</w:t>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bmjjf5ofx0gb" w:id="2"/>
      <w:bookmarkEnd w:id="2"/>
      <w:r w:rsidDel="00000000" w:rsidR="00000000" w:rsidRPr="00000000">
        <w:rPr>
          <w:b w:val="1"/>
          <w:color w:val="1b1c1d"/>
          <w:sz w:val="26"/>
          <w:szCs w:val="26"/>
          <w:rtl w:val="0"/>
        </w:rPr>
        <w:t xml:space="preserve">1.1 GBA2 Nomenclature Cluster: Unifying the Multifunctional Aliases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extensive functional annotations assigned to GBA2 highlight its remarkable enzymatic versatility. GBA2 primarily functions as a $\beta$-glucosidase (EC 3.2.1.45), catalyzing the hydrolysis of Glucosylceramide (GlcCer) to generate ceramide and free glucose.</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This is its defining role in the non-lysosomal degradation pathway for GlcCer, the main precursor of complex glycosphingolipids.</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However, GBA2 is also classified under the enzyme class of glucosyltransferases (EC 2.4.1.-) due to its secondary, yet critical, capacity for transglucosylation.</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This dual enzymatic designation signifies that GBA2's catalytic pocket is configured to accommodate competitive reaction pathways—hydrolysis (using water as a nucleophile) versus transglycosylation (using a lipid or sterol acceptor). This kinetic flexibility allows GBA2 to manage local concentrations of the glucose moiety by either releasing it into the cytosol or transferring it to an available hydrophobic acceptor, such as cholesterol or bile acids.</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Furthermore, GBA2 also possesses non-lysosomal galactosylceramidase activity (EC 3.2.1.46), catalyzing the hydrolysis and transfer of galactosylceramide (GalCer), albeit typically with lower catalytic efficiency than its activity toward GlcCer.</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1 summarizes the recognized enzymatic activities of GBA2, clarifying the basis for its numerous annotations.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1: GBA2 Nomenclature and Enzymatic Activities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2.9726264028573"/>
        <w:gridCol w:w="2405.183497419485"/>
        <w:gridCol w:w="2295.8569748095083"/>
        <w:gridCol w:w="2101.498712391772"/>
        <w:tblGridChange w:id="0">
          <w:tblGrid>
            <w:gridCol w:w="2222.9726264028573"/>
            <w:gridCol w:w="2405.183497419485"/>
            <w:gridCol w:w="2295.8569748095083"/>
            <w:gridCol w:w="2101.498712391772"/>
          </w:tblGrid>
        </w:tblGridChange>
      </w:tblGrid>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spacing w:after="480" w:lineRule="auto"/>
              <w:rPr>
                <w:color w:val="1b1c1d"/>
              </w:rPr>
            </w:pPr>
            <w:r w:rsidDel="00000000" w:rsidR="00000000" w:rsidRPr="00000000">
              <w:rPr>
                <w:b w:val="1"/>
                <w:color w:val="1b1c1d"/>
                <w:rtl w:val="0"/>
              </w:rPr>
              <w:t xml:space="preserve">Alias/Annotation (Functional Cluster)</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spacing w:after="480" w:lineRule="auto"/>
              <w:rPr>
                <w:color w:val="1b1c1d"/>
              </w:rPr>
            </w:pPr>
            <w:r w:rsidDel="00000000" w:rsidR="00000000" w:rsidRPr="00000000">
              <w:rPr>
                <w:b w:val="1"/>
                <w:color w:val="1b1c1d"/>
                <w:rtl w:val="0"/>
              </w:rPr>
              <w:t xml:space="preserve">EC Number(s)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spacing w:after="480" w:lineRule="auto"/>
              <w:rPr>
                <w:color w:val="1b1c1d"/>
              </w:rPr>
            </w:pPr>
            <w:r w:rsidDel="00000000" w:rsidR="00000000" w:rsidRPr="00000000">
              <w:rPr>
                <w:b w:val="1"/>
                <w:color w:val="1b1c1d"/>
                <w:rtl w:val="0"/>
              </w:rPr>
              <w:t xml:space="preserve">Catalytic Activity</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spacing w:after="480" w:lineRule="auto"/>
              <w:rPr>
                <w:color w:val="1b1c1d"/>
              </w:rPr>
            </w:pPr>
            <w:r w:rsidDel="00000000" w:rsidR="00000000" w:rsidRPr="00000000">
              <w:rPr>
                <w:b w:val="1"/>
                <w:color w:val="1b1c1d"/>
                <w:rtl w:val="0"/>
              </w:rPr>
              <w:t xml:space="preserve">Key Substrate/Acceptor</w:t>
            </w:r>
            <w:r w:rsidDel="00000000" w:rsidR="00000000" w:rsidRPr="00000000">
              <w:rPr>
                <w:rtl w:val="0"/>
              </w:rPr>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spacing w:after="480" w:lineRule="auto"/>
              <w:rPr>
                <w:color w:val="1b1c1d"/>
              </w:rPr>
            </w:pPr>
            <w:r w:rsidDel="00000000" w:rsidR="00000000" w:rsidRPr="00000000">
              <w:rPr>
                <w:color w:val="1b1c1d"/>
                <w:rtl w:val="0"/>
              </w:rPr>
              <w:t xml:space="preserve">Non-lysosomal Glucosylceramidase (NLGase)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spacing w:after="480" w:lineRule="auto"/>
              <w:rPr>
                <w:color w:val="1b1c1d"/>
              </w:rPr>
            </w:pPr>
            <w:r w:rsidDel="00000000" w:rsidR="00000000" w:rsidRPr="00000000">
              <w:rPr>
                <w:color w:val="1b1c1d"/>
                <w:rtl w:val="0"/>
              </w:rPr>
              <w:t xml:space="preserve">EC 3.2.1.45 (Hydrolase)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spacing w:after="480" w:lineRule="auto"/>
              <w:rPr>
                <w:color w:val="1b1c1d"/>
              </w:rPr>
            </w:pPr>
            <w:r w:rsidDel="00000000" w:rsidR="00000000" w:rsidRPr="00000000">
              <w:rPr>
                <w:color w:val="1b1c1d"/>
                <w:rtl w:val="0"/>
              </w:rPr>
              <w:t xml:space="preserve">Hydrolysis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spacing w:after="480" w:lineRule="auto"/>
              <w:rPr>
                <w:color w:val="1b1c1d"/>
              </w:rPr>
            </w:pPr>
            <w:r w:rsidDel="00000000" w:rsidR="00000000" w:rsidRPr="00000000">
              <w:rPr>
                <w:color w:val="1b1c1d"/>
                <w:rtl w:val="0"/>
              </w:rPr>
              <w:t xml:space="preserve">Glucosylceramide (GlcCer)</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spacing w:after="480" w:lineRule="auto"/>
              <w:rPr>
                <w:color w:val="1b1c1d"/>
              </w:rPr>
            </w:pPr>
            <w:r w:rsidDel="00000000" w:rsidR="00000000" w:rsidRPr="00000000">
              <w:rPr>
                <w:color w:val="1b1c1d"/>
                <w:rtl w:val="0"/>
              </w:rPr>
              <w:t xml:space="preserve">Cholesterol Glucosyltransferase GBA2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spacing w:after="480" w:lineRule="auto"/>
              <w:rPr>
                <w:color w:val="1b1c1d"/>
              </w:rPr>
            </w:pPr>
            <w:r w:rsidDel="00000000" w:rsidR="00000000" w:rsidRPr="00000000">
              <w:rPr>
                <w:color w:val="1b1c1d"/>
                <w:rtl w:val="0"/>
              </w:rPr>
              <w:t xml:space="preserve">EC 2.4.1.- (Transferase)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spacing w:after="480" w:lineRule="auto"/>
              <w:rPr>
                <w:color w:val="1b1c1d"/>
              </w:rPr>
            </w:pPr>
            <w:r w:rsidDel="00000000" w:rsidR="00000000" w:rsidRPr="00000000">
              <w:rPr>
                <w:color w:val="1b1c1d"/>
                <w:rtl w:val="0"/>
              </w:rPr>
              <w:t xml:space="preserve">Transglucosylation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spacing w:after="480" w:lineRule="auto"/>
              <w:rPr>
                <w:color w:val="1b1c1d"/>
              </w:rPr>
            </w:pPr>
            <w:r w:rsidDel="00000000" w:rsidR="00000000" w:rsidRPr="00000000">
              <w:rPr>
                <w:color w:val="1b1c1d"/>
                <w:rtl w:val="0"/>
              </w:rPr>
              <w:t xml:space="preserve">Cholesterol (Acceptor)</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spacing w:after="480" w:lineRule="auto"/>
              <w:rPr>
                <w:color w:val="1b1c1d"/>
              </w:rPr>
            </w:pPr>
            <w:r w:rsidDel="00000000" w:rsidR="00000000" w:rsidRPr="00000000">
              <w:rPr>
                <w:color w:val="1b1c1d"/>
                <w:rtl w:val="0"/>
              </w:rPr>
              <w:t xml:space="preserve">Bile Acid $\beta$-Glucosidase GBA2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b1c1d"/>
              </w:rPr>
            </w:pPr>
            <w:r w:rsidDel="00000000" w:rsidR="00000000" w:rsidRPr="00000000">
              <w:rPr>
                <w:color w:val="1b1c1d"/>
                <w:rtl w:val="0"/>
              </w:rPr>
              <w:t xml:space="preserve">EC 3.2.1.- (Hydrolase/Transferase)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b1c1d"/>
              </w:rPr>
            </w:pPr>
            <w:r w:rsidDel="00000000" w:rsidR="00000000" w:rsidRPr="00000000">
              <w:rPr>
                <w:color w:val="1b1c1d"/>
                <w:rtl w:val="0"/>
              </w:rPr>
              <w:t xml:space="preserve">Hydrolysis/Conjugation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b1c1d"/>
              </w:rPr>
            </w:pPr>
            <w:r w:rsidDel="00000000" w:rsidR="00000000" w:rsidRPr="00000000">
              <w:rPr>
                <w:color w:val="1b1c1d"/>
                <w:rtl w:val="0"/>
              </w:rPr>
              <w:t xml:space="preserve">Bile Acid 3-O-Glucosides</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b1c1d"/>
              </w:rPr>
            </w:pPr>
            <w:r w:rsidDel="00000000" w:rsidR="00000000" w:rsidRPr="00000000">
              <w:rPr>
                <w:color w:val="1b1c1d"/>
                <w:rtl w:val="0"/>
              </w:rPr>
              <w:t xml:space="preserve">Non-lysosomal Galactosylceramidase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b1c1d"/>
              </w:rPr>
            </w:pPr>
            <w:r w:rsidDel="00000000" w:rsidR="00000000" w:rsidRPr="00000000">
              <w:rPr>
                <w:color w:val="1b1c1d"/>
                <w:rtl w:val="0"/>
              </w:rPr>
              <w:t xml:space="preserve">EC 3.2.1.46 (Hydrolase)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b1c1d"/>
              </w:rPr>
            </w:pPr>
            <w:r w:rsidDel="00000000" w:rsidR="00000000" w:rsidRPr="00000000">
              <w:rPr>
                <w:color w:val="1b1c1d"/>
                <w:rtl w:val="0"/>
              </w:rPr>
              <w:t xml:space="preserve">Hydrolysis (Lower Activity)</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b1c1d"/>
              </w:rPr>
            </w:pPr>
            <w:r w:rsidDel="00000000" w:rsidR="00000000" w:rsidRPr="00000000">
              <w:rPr>
                <w:color w:val="1b1c1d"/>
                <w:rtl w:val="0"/>
              </w:rPr>
              <w:t xml:space="preserve">Galactosylceramide (GalCer)</w:t>
            </w:r>
          </w:p>
        </w:tc>
      </w:tr>
    </w:tbl>
    <w:p w:rsidR="00000000" w:rsidDel="00000000" w:rsidP="00000000" w:rsidRDefault="00000000" w:rsidRPr="00000000" w14:paraId="000000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bue9hw2eq2jr" w:id="3"/>
      <w:bookmarkEnd w:id="3"/>
      <w:r w:rsidDel="00000000" w:rsidR="00000000" w:rsidRPr="00000000">
        <w:rPr>
          <w:b w:val="1"/>
          <w:color w:val="1b1c1d"/>
          <w:sz w:val="26"/>
          <w:szCs w:val="26"/>
          <w:rtl w:val="0"/>
        </w:rPr>
        <w:t xml:space="preserve">1.2 Cellular Localization and Membrane Interaction Dynamics</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GBA2 is distinct from the lysosomal glucocerebrosidase (GBA1) in both structure and subcellular placement. GBA2 is predominantly enriched in the microsomal fraction, localized primarily to the cytoplasmic face of the Endoplasmic Reticulum (ER) and the Golgi apparatus.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unique residence positions the enzyme to regulate the non-lysosomal pool of GlcCer and its subsequent signaling, placing it in a key location for controlling lipid-dependent pathways independent of the lysosome.</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Structurally, GBA2 is not an integral membrane protein but is instead classified as a non-integral, membrane-associated protein that tightly adheres to cellular membranes.</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This tight association, likely mediated by interactions with specific phospholipids, is essential for maintaining GBA2's catalytic activity.</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This non-integral binding mechanism ensures GBA2 has dynamic access to the inner leaflet of the ER and Golgi membranes, which are active sites for GlcCer synthesis and cholesterol trafficking. The necessity for a tight membrane interaction suggests that the membrane environment plays a role in correctly orienting the catalytic domain relative to its lipid substrates and sterol acceptors for optimal enzymatic turnover.</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93l92f7dzylh" w:id="4"/>
      <w:bookmarkEnd w:id="4"/>
      <w:r w:rsidDel="00000000" w:rsidR="00000000" w:rsidRPr="00000000">
        <w:rPr>
          <w:b w:val="1"/>
          <w:color w:val="1b1c1d"/>
          <w:sz w:val="26"/>
          <w:szCs w:val="26"/>
          <w:rtl w:val="0"/>
        </w:rPr>
        <w:t xml:space="preserve">1.3 Glycoside Hydrolase Family 116 (GH116) Characteristics</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GBA2 is the principal human representative of the Glycoside Hydrolase family 116 (GH116), which is structurally classified within Clan O hydrolases.</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Its architecture is highly divergent from GBA1, which belongs to the GH30 family and Clan A. The GBA2 protein contains two principal domains: the N-terminal Glyco_hydr_116N region and the C-terminal catalytic region, annotated as DUF608.</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The catalytic core of GBA2 adopts an $(\alpha/\alpha)6$ solenoid fold, a characteristic topology of Clan O hydrolases, distinguishing it structurally from the $(\beta/\alpha)8$ TIM barrel domain characteristic of GBA1.</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Significant structural understanding of GBA2 has been obtained through its bacterial homolog, </w:t>
      </w:r>
      <w:r w:rsidDel="00000000" w:rsidR="00000000" w:rsidRPr="00000000">
        <w:rPr>
          <w:i w:val="1"/>
          <w:color w:val="1b1c1d"/>
          <w:rtl w:val="0"/>
        </w:rPr>
        <w:t xml:space="preserve">Thermoanaerobacterium xylanolyticum</w:t>
      </w:r>
      <w:r w:rsidDel="00000000" w:rsidR="00000000" w:rsidRPr="00000000">
        <w:rPr>
          <w:color w:val="1b1c1d"/>
          <w:rtl w:val="0"/>
        </w:rPr>
        <w:t xml:space="preserve"> $\beta$-glucosidase (TxGH116). TxGH116 shares approximately 40% sequence identity with GBA2 in the catalytic domain, and its crystal structure has proven invaluable for modeling the GBA2 active site and mapping conserved residues.</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This structural homology facilitates the identification of the glucoside binding and active-site residues, which informs the understanding of how pathogenic missense mutations in </w:t>
      </w:r>
      <w:r w:rsidDel="00000000" w:rsidR="00000000" w:rsidRPr="00000000">
        <w:rPr>
          <w:i w:val="1"/>
          <w:color w:val="1b1c1d"/>
          <w:rtl w:val="0"/>
        </w:rPr>
        <w:t xml:space="preserve">GBA2</w:t>
      </w:r>
      <w:r w:rsidDel="00000000" w:rsidR="00000000" w:rsidRPr="00000000">
        <w:rPr>
          <w:color w:val="1b1c1d"/>
          <w:rtl w:val="0"/>
        </w:rPr>
        <w:t xml:space="preserve"> lead to hereditary spastic paraplegia (HSP) and cerebellar ataxia (ARCA).</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02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9j1p3fhkxsk" w:id="5"/>
      <w:bookmarkEnd w:id="5"/>
      <w:r w:rsidDel="00000000" w:rsidR="00000000" w:rsidRPr="00000000">
        <w:rPr>
          <w:b w:val="1"/>
          <w:color w:val="1b1c1d"/>
          <w:sz w:val="34"/>
          <w:szCs w:val="34"/>
          <w:rtl w:val="0"/>
        </w:rPr>
        <w:t xml:space="preserve">2. Structural Basis of Catalytic Versatility and Sterol Accommodation</w:t>
      </w:r>
    </w:p>
    <w:p w:rsidR="00000000" w:rsidDel="00000000" w:rsidP="00000000" w:rsidRDefault="00000000" w:rsidRPr="00000000" w14:paraId="000000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hq63ar247nmo" w:id="6"/>
      <w:bookmarkEnd w:id="6"/>
      <w:r w:rsidDel="00000000" w:rsidR="00000000" w:rsidRPr="00000000">
        <w:rPr>
          <w:b w:val="1"/>
          <w:color w:val="1b1c1d"/>
          <w:sz w:val="26"/>
          <w:szCs w:val="26"/>
          <w:rtl w:val="0"/>
        </w:rPr>
        <w:t xml:space="preserve">2.1 Domain Architecture and Hydrophobic Pocket Modeling</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functional plasticity of GBA2—its ability to hydrolyze GlcCer and transfer the glucose moiety to sterols—is rooted in the unique structural configuration of its active site. Structural modeling, based on TxGH116, reveals that the N-terminal $\beta$-sandwich domain is physically and functionally integrated with the catalytic C-terminal domain, contributing directly to the substrate binding cleft.</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active site must possess specific geometric characteristics to accommodate the large, complex lipid substrates. It requires a sufficiently deep and hydrophobic pocket capable of binding both the long acyl chain of the ceramide backbone derived from GlcCer and the bulky, multi-ring structure of cholesterol.</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Conserved residues, such as those corresponding to human GBA2 D594 and R873, are implicated in forming essential hydrogen bonds with the hydroxyl groups of the glucose moiety, stabilizing the substrate during catalysis.</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The close relationship between the conserved active site topology and function is underscored by the observation that pathogenic mutations associated with neurodegenerative diseases primarily cause a loss of GBA2 activity or perturb critical protein-protein interactions necessary for the enzyme's stability and function.</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n1zchgmy3nzg" w:id="7"/>
      <w:bookmarkEnd w:id="7"/>
      <w:r w:rsidDel="00000000" w:rsidR="00000000" w:rsidRPr="00000000">
        <w:rPr>
          <w:b w:val="1"/>
          <w:color w:val="1b1c1d"/>
          <w:sz w:val="26"/>
          <w:szCs w:val="26"/>
          <w:rtl w:val="0"/>
        </w:rPr>
        <w:t xml:space="preserve">2.2 Mechanistic Distinction: Perpendicular Protonation Trajectory</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One of the most defining characteristics of GBA2, and the GH116 family generally, is the reaction mechanism it employs. GBA2 catalyzes the cleavage of the $\beta$-glycosidic bond utilizing a unique </w:t>
      </w:r>
      <w:r w:rsidDel="00000000" w:rsidR="00000000" w:rsidRPr="00000000">
        <w:rPr>
          <w:b w:val="1"/>
          <w:color w:val="1b1c1d"/>
          <w:rtl w:val="0"/>
        </w:rPr>
        <w:t xml:space="preserve">perpendicular protonation</w:t>
      </w:r>
      <w:r w:rsidDel="00000000" w:rsidR="00000000" w:rsidRPr="00000000">
        <w:rPr>
          <w:color w:val="1b1c1d"/>
          <w:rtl w:val="0"/>
        </w:rPr>
        <w:t xml:space="preserve"> trajectory.</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This mechanism is dictated by the precise geometry of the active site, which locks the glucose $\text{C6OH}$ into a </w:t>
      </w:r>
      <w:r w:rsidDel="00000000" w:rsidR="00000000" w:rsidRPr="00000000">
        <w:rPr>
          <w:i w:val="1"/>
          <w:color w:val="1b1c1d"/>
          <w:rtl w:val="0"/>
        </w:rPr>
        <w:t xml:space="preserve">gauche, trans</w:t>
      </w:r>
      <w:r w:rsidDel="00000000" w:rsidR="00000000" w:rsidRPr="00000000">
        <w:rPr>
          <w:color w:val="1b1c1d"/>
          <w:rtl w:val="0"/>
        </w:rPr>
        <w:t xml:space="preserve"> orientation relative to the $\text{C5-O5}$ and $\text{C4-C5}$ bonds to facilitate this distinct perpendicular approach.</w:t>
      </w:r>
      <w:r w:rsidDel="00000000" w:rsidR="00000000" w:rsidRPr="00000000">
        <w:rPr>
          <w:color w:val="444746"/>
          <w:sz w:val="40"/>
          <w:szCs w:val="40"/>
          <w:highlight w:val="white"/>
          <w:vertAlign w:val="superscript"/>
          <w:rtl w:val="0"/>
        </w:rPr>
        <w:t xml:space="preserve">13</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This mechanistic feature provides a critical differentiation point between GBA2 and its lysosomal counterpart, GBA1 (GH30), which utilizes a </w:t>
      </w:r>
      <w:r w:rsidDel="00000000" w:rsidR="00000000" w:rsidRPr="00000000">
        <w:rPr>
          <w:b w:val="1"/>
          <w:color w:val="1b1c1d"/>
          <w:rtl w:val="0"/>
        </w:rPr>
        <w:t xml:space="preserve">lateral protonation</w:t>
      </w:r>
      <w:r w:rsidDel="00000000" w:rsidR="00000000" w:rsidRPr="00000000">
        <w:rPr>
          <w:color w:val="1b1c1d"/>
          <w:rtl w:val="0"/>
        </w:rPr>
        <w:t xml:space="preserve"> trajectory.</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This fundamental geometric difference between the transition states of the two human $\beta$-glucosidases is of paramount importance for therapeutic development. By understanding the distinct steric and electrostatic requirements enforced by the $\text{(\alpha/\alpha)6}$ fold of GBA2, compared to the $\text{(\beta/\alpha)8}$ fold of GBA1, it is possible to rationally design highly selective inhibitors. Such inhibitors can match the transition state of GBA2 without affecting GBA1, thereby avoiding the undesirable side effects associated with inhibiting lysosomal function and potentially inducing Gaucher-like pathologies.</w:t>
      </w:r>
      <w:r w:rsidDel="00000000" w:rsidR="00000000" w:rsidRPr="00000000">
        <w:rPr>
          <w:color w:val="444746"/>
          <w:sz w:val="40"/>
          <w:szCs w:val="40"/>
          <w:highlight w:val="white"/>
          <w:vertAlign w:val="superscript"/>
          <w:rtl w:val="0"/>
        </w:rPr>
        <w:t xml:space="preserve">13</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2: Mechanistic and Structural Features Differentiating GBA2 (GH116) and GBA1 (GH30)</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7.2272847916483"/>
        <w:gridCol w:w="2484.5510041581883"/>
        <w:gridCol w:w="2383.1407590905073"/>
        <w:gridCol w:w="1660.5927629832788"/>
        <w:tblGridChange w:id="0">
          <w:tblGrid>
            <w:gridCol w:w="2497.2272847916483"/>
            <w:gridCol w:w="2484.5510041581883"/>
            <w:gridCol w:w="2383.1407590905073"/>
            <w:gridCol w:w="1660.5927629832788"/>
          </w:tblGrid>
        </w:tblGridChange>
      </w:tblGrid>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b1c1d"/>
              </w:rPr>
            </w:pPr>
            <w:r w:rsidDel="00000000" w:rsidR="00000000" w:rsidRPr="00000000">
              <w:rPr>
                <w:b w:val="1"/>
                <w:color w:val="1b1c1d"/>
                <w:rtl w:val="0"/>
              </w:rPr>
              <w:t xml:space="preserve">Structural/Mechanistic Feature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b1c1d"/>
              </w:rPr>
            </w:pPr>
            <w:r w:rsidDel="00000000" w:rsidR="00000000" w:rsidRPr="00000000">
              <w:rPr>
                <w:b w:val="1"/>
                <w:color w:val="1b1c1d"/>
                <w:rtl w:val="0"/>
              </w:rPr>
              <w:t xml:space="preserve">GBA2 (Non-Lysosomal, GH116)</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b1c1d"/>
              </w:rPr>
            </w:pPr>
            <w:r w:rsidDel="00000000" w:rsidR="00000000" w:rsidRPr="00000000">
              <w:rPr>
                <w:b w:val="1"/>
                <w:color w:val="1b1c1d"/>
                <w:rtl w:val="0"/>
              </w:rPr>
              <w:t xml:space="preserve">GBA1 (Lysosomal, GH30)</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b1c1d"/>
              </w:rPr>
            </w:pPr>
            <w:r w:rsidDel="00000000" w:rsidR="00000000" w:rsidRPr="00000000">
              <w:rPr>
                <w:b w:val="1"/>
                <w:color w:val="1b1c1d"/>
                <w:rtl w:val="0"/>
              </w:rPr>
              <w:t xml:space="preserve">Significance for Specificity</w:t>
            </w:r>
            <w:r w:rsidDel="00000000" w:rsidR="00000000" w:rsidRPr="00000000">
              <w:rPr>
                <w:rtl w:val="0"/>
              </w:rPr>
            </w:r>
          </w:p>
        </w:tc>
      </w:tr>
      <w:tr>
        <w:trPr>
          <w:cantSplit w:val="0"/>
          <w:trHeight w:val="174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b1c1d"/>
              </w:rPr>
            </w:pPr>
            <w:r w:rsidDel="00000000" w:rsidR="00000000" w:rsidRPr="00000000">
              <w:rPr>
                <w:color w:val="1b1c1d"/>
                <w:rtl w:val="0"/>
              </w:rPr>
              <w:t xml:space="preserve">Enzyme Family/Clan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b1c1d"/>
              </w:rPr>
            </w:pPr>
            <w:r w:rsidDel="00000000" w:rsidR="00000000" w:rsidRPr="00000000">
              <w:rPr>
                <w:color w:val="1b1c1d"/>
                <w:rtl w:val="0"/>
              </w:rPr>
              <w:t xml:space="preserve">GH116 / Clan O</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b1c1d"/>
              </w:rPr>
            </w:pPr>
            <w:r w:rsidDel="00000000" w:rsidR="00000000" w:rsidRPr="00000000">
              <w:rPr>
                <w:color w:val="1b1c1d"/>
                <w:rtl w:val="0"/>
              </w:rPr>
              <w:t xml:space="preserve">GH30 / Clan A</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Structural divergence necessitates orthogonal drug design </w:t>
            </w:r>
            <w:r w:rsidDel="00000000" w:rsidR="00000000" w:rsidRPr="00000000">
              <w:rPr>
                <w:color w:val="444746"/>
                <w:sz w:val="40"/>
                <w:szCs w:val="40"/>
                <w:highlight w:val="white"/>
                <w:vertAlign w:val="superscript"/>
                <w:rtl w:val="0"/>
              </w:rPr>
              <w:t xml:space="preserve">4</w:t>
            </w:r>
          </w:p>
        </w:tc>
      </w:tr>
      <w:tr>
        <w:trPr>
          <w:cantSplit w:val="0"/>
          <w:trHeight w:val="118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b1c1d"/>
              </w:rPr>
            </w:pPr>
            <w:r w:rsidDel="00000000" w:rsidR="00000000" w:rsidRPr="00000000">
              <w:rPr>
                <w:color w:val="1b1c1d"/>
                <w:rtl w:val="0"/>
              </w:rPr>
              <w:t xml:space="preserve">Catalytic Domain Fold</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b1c1d"/>
              </w:rPr>
            </w:pPr>
            <w:r w:rsidDel="00000000" w:rsidR="00000000" w:rsidRPr="00000000">
              <w:rPr>
                <w:color w:val="1b1c1d"/>
                <w:rtl w:val="0"/>
              </w:rPr>
              <w:t xml:space="preserve">$\text{(\alpha/\alpha)6}$ Solenoid</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b1c1d"/>
              </w:rPr>
            </w:pPr>
            <w:r w:rsidDel="00000000" w:rsidR="00000000" w:rsidRPr="00000000">
              <w:rPr>
                <w:color w:val="1b1c1d"/>
                <w:rtl w:val="0"/>
              </w:rPr>
              <w:t xml:space="preserve">$\text{(\beta/\alpha)8}$ TIM Barrel</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Fundamentally different structure </w:t>
            </w:r>
            <w:r w:rsidDel="00000000" w:rsidR="00000000" w:rsidRPr="00000000">
              <w:rPr>
                <w:color w:val="444746"/>
                <w:sz w:val="40"/>
                <w:szCs w:val="40"/>
                <w:highlight w:val="white"/>
                <w:vertAlign w:val="superscript"/>
                <w:rtl w:val="0"/>
              </w:rPr>
              <w:t xml:space="preserve">8</w:t>
            </w:r>
          </w:p>
        </w:tc>
      </w:tr>
      <w:tr>
        <w:trPr>
          <w:cantSplit w:val="0"/>
          <w:trHeight w:val="118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b1c1d"/>
              </w:rPr>
            </w:pPr>
            <w:r w:rsidDel="00000000" w:rsidR="00000000" w:rsidRPr="00000000">
              <w:rPr>
                <w:color w:val="1b1c1d"/>
                <w:rtl w:val="0"/>
              </w:rPr>
              <w:t xml:space="preserve">Localization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b1c1d"/>
              </w:rPr>
            </w:pPr>
            <w:r w:rsidDel="00000000" w:rsidR="00000000" w:rsidRPr="00000000">
              <w:rPr>
                <w:color w:val="1b1c1d"/>
                <w:rtl w:val="0"/>
              </w:rPr>
              <w:t xml:space="preserve">Cytoplasmic face of ER/Golgi</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b1c1d"/>
              </w:rPr>
            </w:pPr>
            <w:r w:rsidDel="00000000" w:rsidR="00000000" w:rsidRPr="00000000">
              <w:rPr>
                <w:color w:val="1b1c1d"/>
                <w:rtl w:val="0"/>
              </w:rPr>
              <w:t xml:space="preserve">Lysosome/Plasma Membrane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Manages distinct GlcCer pools </w:t>
            </w:r>
            <w:r w:rsidDel="00000000" w:rsidR="00000000" w:rsidRPr="00000000">
              <w:rPr>
                <w:color w:val="444746"/>
                <w:sz w:val="40"/>
                <w:szCs w:val="40"/>
                <w:highlight w:val="white"/>
                <w:vertAlign w:val="superscript"/>
                <w:rtl w:val="0"/>
              </w:rPr>
              <w:t xml:space="preserve">4</w:t>
            </w:r>
          </w:p>
        </w:tc>
      </w:tr>
      <w:tr>
        <w:trPr>
          <w:cantSplit w:val="0"/>
          <w:trHeight w:val="145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b1c1d"/>
              </w:rPr>
            </w:pPr>
            <w:r w:rsidDel="00000000" w:rsidR="00000000" w:rsidRPr="00000000">
              <w:rPr>
                <w:color w:val="1b1c1d"/>
                <w:rtl w:val="0"/>
              </w:rPr>
              <w:t xml:space="preserve">Catalytic Mechanism</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b1c1d"/>
              </w:rPr>
            </w:pPr>
            <w:r w:rsidDel="00000000" w:rsidR="00000000" w:rsidRPr="00000000">
              <w:rPr>
                <w:color w:val="1b1c1d"/>
                <w:rtl w:val="0"/>
              </w:rPr>
              <w:t xml:space="preserve">Perpendicular Protonation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b1c1d"/>
              </w:rPr>
            </w:pPr>
            <w:r w:rsidDel="00000000" w:rsidR="00000000" w:rsidRPr="00000000">
              <w:rPr>
                <w:color w:val="1b1c1d"/>
                <w:rtl w:val="0"/>
              </w:rPr>
              <w:t xml:space="preserve">Lateral Protonation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Enables highly selective therapeutic targeting </w:t>
            </w:r>
            <w:r w:rsidDel="00000000" w:rsidR="00000000" w:rsidRPr="00000000">
              <w:rPr>
                <w:color w:val="444746"/>
                <w:sz w:val="40"/>
                <w:szCs w:val="40"/>
                <w:highlight w:val="white"/>
                <w:vertAlign w:val="superscript"/>
                <w:rtl w:val="0"/>
              </w:rPr>
              <w:t xml:space="preserve">13</w:t>
            </w:r>
          </w:p>
        </w:tc>
      </w:tr>
    </w:tbl>
    <w:p w:rsidR="00000000" w:rsidDel="00000000" w:rsidP="00000000" w:rsidRDefault="00000000" w:rsidRPr="00000000" w14:paraId="0000003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4yk45ex50eyx" w:id="8"/>
      <w:bookmarkEnd w:id="8"/>
      <w:r w:rsidDel="00000000" w:rsidR="00000000" w:rsidRPr="00000000">
        <w:rPr>
          <w:b w:val="1"/>
          <w:color w:val="1b1c1d"/>
          <w:sz w:val="34"/>
          <w:szCs w:val="34"/>
          <w:rtl w:val="0"/>
        </w:rPr>
        <w:t xml:space="preserve">3. GBA2 as a Regulator of Sterol Metabolism: Detailed Steroid/Sterol Interactions</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characterization of GBA2 as a steroid-binding protein is largely driven by its robust and specific interaction with cholesterol and cholesterol derivatives, notably bile acids. GBA2 is not a classical receptor for steroid hormones but rather an enzyme that chemically modifies sterol backbones.</w:t>
      </w:r>
    </w:p>
    <w:p w:rsidR="00000000" w:rsidDel="00000000" w:rsidP="00000000" w:rsidRDefault="00000000" w:rsidRPr="00000000" w14:paraId="0000004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fgnb0g61k4dz" w:id="9"/>
      <w:bookmarkEnd w:id="9"/>
      <w:r w:rsidDel="00000000" w:rsidR="00000000" w:rsidRPr="00000000">
        <w:rPr>
          <w:b w:val="1"/>
          <w:color w:val="1b1c1d"/>
          <w:sz w:val="26"/>
          <w:szCs w:val="26"/>
          <w:rtl w:val="0"/>
        </w:rPr>
        <w:t xml:space="preserve">3.1 The Transglucosylation Axis: Cholesterol as the Key Acceptor Molecule</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GBA2 is deeply involved in cholesterol metabolism through its unique transglucosylation activity. This reaction involves the transfer of the glucose moiety from the primary substrate, GlcCer, directly to cholesterol, resulting in the synthesis of Glucosyl-$\beta$-D-Cholesterol (GlcChol).</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The primary purpose of this transfer is to modify cholesterol's water solubility and biological properties by increasing its polarity.</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This enzymatic process is demonstrably reversible, meaning GBA2 can also hydrolyze GlcChol and, under specific </w:t>
      </w:r>
      <w:r w:rsidDel="00000000" w:rsidR="00000000" w:rsidRPr="00000000">
        <w:rPr>
          <w:i w:val="1"/>
          <w:color w:val="1b1c1d"/>
          <w:rtl w:val="0"/>
        </w:rPr>
        <w:t xml:space="preserve">in vitro</w:t>
      </w:r>
      <w:r w:rsidDel="00000000" w:rsidR="00000000" w:rsidRPr="00000000">
        <w:rPr>
          <w:color w:val="1b1c1d"/>
          <w:rtl w:val="0"/>
        </w:rPr>
        <w:t xml:space="preserve"> conditions, may catalyze the reverse reaction, transferring glucose from GlcChol back to ceramide.</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The overall balance between GlcCer hydrolysis (yielding free glucose and ceramide) and GlcChol synthesis is highly sensitive to the local concentration of the lipid substrates and acceptors.</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High local cholesterol concentrations, particularly within the ER/microsomal environment, shift the equilibrium towards GlcChol formation.</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physiological significance of GlcChol formation is evidenced by its natural occurrence in mammalian cells and tissues.</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Pathologically, GlcChol accumulation is dramatically elevated (up to 25-fold) in diseases characterized by severe cholesterol accumulation, such as Niemann-Pick type C (NPC) disease.</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This confirms that GlcChol synthesis is a critical GBA2-mediated pathway for mitigating the burden of excess free sterol, converting it into a potentially less cytotoxic or more manageable glucosylated form for cellular trafficking or storage.</w:t>
      </w:r>
    </w:p>
    <w:p w:rsidR="00000000" w:rsidDel="00000000" w:rsidP="00000000" w:rsidRDefault="00000000" w:rsidRPr="00000000" w14:paraId="0000004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ybimj5jwkkpk" w:id="10"/>
      <w:bookmarkEnd w:id="10"/>
      <w:r w:rsidDel="00000000" w:rsidR="00000000" w:rsidRPr="00000000">
        <w:rPr>
          <w:b w:val="1"/>
          <w:color w:val="1b1c1d"/>
          <w:sz w:val="26"/>
          <w:szCs w:val="26"/>
          <w:rtl w:val="0"/>
        </w:rPr>
        <w:t xml:space="preserve">3.2 Regulation of Membrane Cholesterol Homeostasis and Microdomain Lipid Raft Integrity</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GBA2 is a vital component in the regulation of membrane cholesterol homeostasis, actively participating in maintaining the structural integrity of microdomain lipid rafts (MLR).</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The enzyme influences membrane properties—including adhesion, signaling, and cytoskeletal dynamics—by dynamically modulating the balance of its substrates and products: GlcCer, ceramide, and GlcChol.</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GlcCer is a critical precursor for higher-order glycosphingolipids, which are key structural components of MLRs.</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Disruptions in GBA2 function, resulting in GlcCer accumulation, lead to altered biophysical properties of the cellular membrane. In neuronal cells, this disturbance has severe consequences. Specifically, impaired GBA2 activity is linked to dramatically affected F-actin dynamics and reduced neurite outgrowth in cerebellar neurons.</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This provides a mechanistic explanation for the locomotor dysfunction seen in GBA2-related hereditary spastic paraplegia (HSP) and cerebellar ataxia (ARCA): the failure to correctly process non-lysosomal GlcCer structurally destabilizes the membrane rafts, impairing the dynamic remodeling necessary for axon and dendrite extension.</w:t>
      </w:r>
    </w:p>
    <w:p w:rsidR="00000000" w:rsidDel="00000000" w:rsidP="00000000" w:rsidRDefault="00000000" w:rsidRPr="00000000" w14:paraId="0000004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x95f3p5in4mp" w:id="11"/>
      <w:bookmarkEnd w:id="11"/>
      <w:r w:rsidDel="00000000" w:rsidR="00000000" w:rsidRPr="00000000">
        <w:rPr>
          <w:b w:val="1"/>
          <w:color w:val="1b1c1d"/>
          <w:sz w:val="26"/>
          <w:szCs w:val="26"/>
          <w:rtl w:val="0"/>
        </w:rPr>
        <w:t xml:space="preserve">3.3 Metabolism of Bile Acids: Sterol-Derivative Processing</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GBA2’s involvement with sterol derivatives extends to bile acids, further reinforcing its role in the processing of complex lipids. The enzyme is annotated as a bile acid $\beta$-glucosidase and possesses bile acid glucosyl transferase activity.</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GBA2 is capable of hydrolyzing bile acid 3-O-glucosides, as well as synthesizing bile acid-glucose conjugates.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activity is notably enriched in the microsomal fraction of the liver </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suggesting a localized function in detoxification or excretion. The capacity of GBA2 to glucosylate both neutral sterols (cholesterol) and amphipathic sterol derivatives (bile acids) points toward a generalized function in Phase II modification or detoxification of large, complex lipophilic metabolites using GlcCer as the glucose donor.</w:t>
      </w:r>
    </w:p>
    <w:p w:rsidR="00000000" w:rsidDel="00000000" w:rsidP="00000000" w:rsidRDefault="00000000" w:rsidRPr="00000000" w14:paraId="000000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8x4qsqo8ywf9" w:id="12"/>
      <w:bookmarkEnd w:id="12"/>
      <w:r w:rsidDel="00000000" w:rsidR="00000000" w:rsidRPr="00000000">
        <w:rPr>
          <w:b w:val="1"/>
          <w:color w:val="1b1c1d"/>
          <w:sz w:val="26"/>
          <w:szCs w:val="26"/>
          <w:rtl w:val="0"/>
        </w:rPr>
        <w:t xml:space="preserve">3.4 Classical Steroid Hormones: Refined Definition</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initial classification of GBA2 within a cluster of "steroid-binding proteins" is derived from its established catalytic affinity for the sterol backbone of cholesterol and bile acids. However, the available data does not support a role for GBA2 as a classical receptor or a primary metabolic regulator for free classical steroid hormones such as estrogen, testosterone, or cortisol.</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The molecular mechanisms of GBA2 require the presence of a glucose moiety (for hydrolysis) or the sterol itself to serve as an acceptor for glucosyl transfer. Therefore, GBA2 is more accurately defined as a </w:t>
      </w:r>
      <w:r w:rsidDel="00000000" w:rsidR="00000000" w:rsidRPr="00000000">
        <w:rPr>
          <w:b w:val="1"/>
          <w:color w:val="1b1c1d"/>
          <w:rtl w:val="0"/>
        </w:rPr>
        <w:t xml:space="preserve">Sterol-Glycolipid Processing Enzyme</w:t>
      </w:r>
      <w:r w:rsidDel="00000000" w:rsidR="00000000" w:rsidRPr="00000000">
        <w:rPr>
          <w:color w:val="1b1c1d"/>
          <w:rtl w:val="0"/>
        </w:rPr>
        <w:t xml:space="preserve"> that leverages the structural similarities of various sterol molecules to modulate lipid homeostasis through glycosylation.</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3 provides a comprehensive summary of GBA2’s critical lipid and sterol interactions, detailing their mechanistic roles and relevance to human pathology.</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3: Sterol and Lipid Interactions, Mechanisms, and Pathological Relevance</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9158260169556"/>
        <w:gridCol w:w="2335.675580488541"/>
        <w:gridCol w:w="2724.954843903298"/>
        <w:gridCol w:w="1758.9655606148276"/>
        <w:tblGridChange w:id="0">
          <w:tblGrid>
            <w:gridCol w:w="2205.9158260169556"/>
            <w:gridCol w:w="2335.675580488541"/>
            <w:gridCol w:w="2724.954843903298"/>
            <w:gridCol w:w="1758.9655606148276"/>
          </w:tblGrid>
        </w:tblGridChange>
      </w:tblGrid>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spacing w:after="480" w:lineRule="auto"/>
              <w:rPr>
                <w:color w:val="1b1c1d"/>
              </w:rPr>
            </w:pPr>
            <w:r w:rsidDel="00000000" w:rsidR="00000000" w:rsidRPr="00000000">
              <w:rPr>
                <w:b w:val="1"/>
                <w:color w:val="1b1c1d"/>
                <w:rtl w:val="0"/>
              </w:rPr>
              <w:t xml:space="preserve">Interacting Sterol/Lipid</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b1c1d"/>
              </w:rPr>
            </w:pPr>
            <w:r w:rsidDel="00000000" w:rsidR="00000000" w:rsidRPr="00000000">
              <w:rPr>
                <w:b w:val="1"/>
                <w:color w:val="1b1c1d"/>
                <w:rtl w:val="0"/>
              </w:rPr>
              <w:t xml:space="preserve">Interaction Type/Mechanism</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b1c1d"/>
              </w:rPr>
            </w:pPr>
            <w:r w:rsidDel="00000000" w:rsidR="00000000" w:rsidRPr="00000000">
              <w:rPr>
                <w:b w:val="1"/>
                <w:color w:val="1b1c1d"/>
                <w:rtl w:val="0"/>
              </w:rPr>
              <w:t xml:space="preserve">GBA2 Role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b1c1d"/>
              </w:rPr>
            </w:pPr>
            <w:r w:rsidDel="00000000" w:rsidR="00000000" w:rsidRPr="00000000">
              <w:rPr>
                <w:b w:val="1"/>
                <w:color w:val="1b1c1d"/>
                <w:rtl w:val="0"/>
              </w:rPr>
              <w:t xml:space="preserve">Pathological Relevance</w:t>
            </w:r>
            <w:r w:rsidDel="00000000" w:rsidR="00000000" w:rsidRPr="00000000">
              <w:rPr>
                <w:rtl w:val="0"/>
              </w:rPr>
            </w:r>
          </w:p>
        </w:tc>
      </w:tr>
      <w:tr>
        <w:trPr>
          <w:cantSplit w:val="0"/>
          <w:trHeight w:val="145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b1c1d"/>
              </w:rPr>
            </w:pPr>
            <w:r w:rsidDel="00000000" w:rsidR="00000000" w:rsidRPr="00000000">
              <w:rPr>
                <w:color w:val="1b1c1d"/>
                <w:rtl w:val="0"/>
              </w:rPr>
              <w:t xml:space="preserve">Cholesterol</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b1c1d"/>
              </w:rPr>
            </w:pPr>
            <w:r w:rsidDel="00000000" w:rsidR="00000000" w:rsidRPr="00000000">
              <w:rPr>
                <w:color w:val="1b1c1d"/>
                <w:rtl w:val="0"/>
              </w:rPr>
              <w:t xml:space="preserve">Acceptor for Transglucosylation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b1c1d"/>
              </w:rPr>
            </w:pPr>
            <w:r w:rsidDel="00000000" w:rsidR="00000000" w:rsidRPr="00000000">
              <w:rPr>
                <w:color w:val="1b1c1d"/>
                <w:rtl w:val="0"/>
              </w:rPr>
              <w:t xml:space="preserve">Synthesis of Glucosyl-Cholesterol (GlcChol)</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GlcChol accumulation in NPC and GD </w:t>
            </w:r>
            <w:r w:rsidDel="00000000" w:rsidR="00000000" w:rsidRPr="00000000">
              <w:rPr>
                <w:color w:val="444746"/>
                <w:sz w:val="40"/>
                <w:szCs w:val="40"/>
                <w:highlight w:val="white"/>
                <w:vertAlign w:val="superscript"/>
                <w:rtl w:val="0"/>
              </w:rPr>
              <w:t xml:space="preserve">14</w:t>
            </w:r>
          </w:p>
        </w:tc>
      </w:tr>
      <w:tr>
        <w:trPr>
          <w:cantSplit w:val="0"/>
          <w:trHeight w:val="174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spacing w:after="480" w:lineRule="auto"/>
              <w:rPr>
                <w:color w:val="1b1c1d"/>
              </w:rPr>
            </w:pPr>
            <w:r w:rsidDel="00000000" w:rsidR="00000000" w:rsidRPr="00000000">
              <w:rPr>
                <w:color w:val="1b1c1d"/>
                <w:rtl w:val="0"/>
              </w:rPr>
              <w:t xml:space="preserve">Glucosylceramide (GlcCer)</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spacing w:after="480" w:lineRule="auto"/>
              <w:rPr>
                <w:color w:val="1b1c1d"/>
              </w:rPr>
            </w:pPr>
            <w:r w:rsidDel="00000000" w:rsidR="00000000" w:rsidRPr="00000000">
              <w:rPr>
                <w:color w:val="1b1c1d"/>
                <w:rtl w:val="0"/>
              </w:rPr>
              <w:t xml:space="preserve">Donor/Primary Substrate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spacing w:after="480" w:lineRule="auto"/>
              <w:rPr>
                <w:color w:val="1b1c1d"/>
              </w:rPr>
            </w:pPr>
            <w:r w:rsidDel="00000000" w:rsidR="00000000" w:rsidRPr="00000000">
              <w:rPr>
                <w:color w:val="1b1c1d"/>
                <w:rtl w:val="0"/>
              </w:rPr>
              <w:t xml:space="preserve">Clearance of non-lysosomal GlcCer; source of glucose for GlcChol</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Accumulation linked to HSP/ARCA and male infertility </w:t>
            </w:r>
            <w:r w:rsidDel="00000000" w:rsidR="00000000" w:rsidRPr="00000000">
              <w:rPr>
                <w:color w:val="444746"/>
                <w:sz w:val="40"/>
                <w:szCs w:val="40"/>
                <w:highlight w:val="white"/>
                <w:vertAlign w:val="superscript"/>
                <w:rtl w:val="0"/>
              </w:rPr>
              <w:t xml:space="preserve">12</w:t>
            </w:r>
          </w:p>
        </w:tc>
      </w:tr>
      <w:tr>
        <w:trPr>
          <w:cantSplit w:val="0"/>
          <w:trHeight w:val="20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spacing w:after="480" w:lineRule="auto"/>
              <w:rPr>
                <w:color w:val="1b1c1d"/>
              </w:rPr>
            </w:pPr>
            <w:r w:rsidDel="00000000" w:rsidR="00000000" w:rsidRPr="00000000">
              <w:rPr>
                <w:color w:val="1b1c1d"/>
                <w:rtl w:val="0"/>
              </w:rPr>
              <w:t xml:space="preserve">Sphingosine (GlcCer product)</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spacing w:after="480" w:lineRule="auto"/>
              <w:rPr>
                <w:color w:val="1b1c1d"/>
              </w:rPr>
            </w:pPr>
            <w:r w:rsidDel="00000000" w:rsidR="00000000" w:rsidRPr="00000000">
              <w:rPr>
                <w:color w:val="1b1c1d"/>
                <w:rtl w:val="0"/>
              </w:rPr>
              <w:t xml:space="preserve">Direct/Allosteric Binder</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spacing w:after="480" w:lineRule="auto"/>
              <w:rPr>
                <w:color w:val="1b1c1d"/>
              </w:rPr>
            </w:pPr>
            <w:r w:rsidDel="00000000" w:rsidR="00000000" w:rsidRPr="00000000">
              <w:rPr>
                <w:color w:val="1b1c1d"/>
                <w:rtl w:val="0"/>
              </w:rPr>
              <w:t xml:space="preserve">Negative feedback inhibition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Contributes to toxic feedback loop in Gaucher Disease </w:t>
            </w:r>
            <w:r w:rsidDel="00000000" w:rsidR="00000000" w:rsidRPr="00000000">
              <w:rPr>
                <w:color w:val="444746"/>
                <w:sz w:val="40"/>
                <w:szCs w:val="40"/>
                <w:highlight w:val="white"/>
                <w:vertAlign w:val="superscript"/>
                <w:rtl w:val="0"/>
              </w:rPr>
              <w:t xml:space="preserve">9</w:t>
            </w:r>
          </w:p>
        </w:tc>
      </w:tr>
      <w:tr>
        <w:trPr>
          <w:cantSplit w:val="0"/>
          <w:trHeight w:val="145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spacing w:after="480" w:lineRule="auto"/>
              <w:rPr>
                <w:color w:val="1b1c1d"/>
              </w:rPr>
            </w:pPr>
            <w:r w:rsidDel="00000000" w:rsidR="00000000" w:rsidRPr="00000000">
              <w:rPr>
                <w:color w:val="1b1c1d"/>
                <w:rtl w:val="0"/>
              </w:rPr>
              <w:t xml:space="preserve">Bile Acid Glucosides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spacing w:after="480" w:lineRule="auto"/>
              <w:rPr>
                <w:color w:val="1b1c1d"/>
              </w:rPr>
            </w:pPr>
            <w:r w:rsidDel="00000000" w:rsidR="00000000" w:rsidRPr="00000000">
              <w:rPr>
                <w:color w:val="1b1c1d"/>
                <w:rtl w:val="0"/>
              </w:rPr>
              <w:t xml:space="preserve">Substrate/Acceptor</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spacing w:after="480" w:lineRule="auto"/>
              <w:rPr>
                <w:color w:val="1b1c1d"/>
              </w:rPr>
            </w:pPr>
            <w:r w:rsidDel="00000000" w:rsidR="00000000" w:rsidRPr="00000000">
              <w:rPr>
                <w:color w:val="1b1c1d"/>
                <w:rtl w:val="0"/>
              </w:rPr>
              <w:t xml:space="preserve">Hydrolysis/Conjugation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Detoxification pathway in liver microsomes </w:t>
            </w:r>
            <w:r w:rsidDel="00000000" w:rsidR="00000000" w:rsidRPr="00000000">
              <w:rPr>
                <w:color w:val="444746"/>
                <w:sz w:val="40"/>
                <w:szCs w:val="40"/>
                <w:highlight w:val="white"/>
                <w:vertAlign w:val="superscript"/>
                <w:rtl w:val="0"/>
              </w:rPr>
              <w:t xml:space="preserve">1</w:t>
            </w:r>
          </w:p>
        </w:tc>
      </w:tr>
    </w:tbl>
    <w:p w:rsidR="00000000" w:rsidDel="00000000" w:rsidP="00000000" w:rsidRDefault="00000000" w:rsidRPr="00000000" w14:paraId="0000006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qgr4vms4q3fs" w:id="13"/>
      <w:bookmarkEnd w:id="13"/>
      <w:r w:rsidDel="00000000" w:rsidR="00000000" w:rsidRPr="00000000">
        <w:rPr>
          <w:b w:val="1"/>
          <w:color w:val="1b1c1d"/>
          <w:sz w:val="34"/>
          <w:szCs w:val="34"/>
          <w:rtl w:val="0"/>
        </w:rPr>
        <w:t xml:space="preserve">4. Pathophysiological Implications of Sterol-Lipid Cross-Talk</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GBA2 is implicated in a spectrum of diseases, demonstrating that dysfunction in the non-lysosomal processing of GlcCer and sterols has profound systemic consequences, particularly in the nervous system.</w:t>
      </w:r>
    </w:p>
    <w:p w:rsidR="00000000" w:rsidDel="00000000" w:rsidP="00000000" w:rsidRDefault="00000000" w:rsidRPr="00000000" w14:paraId="0000006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ea5o34stwi1o" w:id="14"/>
      <w:bookmarkEnd w:id="14"/>
      <w:r w:rsidDel="00000000" w:rsidR="00000000" w:rsidRPr="00000000">
        <w:rPr>
          <w:b w:val="1"/>
          <w:color w:val="1b1c1d"/>
          <w:sz w:val="26"/>
          <w:szCs w:val="26"/>
          <w:rtl w:val="0"/>
        </w:rPr>
        <w:t xml:space="preserve">4.1 GBA2 Dysfunction in Neurodegenerative Lipidopathies</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Mutations in the </w:t>
      </w:r>
      <w:r w:rsidDel="00000000" w:rsidR="00000000" w:rsidRPr="00000000">
        <w:rPr>
          <w:i w:val="1"/>
          <w:color w:val="1b1c1d"/>
          <w:rtl w:val="0"/>
        </w:rPr>
        <w:t xml:space="preserve">GBA2</w:t>
      </w:r>
      <w:r w:rsidDel="00000000" w:rsidR="00000000" w:rsidRPr="00000000">
        <w:rPr>
          <w:color w:val="1b1c1d"/>
          <w:rtl w:val="0"/>
        </w:rPr>
        <w:t xml:space="preserve"> gene are directly linked to several severe, autosomal-recessive neurodegenerative disorders, including Hereditary Spastic Paraplegia (HSP), specifically SPG46, and Autosomal-Recessive Cerebellar Ataxia (ARCA).</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These conditions manifest primarily as locomotor dysfunction.</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underlying molecular pathogenesis of these disorders typically involves a loss of GBA2 catalytic activity caused by pathogenic mutations.</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This enzymatic failure results in the accumulation of non-lysosomal GlcCer, leading to the observed pathologies. Crucially, the defects in HSP and ARCA are not solely due to lipid storage but also involve functional failures in neuronal architecture. The resulting GlcCer imbalance disrupts F-actin dynamics and severely compromises neurite outgrowth in cerebellar neurons.</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This establishes that GBA2 is essential for providing the necessary ceramide or maintaining the optimal GlcCer/ceramide ratio required for dynamic membrane processes during neuronal development or maintenance. The fact that GBA2 expression increases during neuronal differentiation further supports its central role in developmental processes requiring high membrane plasticity.</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6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x01p46qj3xdj" w:id="15"/>
      <w:bookmarkEnd w:id="15"/>
      <w:r w:rsidDel="00000000" w:rsidR="00000000" w:rsidRPr="00000000">
        <w:rPr>
          <w:b w:val="1"/>
          <w:color w:val="1b1c1d"/>
          <w:sz w:val="26"/>
          <w:szCs w:val="26"/>
          <w:rtl w:val="0"/>
        </w:rPr>
        <w:t xml:space="preserve">4.2 Contribution to Gaucher Disease (GD) and Niemann-Pick Type C (NPC) Pathology</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While GBA2 deficiency causes HSP/ARCA, its activity can become pathological when lysosomal metabolism is already compromised, as seen in GBA1-related diseases.</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Gaucher Disease (GD), caused by mutations in GBA1, GBA2 contributes to a pathological feedback loop. The hydrolysis of GlcCer by GBA2 generates </w:t>
      </w:r>
      <w:r w:rsidDel="00000000" w:rsidR="00000000" w:rsidRPr="00000000">
        <w:rPr>
          <w:b w:val="1"/>
          <w:color w:val="1b1c1d"/>
          <w:rtl w:val="0"/>
        </w:rPr>
        <w:t xml:space="preserve">sphingosine</w:t>
      </w:r>
      <w:r w:rsidDel="00000000" w:rsidR="00000000" w:rsidRPr="00000000">
        <w:rPr>
          <w:color w:val="1b1c1d"/>
          <w:rtl w:val="0"/>
        </w:rPr>
        <w:t xml:space="preserve">, a cytotoxic metabolite. This sphingosine product, accumulating in Gaucher cells, directly binds to and inhibits GBA2 activity, compounding the overall GlcCer imbalance.</w:t>
      </w:r>
      <w:r w:rsidDel="00000000" w:rsidR="00000000" w:rsidRPr="00000000">
        <w:rPr>
          <w:color w:val="444746"/>
          <w:sz w:val="40"/>
          <w:szCs w:val="40"/>
          <w:highlight w:val="white"/>
          <w:vertAlign w:val="superscript"/>
          <w:rtl w:val="0"/>
        </w:rPr>
        <w:t xml:space="preserve">9</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Moreover, GBA2 is a major generator of the secondary toxic metabolite, Glucosyl-Cholesterol (GlcChol). GlcChol accumulates significantly in both GD (due to high GlcCer availability) and Niemann-Pick Type C (NPC) disease (due to severe lysosomal cholesterol accumulation).</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In NPC, the failure of cholesterol egress from lysosomes leads to dramatically high concentrations of cholesterol, which overwhelm GBA2 locally, driving the transglucosylation reaction forward and favoring massive GlcChol synthesis.</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This secondary pathology confirms that GBA2 is a critical metabolic modifier in lysosomal storage disorders.</w:t>
      </w:r>
    </w:p>
    <w:p w:rsidR="00000000" w:rsidDel="00000000" w:rsidP="00000000" w:rsidRDefault="00000000" w:rsidRPr="00000000" w14:paraId="0000006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n4d3o6irjuyt" w:id="16"/>
      <w:bookmarkEnd w:id="16"/>
      <w:r w:rsidDel="00000000" w:rsidR="00000000" w:rsidRPr="00000000">
        <w:rPr>
          <w:b w:val="1"/>
          <w:color w:val="1b1c1d"/>
          <w:sz w:val="26"/>
          <w:szCs w:val="26"/>
          <w:rtl w:val="0"/>
        </w:rPr>
        <w:t xml:space="preserve">4.3 Functional Axis with GBA1 and Parkinson’s Disease</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GBA1 mutations are the most significant genetic risk factor for Parkinson’s Disease (PD), characterized by the aggregation of $\alpha$-synuclein.</w:t>
      </w:r>
      <w:r w:rsidDel="00000000" w:rsidR="00000000" w:rsidRPr="00000000">
        <w:rPr>
          <w:color w:val="444746"/>
          <w:sz w:val="40"/>
          <w:szCs w:val="40"/>
          <w:highlight w:val="white"/>
          <w:vertAlign w:val="superscript"/>
          <w:rtl w:val="0"/>
        </w:rPr>
        <w:t xml:space="preserve">21</w:t>
      </w:r>
      <w:r w:rsidDel="00000000" w:rsidR="00000000" w:rsidRPr="00000000">
        <w:rPr>
          <w:color w:val="1b1c1d"/>
          <w:rtl w:val="0"/>
        </w:rPr>
        <w:t xml:space="preserve"> Although GBA2 mutations have not been directly established as a primary cause of PD, the shared substrate, GlcCer, dictates a functional relationship between GBA1 and GBA2.</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GBA2 regulates the non-lysosomal GlcCer pool, which functionally intersects with the lysosomal GBA1 pathway. This implies that GBA2 may act as a crucial modifier of PD risk or severity by influencing global sphingolipid homeostasis. The inter-compartmental stress caused by non-lysosomal GlcCer accumulation (resulting from loss of GBA2) could potentially modulate the toxic feedback loops or membrane microenvironments that regulate $\alpha$-synuclein aggregation or clearance.</w:t>
      </w:r>
      <w:r w:rsidDel="00000000" w:rsidR="00000000" w:rsidRPr="00000000">
        <w:rPr>
          <w:color w:val="444746"/>
          <w:sz w:val="40"/>
          <w:szCs w:val="40"/>
          <w:highlight w:val="white"/>
          <w:vertAlign w:val="superscript"/>
          <w:rtl w:val="0"/>
        </w:rPr>
        <w:t xml:space="preserve">22</w:t>
      </w:r>
      <w:r w:rsidDel="00000000" w:rsidR="00000000" w:rsidRPr="00000000">
        <w:rPr>
          <w:color w:val="1b1c1d"/>
          <w:rtl w:val="0"/>
        </w:rPr>
        <w:t xml:space="preserve"> Further investigation into this GBA1/GBA2 axis is warranted to determine if GBA2 activity modification could mitigate $\alpha$-synucleinopathy risk in PD patients carrying </w:t>
      </w:r>
      <w:r w:rsidDel="00000000" w:rsidR="00000000" w:rsidRPr="00000000">
        <w:rPr>
          <w:i w:val="1"/>
          <w:color w:val="1b1c1d"/>
          <w:rtl w:val="0"/>
        </w:rPr>
        <w:t xml:space="preserve">GBA1</w:t>
      </w:r>
      <w:r w:rsidDel="00000000" w:rsidR="00000000" w:rsidRPr="00000000">
        <w:rPr>
          <w:color w:val="1b1c1d"/>
          <w:rtl w:val="0"/>
        </w:rPr>
        <w:t xml:space="preserve"> mutations.</w:t>
      </w:r>
    </w:p>
    <w:p w:rsidR="00000000" w:rsidDel="00000000" w:rsidP="00000000" w:rsidRDefault="00000000" w:rsidRPr="00000000" w14:paraId="0000006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k9y3yphvkgpo" w:id="17"/>
      <w:bookmarkEnd w:id="17"/>
      <w:r w:rsidDel="00000000" w:rsidR="00000000" w:rsidRPr="00000000">
        <w:rPr>
          <w:b w:val="1"/>
          <w:color w:val="1b1c1d"/>
          <w:sz w:val="34"/>
          <w:szCs w:val="34"/>
          <w:rtl w:val="0"/>
        </w:rPr>
        <w:t xml:space="preserve">5. Cross-Cutting Functional and Therapeutic Synthesis</w:t>
      </w:r>
    </w:p>
    <w:p w:rsidR="00000000" w:rsidDel="00000000" w:rsidP="00000000" w:rsidRDefault="00000000" w:rsidRPr="00000000" w14:paraId="0000007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agp5yzr7wikk" w:id="18"/>
      <w:bookmarkEnd w:id="18"/>
      <w:r w:rsidDel="00000000" w:rsidR="00000000" w:rsidRPr="00000000">
        <w:rPr>
          <w:b w:val="1"/>
          <w:color w:val="1b1c1d"/>
          <w:sz w:val="26"/>
          <w:szCs w:val="26"/>
          <w:rtl w:val="0"/>
        </w:rPr>
        <w:t xml:space="preserve">5.1 Common Pathways: The Non-Lysosomal GlcCer and Sterol Axis</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unified cluster of GBA2 annotations underscores its singular role as the gatekeeper of the non-lysosomal pathway for glycolipid catabolism and sterol modification. The enzyme’s ability to function as both a hydrolase and a transferase, processing glucosylceramide, cholesterol, and bile acids, confirms its position as a central component of cellular glucosyl economy.</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The shared hydrophobic recognition capability across these diverse, large lipid and sterol molecules demonstrates that the GH116 active site has evolved for broad-spectrum glycosyl processing centered on the core polycyclic sterol ring structure or the long-chain sphingolipid backbone. This versatility ensures the maximal metabolic utilization of glucosyl moieties, either releasing them as free glucose or using them to increase the polarity of lipophilic acceptors via transglucosylation, facilitating detoxification and transport.</w:t>
      </w:r>
    </w:p>
    <w:p w:rsidR="00000000" w:rsidDel="00000000" w:rsidP="00000000" w:rsidRDefault="00000000" w:rsidRPr="00000000" w14:paraId="0000007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rxls2suj1g48" w:id="19"/>
      <w:bookmarkEnd w:id="19"/>
      <w:r w:rsidDel="00000000" w:rsidR="00000000" w:rsidRPr="00000000">
        <w:rPr>
          <w:b w:val="1"/>
          <w:color w:val="1b1c1d"/>
          <w:sz w:val="26"/>
          <w:szCs w:val="26"/>
          <w:rtl w:val="0"/>
        </w:rPr>
        <w:t xml:space="preserve">5.2 Therapeutic Targeting Strategies</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structural and mechanistic clarity achieved for GBA2 offers distinct opportunities for rational drug development.</w:t>
      </w:r>
    </w:p>
    <w:p w:rsidR="00000000" w:rsidDel="00000000" w:rsidP="00000000" w:rsidRDefault="00000000" w:rsidRPr="00000000" w14:paraId="00000074">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Selective Inhibition:</w:t>
      </w:r>
      <w:r w:rsidDel="00000000" w:rsidR="00000000" w:rsidRPr="00000000">
        <w:rPr>
          <w:color w:val="1b1c1d"/>
          <w:rtl w:val="0"/>
        </w:rPr>
        <w:t xml:space="preserve"> Pharmacological modulation of GBA2 activity has already been demonstrated </w:t>
      </w:r>
      <w:r w:rsidDel="00000000" w:rsidR="00000000" w:rsidRPr="00000000">
        <w:rPr>
          <w:i w:val="1"/>
          <w:color w:val="1b1c1d"/>
          <w:rtl w:val="0"/>
        </w:rPr>
        <w:t xml:space="preserve">in vivo</w:t>
      </w:r>
      <w:r w:rsidDel="00000000" w:rsidR="00000000" w:rsidRPr="00000000">
        <w:rPr>
          <w:color w:val="1b1c1d"/>
          <w:rtl w:val="0"/>
        </w:rPr>
        <w:t xml:space="preserve"> using inhibitors such as NB-DNJ (Miglustat).</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However, the detailed structural analysis of the GH116 active site and its unique perpendicular protonation mechanism provides the necessary template for developing highly selective small molecules.</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Transition-state analogues can be designed to match the specific geometry of the GBA2 active site, allowing for potent inhibition of GBA2 while strictly preserving GBA1 activity. This selectivity is critical, as it allows for the inhibition of pathological GlcChol or sphingosine production (beneficial in GD/NPC) without inducing the severe systemic consequences of lysosomal GBA1 inhibition.</w:t>
      </w:r>
    </w:p>
    <w:p w:rsidR="00000000" w:rsidDel="00000000" w:rsidP="00000000" w:rsidRDefault="00000000" w:rsidRPr="00000000" w14:paraId="00000075">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Activation/Restoration:</w:t>
      </w:r>
      <w:r w:rsidDel="00000000" w:rsidR="00000000" w:rsidRPr="00000000">
        <w:rPr>
          <w:color w:val="1b1c1d"/>
          <w:rtl w:val="0"/>
        </w:rPr>
        <w:t xml:space="preserve"> Conversely, in patients suffering from GBA2 loss-of-function mutations (HSP/ARCA), the therapeutic goal must be the restoration of enzymatic activity or protein stability. This is currently challenged by the fact that certain mutations perturb protein-protein interactions necessary for function.</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76">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Diagnostic Tools:</w:t>
      </w:r>
      <w:r w:rsidDel="00000000" w:rsidR="00000000" w:rsidRPr="00000000">
        <w:rPr>
          <w:color w:val="1b1c1d"/>
          <w:rtl w:val="0"/>
        </w:rPr>
        <w:t xml:space="preserve"> The development and utilization of activity-based probes (ABPs) specifically targeting the GBA2 catalytic pocket greatly facilitate the diagnosis of GBA2 deficiency and accelerate high-throughput screening efforts for identifying novel enzyme modulators, whether activators or selective inhibitors.</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07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oainhpvrirwv" w:id="20"/>
      <w:bookmarkEnd w:id="20"/>
      <w:r w:rsidDel="00000000" w:rsidR="00000000" w:rsidRPr="00000000">
        <w:rPr>
          <w:b w:val="1"/>
          <w:color w:val="1b1c1d"/>
          <w:sz w:val="34"/>
          <w:szCs w:val="34"/>
          <w:rtl w:val="0"/>
        </w:rPr>
        <w:t xml:space="preserve">Conclusion</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Non-lysosomal glucosylceramidase (GBA2) is a multifunctional, non-integral membrane-associated enzyme that governs the homeostasis of the non-lysosomal GlcCer pool. Its dual capacity as a glucosylceramidase (EC 3.2.1.45) and a glucosyl transferase (EC 2.4.1.-) positions it as a critical regulator of sterol and glycolipid metabolism. Its interaction with sterols is characterized by the use of cholesterol and bile acids as acceptors for glucosyl transfer, resulting in the synthesis of Glucosyl-Cholesterol (GlcChol), a metabolite implicated in Niemann-Pick type C disease.</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Dysfunction in GBA2 leads directly to severe hereditary neurological disorders, including HSP and ARCA, fundamentally by disrupting membrane lipid rafts and impairing neurite outgrowth due to non-lysosomal GlcCer accumulation. Furthermore, GBA2 activity acts as a metabolic modifier in lysosomal storage disorders, driving the accumulation of toxic secondary metabolites like GlcChol and sphingosine. The profound structural difference between GBA2 (GH116, utilizing perpendicular protonation) and GBA1 (GH30, utilizing lateral protonation) provides an indispensable opportunity for rational drug design. Future therapeutic efforts must adopt precision medicine strategies, targeting GBA2 selectively either for inhibition (to reduce toxic sterol glucosylation in GD/NPC) or for activation/restoration (to treat primary loss-of-function in HSP/ARCA).</w:t>
      </w:r>
    </w:p>
    <w:p w:rsidR="00000000" w:rsidDel="00000000" w:rsidP="00000000" w:rsidRDefault="00000000" w:rsidRPr="00000000" w14:paraId="0000007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 w:type="table" w:styleId="Table3">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