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1g8yohpo1j5" w:id="0"/>
      <w:bookmarkEnd w:id="0"/>
      <w:r w:rsidDel="00000000" w:rsidR="00000000" w:rsidRPr="00000000">
        <w:rPr>
          <w:b w:val="1"/>
          <w:color w:val="1b1c1d"/>
          <w:sz w:val="46"/>
          <w:szCs w:val="46"/>
          <w:rtl w:val="0"/>
        </w:rPr>
        <w:t xml:space="preserve">Reference Report: Molecular and Mechanistic Dissection of Steroid-Binding Proteins—A Study in Structural Orthogonality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vdmm1cvwzmb" w:id="1"/>
      <w:bookmarkEnd w:id="1"/>
      <w:r w:rsidDel="00000000" w:rsidR="00000000" w:rsidRPr="00000000">
        <w:rPr>
          <w:b w:val="1"/>
          <w:color w:val="1b1c1d"/>
          <w:sz w:val="34"/>
          <w:szCs w:val="34"/>
          <w:rtl w:val="0"/>
        </w:rPr>
        <w:t xml:space="preserve">I. Introduction: The Poly-Specificity of Steroid-Binding Proteomes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and lipid molecules—including cholesterol, bile acids, and hormone precursors—are central to biological systems, acting as structural components, energy stores, and potent signaling ligands. Consequently, the cellular machinery evolved to interact with these compounds is vast and heterogeneous, extending far beyond the traditional superfamily of nuclear receptors. This report details a collection of seven diverse proteins, all functionally annotated as steroid-binding, yet belonging to orthogonal structural and mechanistic classes: enzymatic modifiers, dynamic membrane sensors, endoplasmic reticulum (ER) regulators, and non-genomic signaling mediators.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analyzed—Cytochrome P450 4A21 (CYP4A21), Thalianol synthase 1 (AtTHAS1), Transient receptor potential cation channel M member-like 2 (nvTRPM2), Transmembrane channel-like proteins (TMCs), Transmembrane protein 41B (TMEM41B), Triacylglycerol lipase 4 (TAGL4), and Tyrosine-protein kinase (PTK)—do not cluster together in protein language model (PLM) embeddings. This bioinformatic observation is foundational to understanding their function. PLM embeddings group proteins based on sequence and predicted structural similarity. The radical structural divergence required to execute their distinct core functions (e.g., catalysis vs. ion transport vs. kinase activity) dictates that, despite sharing a common lipid/steroid ligand, the binding sites are geometrically and sequentially unique. The subsequent sections explore these mechanisms, demonstrating five definitive, non-homologous modes by which proteins interact with steroid and lipid moieties.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qc2cq6ajdv3" w:id="2"/>
      <w:bookmarkEnd w:id="2"/>
      <w:r w:rsidDel="00000000" w:rsidR="00000000" w:rsidRPr="00000000">
        <w:rPr>
          <w:b w:val="1"/>
          <w:color w:val="1b1c1d"/>
          <w:sz w:val="34"/>
          <w:szCs w:val="34"/>
          <w:rtl w:val="0"/>
        </w:rPr>
        <w:t xml:space="preserve">II. Enzymatic Processing of Steroids and Triterpenoids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enesfkspeh5" w:id="3"/>
      <w:bookmarkEnd w:id="3"/>
      <w:r w:rsidDel="00000000" w:rsidR="00000000" w:rsidRPr="00000000">
        <w:rPr>
          <w:b w:val="1"/>
          <w:color w:val="1b1c1d"/>
          <w:sz w:val="26"/>
          <w:szCs w:val="26"/>
          <w:rtl w:val="0"/>
        </w:rPr>
        <w:t xml:space="preserve">A. CYP4A21 (Taurochenodeoxycholic 6 $\alpha$-Hydroxylase): P450 Chemistry and Bile Acid Diversification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Taurochenodeoxycholic 6 $\alpha$-hydroxylase (CYP4A21, EC 1.14.14.57) is classified as a Cytochrome P450 monooxygenase. P450 enzymes are typically embedded in the ER membrane and utilize molecular oxygen, inserting one atom into a substrate while reducing the second to water, with two electrons provided by NADPH via Cytochrome P450 Reductase (CPR).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are vital for metabolizing lipids, xenobiotics, and steroids.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enzymatic function ascribed to CYP4A21 is the 6-$\alpha$-hydroxylation of chenodeoxycholic acid, leading to the formation of hyocholic acid.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Hyocholic acid differs from standard human primary bile acids (like cholic acid and chenodeoxycholic acid) by possessing a hydroxyl group in the $\alpha$-conformation at the C6 position. This reaction is significant in species like the pig, where CYP4A21 is responsible for this process, generating hyocholic acid as a major metabolite.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assignment of this specific 6-$\alpha$-hydroxylation function is highly contextual and species-dependent. Studies analyzing the activity of recombinant human CYPs on taurochenodeoxycholic acid and lithocholic acid indicated that only CYP3A4, not CYP4A21, was able to catalyze this 6-$\alpha$-hydroxylation reaction.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discrepancy underscores that relying solely on nomenclature (EC designation) can overlook functional redundancy or strict species/tissue specialization. For precision pharmacology, it is imperative to identify the specific P450 isoenzyme responsible in the target organism and tissue, as reliance on a canonical (often non-human) designation can lead to inaccurate predictions of metabolic pathways.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substrate modification, the enzymatic activity of CYP450s is highly sensitive to the surrounding lipid environment. Cytochrome P450s localize heterogeneously within the cellular membranes of the ER. Membrane microdomains are regions with distinct characteristics—ordered domains are rich in cholesterol and sphingomyelin, while disordered domains contain unsaturated fatty acids.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localization of P450 enzymes (governed by the early N-terminal region and internal sequences) into these ordered or disordered domains is proposed as a key mechanism for modulating P450 function and interaction with its redox partner, CPR.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CYP4A21, this means that the steroid is a chemical substrate, but the cholesterol/lipid composition of the surrounding ER membrane is a structural regulator that tunes the enzyme’s efficiency.</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4g7107eu45m" w:id="4"/>
      <w:bookmarkEnd w:id="4"/>
      <w:r w:rsidDel="00000000" w:rsidR="00000000" w:rsidRPr="00000000">
        <w:rPr>
          <w:b w:val="1"/>
          <w:color w:val="1b1c1d"/>
          <w:sz w:val="26"/>
          <w:szCs w:val="26"/>
          <w:rtl w:val="0"/>
        </w:rPr>
        <w:t xml:space="preserve">B. AtTHAS1 (Thalianol Synthase 1): Oxidosqualene Cyclization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Thalianol synthase 1 (AtTHAS1, EC 5.4.99.31) is an Oxidosqualene Cyclase (OSC) or pentacyclic triterpene synthase, commonly referred to as AtPEN4.</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enzymes are critical in plant secondary metabolism, catalyzing the cyclization of 2,3-oxidosqualene to produce specific cyclic triterpene products, such as thalianol.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Triterpenes form the structural backbone of phytosterols, natural compounds found in plants that are structurally analogous to animal cholesterol. Phytosterols have garnered considerable attention in human health for their observed physiological effects, including cholesterol-lowering, anticancer, and anti-inflammatory properties.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steroid-binding mechanism of AtTHAS1 is distinct from that of CYP4A21. OSCs execute one of the most complex, single-enzyme reactions in biology, involving a massive cascade of carbocation rearrangements.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demand for absolute stereochemical control necessitates a highly specialized, enclosed internal binding cavity within the enzyme structure. The substrate, 2,3-oxidosqualene, is precisely bound and sequestered to guide the intricate cyclization process, resulting in the desired cyclic product. This mechanism is one of stoichiometric and structural molding, contrasting with the oxidative hydroxylation of P450s.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ht6pou5bf5" w:id="5"/>
      <w:bookmarkEnd w:id="5"/>
      <w:r w:rsidDel="00000000" w:rsidR="00000000" w:rsidRPr="00000000">
        <w:rPr>
          <w:b w:val="1"/>
          <w:color w:val="1b1c1d"/>
          <w:sz w:val="34"/>
          <w:szCs w:val="34"/>
          <w:rtl w:val="0"/>
        </w:rPr>
        <w:t xml:space="preserve">III. Membrane Transport and Direct Lipid Sensing</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u1403oqsvtc" w:id="6"/>
      <w:bookmarkEnd w:id="6"/>
      <w:r w:rsidDel="00000000" w:rsidR="00000000" w:rsidRPr="00000000">
        <w:rPr>
          <w:b w:val="1"/>
          <w:color w:val="1b1c1d"/>
          <w:sz w:val="26"/>
          <w:szCs w:val="26"/>
          <w:rtl w:val="0"/>
        </w:rPr>
        <w:t xml:space="preserve">A. nvTRPM2 (Transient Receptor Potential Cation Channel): Calcium, ADPR, and Cholesterol Gating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Transient Receptor Potential (TRP) channels are a large family of non-selective cation channels that act as critical environmental sensors. The TRPM subfamily member-like 2 (nvTRPM2, referring to a non-vertebrate variant in the provided list) functions similarly to its mammalian orthologs, known to be gated by intracellular ADP-ribose (ADPR) and $\text{Ca}^{2+}$.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TRPM2 is linked to critical pathophysiological roles, including endothelial injury, immune cell activation, and neuronal death.</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Many TRP channel functions, including those of TRPM3, TRPM7, TRPM8, and members of the TRPV family, are exceptionally sensitive to the membrane’s cholesterol content.</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cholesterol sensitivity can arise either from changes in the membrane's bulk mechanical properties or from the direct binding of cholesterol to the channel protein.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several TRPM subfamilies, structural studies demonstrate direct binding: cholesterol (CHS) molecules are resolved within narrow hollows between protein ridges located in the deep clefts separating the Voltage-Sensor-Like Domains (VSLDs) and the pore domains.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indicates that cholesterol acts as a direct, allosteric regulator (gating mechanism) rather than a substrate. Furthermore, TRPM2 activation requires PI(4,5)P$_2$ binding, which occurs at a conserved membrane interfacial cavity, facilitating channel opening in the presence of $\text{ADPR}$ and $\text{Ca}^{2+}$.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large pore size and negative charge of TRPM2 explain its high $\text{Ca}^{2+}$ selectivity and large conductance.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profound biological consequence of this lipid sensing is demonstrated by the correlation between TRPM2 expression levels in human peripheral leukocytes and systemic markers. Increased TRPM2 expression correlates strongly with plasma lipid levels and systemic inflammation in humans.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suggests that metabolic dysfunction, leading to hyperlipidemia, directly tunes the TRPM2 channel’s function and density on immune cells via direct cholesterol interaction, thereby driving inflammatory responses.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tcnrlhz467n" w:id="7"/>
      <w:bookmarkEnd w:id="7"/>
      <w:r w:rsidDel="00000000" w:rsidR="00000000" w:rsidRPr="00000000">
        <w:rPr>
          <w:b w:val="1"/>
          <w:color w:val="1b1c1d"/>
          <w:sz w:val="26"/>
          <w:szCs w:val="26"/>
          <w:rtl w:val="0"/>
        </w:rPr>
        <w:t xml:space="preserve">B. Transmembrane Channel-like Protein (TMC): Mechanosensation and Membrane Stiffness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Transmembrane channel-like (TMC) proteins are an evolutionarily conserved family of membrane proteins that function as ion channels linked to crucial mechanosensitive processes, including hearing and balance in vertebrates, and locomotion or touch in invertebrates (e.g., C. elegans TMC-1 and TMC-2).</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Mechanotransduction—the conversion of mechanical force (like touch or sound vibration) into an electrical signal—is the defining feature of TMCs.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TMC proteins form large complexes. For example, the </w:t>
      </w:r>
      <w:r w:rsidDel="00000000" w:rsidR="00000000" w:rsidRPr="00000000">
        <w:rPr>
          <w:i w:val="1"/>
          <w:color w:val="1b1c1d"/>
          <w:rtl w:val="0"/>
        </w:rPr>
        <w:t xml:space="preserve">C. elegans</w:t>
      </w:r>
      <w:r w:rsidDel="00000000" w:rsidR="00000000" w:rsidRPr="00000000">
        <w:rPr>
          <w:color w:val="1b1c1d"/>
          <w:rtl w:val="0"/>
        </w:rPr>
        <w:t xml:space="preserve"> TMC-2 complex is composed of two pore-forming TMC-2 subunits alongside ancillary proteins such as the calcium and integrin binding protein (CALM-1) and the transmembrane inner ear protein (TMIE).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steroids and lipids in TMC function is intimately tied to membrane mechanics. While the precise molecular mechanism of gating remains complex, the channel’s response relies fundamentally on sensing tension or curvature within the lipid bilayer. Cholesterol is the primary regulator of membrane physical properties, determining thickness, curvature propensity, and overall stiffness. Thus, the steroid interaction with TMCs is often </w:t>
      </w:r>
      <w:r w:rsidDel="00000000" w:rsidR="00000000" w:rsidRPr="00000000">
        <w:rPr>
          <w:i w:val="1"/>
          <w:color w:val="1b1c1d"/>
          <w:rtl w:val="0"/>
        </w:rPr>
        <w:t xml:space="preserve">indirect</w:t>
      </w:r>
      <w:r w:rsidDel="00000000" w:rsidR="00000000" w:rsidRPr="00000000">
        <w:rPr>
          <w:color w:val="1b1c1d"/>
          <w:rtl w:val="0"/>
        </w:rPr>
        <w:t xml:space="preserve">: cholesterol alters the bulk physical properties of the surrounding bilayer, which dictates the force required to mechanically gate the channel open.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contrasts with the direct allosteric binding observed in TRPM2, representing a second distinct mode of biophysical modulation where the lipid acts as a solvent property determinant rather than a specific protein ligand.</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es3a7t543kk" w:id="8"/>
      <w:bookmarkEnd w:id="8"/>
      <w:r w:rsidDel="00000000" w:rsidR="00000000" w:rsidRPr="00000000">
        <w:rPr>
          <w:b w:val="1"/>
          <w:color w:val="1b1c1d"/>
          <w:sz w:val="34"/>
          <w:szCs w:val="34"/>
          <w:rtl w:val="0"/>
        </w:rPr>
        <w:t xml:space="preserve">IV. Regulatory Hubs of Cellular Lipid Homeostasis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jbzzwyb74gq" w:id="9"/>
      <w:bookmarkEnd w:id="9"/>
      <w:r w:rsidDel="00000000" w:rsidR="00000000" w:rsidRPr="00000000">
        <w:rPr>
          <w:b w:val="1"/>
          <w:color w:val="1b1c1d"/>
          <w:sz w:val="26"/>
          <w:szCs w:val="26"/>
          <w:rtl w:val="0"/>
        </w:rPr>
        <w:t xml:space="preserve">A. TMEM41B (Transmembrane Protein 41B / Protein Stasimon): ER Dynamics and Autophagy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Transmembrane protein 41B (TMEM41B), also known as Protein Stasimon, is an ER-localized transmembrane protein that acts as a central hub regulating two interconnected aspects of cellular catabolism: autophagy and lipid droplet (LD) homeostasis.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Its role in autophagy is vital: knockout of TMEM41B stalls autophagosome biogenesis. In cells lacking TMEM41B, the formation of the double-membrane phagophore halts, leading to the accumulation of key markers like LC3 at isolation membranes (WIPI2- and DFCP1-positive structures), and subsequent impairment of lysosomal flux.</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Simultaneously, TMEM41B is critical for lipid metabolism. Its absence results in significantly enlarged LDs and a pronounced reduction in the mobilization and subsequent mitochondrial $\beta$-oxidation of fatty acids.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co-regulation of LD size and autophagosome formation strongly suggests that TMEM41B is a regulator of membrane curvature and lipid flux. Autophagy requires extensive membrane remodeling, and the phagophore is known to draw lipids (potentially including structural steroids and their precursors) from the ER and surrounding compartments. TMEM41B likely interacts with lipids, not for enzymatic conversion, but to stabilize or promote the drastic topological changes necessary for membrane bending and extension during autophagosome formation, while simultaneously ensuring proper turnover of LD content.</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f61lkn00okf" w:id="10"/>
      <w:bookmarkEnd w:id="10"/>
      <w:r w:rsidDel="00000000" w:rsidR="00000000" w:rsidRPr="00000000">
        <w:rPr>
          <w:b w:val="1"/>
          <w:color w:val="1b1c1d"/>
          <w:sz w:val="26"/>
          <w:szCs w:val="26"/>
          <w:rtl w:val="0"/>
        </w:rPr>
        <w:t xml:space="preserve">B. TAGL4 (Triacylglycerol Lipase 4): Patatin Domain Versatility and Sterol Ester Hydrolysis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Triacylglycerol lipase 4 (TAGL4, EC 3.1.1.3), or Lipase 4, is a central enzyme in lipid management, belonging to the patatin-like family of phospholipases and categorized as an $\alpha/\beta$-hydrolase.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structure of lipid-binding proteins in this family is characterized by a 10-stranded $\beta$-barrel that forms an internalized cavity.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architecture allows for binding of various lipids, demonstrated by subtle differences in binding preferences resulting from minor residue changes (e.g., between adipocyte lipid binding protein and cellular retinoic acid binding protein type I).</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TAGL4 is predominantly involved in adipocyte triglyceride homeostasis, where it is localized on lipid droplets (LDs) and contributes to the active cycle of lipolysis and re-esterification.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studies on the ortholog Tgl4p reveal that TAGL4 possesses remarkable substrate versatility, demonstrating activities beyond simple Triacylglycerol (TAG) lipase and transacylase. Tgl4p also catalyzes Phospholipase $\text{A}_{2}$ ($\text{PLA}_{2}$) activity and, most significantly in the context of steroid binding, exhibits </w:t>
      </w:r>
      <w:r w:rsidDel="00000000" w:rsidR="00000000" w:rsidRPr="00000000">
        <w:rPr>
          <w:b w:val="1"/>
          <w:color w:val="1b1c1d"/>
          <w:rtl w:val="0"/>
        </w:rPr>
        <w:t xml:space="preserve">Steryl Ester Hydrolase (SEH)</w:t>
      </w:r>
      <w:r w:rsidDel="00000000" w:rsidR="00000000" w:rsidRPr="00000000">
        <w:rPr>
          <w:color w:val="1b1c1d"/>
          <w:rtl w:val="0"/>
        </w:rPr>
        <w:t xml:space="preserve"> activity.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Steryl esters (CEs) are the storage form of cholesterol, analogous to TAGs. By hydrolyzing CEs, TAGL4 directly regulates the release of cholesterol from the LD core, making it a pivotal enzyme for managing the internal reservoir of non-structural steroids. This represents a mechanism of </w:t>
      </w:r>
      <w:r w:rsidDel="00000000" w:rsidR="00000000" w:rsidRPr="00000000">
        <w:rPr>
          <w:b w:val="1"/>
          <w:color w:val="1b1c1d"/>
          <w:rtl w:val="0"/>
        </w:rPr>
        <w:t xml:space="preserve">enzymatic liberation</w:t>
      </w:r>
      <w:r w:rsidDel="00000000" w:rsidR="00000000" w:rsidRPr="00000000">
        <w:rPr>
          <w:color w:val="1b1c1d"/>
          <w:rtl w:val="0"/>
        </w:rPr>
        <w:t xml:space="preserve"> where the steroid is released from storage for downstream metabolic or structural use.</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8qpykenn82c" w:id="11"/>
      <w:bookmarkEnd w:id="11"/>
      <w:r w:rsidDel="00000000" w:rsidR="00000000" w:rsidRPr="00000000">
        <w:rPr>
          <w:b w:val="1"/>
          <w:color w:val="1b1c1d"/>
          <w:sz w:val="34"/>
          <w:szCs w:val="34"/>
          <w:rtl w:val="0"/>
        </w:rPr>
        <w:t xml:space="preserve">V. Steroid Receptors and Non-Genomic Signal Transduction</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r1kj74guw5u" w:id="12"/>
      <w:bookmarkEnd w:id="12"/>
      <w:r w:rsidDel="00000000" w:rsidR="00000000" w:rsidRPr="00000000">
        <w:rPr>
          <w:b w:val="1"/>
          <w:color w:val="1b1c1d"/>
          <w:sz w:val="26"/>
          <w:szCs w:val="26"/>
          <w:rtl w:val="0"/>
        </w:rPr>
        <w:t xml:space="preserve">Tyrosine-protein kinase (EC 2.7.10.2): Indirect Control via Receptor Complex Dissociation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Tyrosine-protein kinases (PTKs, EC 2.7.10.2) are fundamental enzymes in signal transduction, responsible for phosphorylating target proteins on tyrosine residues. They are regulated by both receptor tyrosine kinases (e.g., Epidermal Growth Factor Receptor, EGFR) and non-receptor kinases (e.g., the SRC family, including LCK and FYN).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These kinases interact with adaptor and scaffolding proteins (such as PLC-$\gamma$, PI-3-K, Grb2), often utilizing domains like SH2 or SH3, to assemble functional signaling networks.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hormones, such as glucocorticoids (GCs) and estrogens, are capable of triggering rapid, non-genomic cellular effects that occur too quickly to be mediated by transcriptional regulation.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non-genomic action relies on the interaction between the steroid receptor and membrane-associated signaling components, including PTKs.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instance, the inactive Glucocorticoid Receptor (GR) is associated with a multiprotein complex that includes chaperones like Heat-Shock Protein 90 (HSP90) and the SRC family kinases, LCK and FYN, which are essential for T-cell receptor (TCR) signaling.</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Upon ligand binding by the GC, the receptor undergoes a conformational change that promotes the </w:t>
      </w:r>
      <w:r w:rsidDel="00000000" w:rsidR="00000000" w:rsidRPr="00000000">
        <w:rPr>
          <w:b w:val="1"/>
          <w:color w:val="1b1c1d"/>
          <w:rtl w:val="0"/>
        </w:rPr>
        <w:t xml:space="preserve">dissociation</w:t>
      </w:r>
      <w:r w:rsidDel="00000000" w:rsidR="00000000" w:rsidRPr="00000000">
        <w:rPr>
          <w:color w:val="1b1c1d"/>
          <w:rtl w:val="0"/>
        </w:rPr>
        <w:t xml:space="preserve"> of this membrane-bound complex. The dissolution of the GR-HSP90-LCK/FYN complex leads to abrogated LCK/FYN activation, thereby impairing TCR signaling and mediating immunosuppression.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Similarly, Estrogen Receptors (ERs) are known to non-genomically activate PTKs like SRC or EGFR in certain cancers, such as those classified as basal-like breast tumors.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In this case, the steroid does not bind the kinase itself but rather binds to its cognate receptor (GR or ER), which acts as a master scaffold. The steroid thus functions as a molecular trigger that breaks essential protein-protein interactions (the Allosteric/Dissociative Regulator mode), remotely controlling the kinase’s enzymatic output.</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775pvuczas2" w:id="13"/>
      <w:bookmarkEnd w:id="13"/>
      <w:r w:rsidDel="00000000" w:rsidR="00000000" w:rsidRPr="00000000">
        <w:rPr>
          <w:b w:val="1"/>
          <w:color w:val="1b1c1d"/>
          <w:sz w:val="34"/>
          <w:szCs w:val="34"/>
          <w:rtl w:val="0"/>
        </w:rPr>
        <w:t xml:space="preserve">VI. Synthesis: Structural Architectures and Mechanistic Diversity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mandatory requirement to contextualize why these proteins, despite being annotated as steroid-binding, do not cluster together in Protein Language Model (PLM) embeddings is addressed by examining the profound structural and mechanistic divergence summarized above. PLM embeddings capture semantic relationships based on protein sequence, folding patterns, and functional evolution. The functional roles of these seven proteins necessitate fundamentally different architectures, ensuring their segregation in embedding space.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consolidated view of the functional orthogonality, which is the root cause of their poor clustering.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Summary of Steroid-Binding Protein Diversity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9.0182328190745"/>
        <w:gridCol w:w="1339.0182328190745"/>
        <w:gridCol w:w="1877.2510518934082"/>
        <w:gridCol w:w="2507.3772791023844"/>
        <w:gridCol w:w="2297.335203366059"/>
        <w:tblGridChange w:id="0">
          <w:tblGrid>
            <w:gridCol w:w="1339.0182328190745"/>
            <w:gridCol w:w="1339.0182328190745"/>
            <w:gridCol w:w="1877.2510518934082"/>
            <w:gridCol w:w="2507.3772791023844"/>
            <w:gridCol w:w="2297.335203366059"/>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Protein (Primary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Protein Family/Fold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Steroid/Lipid Interaction Mode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Cellular/Subcellular Location</w:t>
            </w:r>
            <w:r w:rsidDel="00000000" w:rsidR="00000000" w:rsidRPr="00000000">
              <w:rPr>
                <w:rtl w:val="0"/>
              </w:rPr>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CYP4A21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1.14.14.57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Cytochrome P450 Monooxygenase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Catalytic Substrate (Bile Acid Hydroxylation)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Endoplasmic Reticulum (ER)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AtTHAS1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5.4.99.31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Oxidosqualene Cyclase (Type II Terpene Cyclase)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Catalytic Substrate (Oxidosqualene Cyclization)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Membrane-associated</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nvTRPM2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Transient Receptor Potential Cation Channel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Biophysical Modulator (Direct Cholesterol Gating)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Plasma Membrane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TMC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Transmembrane Channel-like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Biophysical Modulator (Indirect Membrane Mechanics)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Plasma Membrane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TMEM41B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Transmembrane Protein (Stasimon)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Structural Regulation (Membrane Remodeling/Curvature)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Endoplasmic Reticulum (ER)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TAGL4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3.1.1.3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Patatin-like Lipase ($\alpha/\beta$-Hydrolase)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Enzymatic Liberation (Hydrolysis of Steryl Esters/TAG)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Lipid Droplets/ER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Tyrosine-protein kinase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2.7.10.2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Kinase (e.g., Src, LCK, FYN)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Allosteric Regulation (Indirect Complex Disruption)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Cytosol/Plasma Membrane</w:t>
            </w:r>
          </w:p>
        </w:tc>
      </w:tr>
    </w:tbl>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01h4se0n5m0" w:id="14"/>
      <w:bookmarkEnd w:id="14"/>
      <w:r w:rsidDel="00000000" w:rsidR="00000000" w:rsidRPr="00000000">
        <w:rPr>
          <w:b w:val="1"/>
          <w:color w:val="1b1c1d"/>
          <w:sz w:val="26"/>
          <w:szCs w:val="26"/>
          <w:rtl w:val="0"/>
        </w:rPr>
        <w:t xml:space="preserve">The Five Definitive Modes of Steroid/Lipid Interaction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structural divergence corresponds directly to five distinct functional roles for the steroid ligand:</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Catalytic Substrate:</w:t>
      </w:r>
      <w:r w:rsidDel="00000000" w:rsidR="00000000" w:rsidRPr="00000000">
        <w:rPr>
          <w:color w:val="1b1c1d"/>
          <w:rtl w:val="0"/>
        </w:rPr>
        <w:t xml:space="preserve"> The steroid or its precursor is bound within an enzyme active site and chemically transformed.</w:t>
      </w:r>
    </w:p>
    <w:p w:rsidR="00000000" w:rsidDel="00000000" w:rsidP="00000000" w:rsidRDefault="00000000" w:rsidRPr="00000000" w14:paraId="0000005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Examples:</w:t>
      </w:r>
      <w:r w:rsidDel="00000000" w:rsidR="00000000" w:rsidRPr="00000000">
        <w:rPr>
          <w:color w:val="1b1c1d"/>
          <w:rtl w:val="0"/>
        </w:rPr>
        <w:t xml:space="preserve"> Hydroxylation of bile acid by CYP4A21 (Heme-binding P450 fold)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or cyclization of oxidosqualene by AtTHAS1 (OSC fold).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enzyme folds (P450 vs. OSC) are structurally independent, requiring different sequence motifs.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Enzymatic Liberation:</w:t>
      </w:r>
      <w:r w:rsidDel="00000000" w:rsidR="00000000" w:rsidRPr="00000000">
        <w:rPr>
          <w:color w:val="1b1c1d"/>
          <w:rtl w:val="0"/>
        </w:rPr>
        <w:t xml:space="preserve"> The steroid is bound in its storage form (esterified) and cleaved to release the active steroid/cholesterol molecule.</w:t>
      </w:r>
    </w:p>
    <w:p w:rsidR="00000000" w:rsidDel="00000000" w:rsidP="00000000" w:rsidRDefault="00000000" w:rsidRPr="00000000" w14:paraId="0000005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Hydrolysis of steryl esters by TAGL4.</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enzyme uses an $\alpha/\beta$-hydrolase patatin domain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 fold fundamentally different from the helical P450 or the membrane-spanning channels.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Biophysical Modulator (Direct):</w:t>
      </w:r>
      <w:r w:rsidDel="00000000" w:rsidR="00000000" w:rsidRPr="00000000">
        <w:rPr>
          <w:color w:val="1b1c1d"/>
          <w:rtl w:val="0"/>
        </w:rPr>
        <w:t xml:space="preserve"> Cholesterol binds directly to a specific pocket on a transmembrane protein, causing an allosteric shift that alters function.</w:t>
      </w:r>
    </w:p>
    <w:p w:rsidR="00000000" w:rsidDel="00000000" w:rsidP="00000000" w:rsidRDefault="00000000" w:rsidRPr="00000000" w14:paraId="0000005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Cholesterol binding to clefts in the VSLD of nvTRPM2 to tune gating.</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requires a large, multi-domain, membrane-spanning channel architecture.</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Biophysical Modulator (Indirect):</w:t>
      </w:r>
      <w:r w:rsidDel="00000000" w:rsidR="00000000" w:rsidRPr="00000000">
        <w:rPr>
          <w:color w:val="1b1c1d"/>
          <w:rtl w:val="0"/>
        </w:rPr>
        <w:t xml:space="preserve"> The steroid/cholesterol integrates into the lipid bilayer, modulating the bulk physical properties (rigidity, curvature) that regulate the activity of an adjacent mechanosensor.</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Cholesterol affecting the gating tension sensed by TMC proteins.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While TMCs are also channels, their mechanosensory domains and regulatory mechanisms differ structurally from TRPM family members.</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Allosteric/Dissociative Regulator:</w:t>
      </w:r>
      <w:r w:rsidDel="00000000" w:rsidR="00000000" w:rsidRPr="00000000">
        <w:rPr>
          <w:color w:val="1b1c1d"/>
          <w:rtl w:val="0"/>
        </w:rPr>
        <w:t xml:space="preserve"> The steroid binds to a remote, receptor element (e.g., GR/ER), triggering a conformational change that disrupts a protein complex required for the target protein’s (PTK) activity.</w:t>
      </w:r>
    </w:p>
    <w:p w:rsidR="00000000" w:rsidDel="00000000" w:rsidP="00000000" w:rsidRDefault="00000000" w:rsidRPr="00000000" w14:paraId="00000061">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color w:val="1b1c1d"/>
          <w:rtl w:val="0"/>
        </w:rPr>
        <w:t xml:space="preserve">Example:</w:t>
      </w:r>
      <w:r w:rsidDel="00000000" w:rsidR="00000000" w:rsidRPr="00000000">
        <w:rPr>
          <w:color w:val="1b1c1d"/>
          <w:rtl w:val="0"/>
        </w:rPr>
        <w:t xml:space="preserve"> Glucocorticoid binding to the GR leading to LCK/FYN dissociation.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PTK fold (the bilobed kinase domain) is optimized for ATP/phosphate transfer, and its sequence is entirely unrelated to the steroid-binding domain of the nuclear receptors that control it.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requirements for these five modes are mutually exclusive, preventing any close sequence homology, which fully explains their inability to cluster together in PLM embedding space.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illustrates the mechanistic reasons for PLM non-clustering.</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and Bioinformatic Rationale for PLM Non-Clustering</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085"/>
        <w:gridCol w:w="2325"/>
        <w:gridCol w:w="2370"/>
        <w:tblGridChange w:id="0">
          <w:tblGrid>
            <w:gridCol w:w="2205"/>
            <w:gridCol w:w="2085"/>
            <w:gridCol w:w="2325"/>
            <w:gridCol w:w="2370"/>
          </w:tblGrid>
        </w:tblGridChange>
      </w:tblGrid>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Protein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Mechanism of Steroid Interaction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Representative Structural Fold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Rationale for Non-Clustering (PLM Embedding)</w:t>
            </w:r>
            <w:r w:rsidDel="00000000" w:rsidR="00000000" w:rsidRPr="00000000">
              <w:rPr>
                <w:rtl w:val="0"/>
              </w:rPr>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P450 Monooxygenase (CYP4A21)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Heme-mediated oxidation of the steroid 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Heme-binding domain within a conserved P450 $\alpha$-helical fold.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Core fold is optimized for redox chemistry and requires specific sequence motifs for ER targeting and heme coordination.</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Oxidosqualene Cyclase (AtTHAS1)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Encapsulation and multi-step cationic cyclization of linear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Complex $\alpha/\beta$ barrel fold optimized for highly specific stereochemistry.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Fold and internal cavity geometry are unique for sequential carbocation rearrangement, unrelated to P450 or hydrolase sites.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TRP/TMC Channel (nvTRPM2, TMC)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Direct binding to inter-domain clefts (TRPM2) or bulk membrane modulation (TMC).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Tetrameric, multi-pass transmembrane structures with VSLDs and P-loops.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Architecture is dedicated to forming an ion-conducting pore; sequence homology is minimal with soluble enzymes or receptors.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$\alpha/\beta$-Hydrolase (TAGL4)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Patatin domain hydrolyzes ester bonds of stored lipids (TAG/SE).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10-stranded $\beta$-barrel forming a hydrophobic binding cavity based on a catalytic triad.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Core fold based on a serine hydrolase mechanism, structurally orthogonal to P450 or kinase domains.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Non-Genomic Kinase (PTK)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Steroid controls remote protein-protein interactions that regulate kinase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Bilobed kinase domain (N-lobe/C-lobe) optimized for ATP and substrate binding.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Functional binding is remote; the conserved core structure reflects ATP binding, not steroid binding specificity, leading to sequence separation.</w:t>
            </w:r>
          </w:p>
        </w:tc>
      </w:tr>
    </w:tbl>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kyorx2oc9f7" w:id="15"/>
      <w:bookmarkEnd w:id="15"/>
      <w:r w:rsidDel="00000000" w:rsidR="00000000" w:rsidRPr="00000000">
        <w:rPr>
          <w:b w:val="1"/>
          <w:color w:val="1b1c1d"/>
          <w:sz w:val="34"/>
          <w:szCs w:val="34"/>
          <w:rtl w:val="0"/>
        </w:rPr>
        <w:t xml:space="preserve">VII. Conclusion and Translational Perspectives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comprehensive analysis confirms that the designation "steroid-binding protein" represents a functional convergence achieved through radical structural and evolutionary divergence. The proteins examined—CYP4A21, AtTHAS1, nvTRPM2, TMC, TMEM41B, TAGL4, and Tyrosine-protein kinase—execute their core biological functions (oxidation, cyclization, ion transport, membrane remodeling, hydrolysis, and phosphorylation) through folds optimized for these specific chemistries or biophysical actions. The interaction with steroid or lipid moieties is incidental to, yet essential for, these primary roles.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orthogonality observed translates directly into significant implications for pharmacology and drug development. When targeting pathways involving steroid metabolism or signaling, inhibitors must be designed with high fold specificity. For example, a successful inhibitor for the CYP4A21 heme pocket cannot structurally inform the development of an active site inhibitor for the TAGL4 patatin domain. Similarly, modulating TRPM2 requires understanding the direct allosteric mechanisms of channel gating, whereas regulating a PTK involves disrupting its complex assembly, often targeting the non-kinase partners (like HSP90 or the receptor itself). These distinct mechanistic classes necessitate fold-specific pharmacological intervention, reinforcing the need for nuanced, structure-guided drug discovery rather than relying on broad functional annotations.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