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z916bd5lf11b" w:id="0"/>
      <w:bookmarkEnd w:id="0"/>
      <w:r w:rsidDel="00000000" w:rsidR="00000000" w:rsidRPr="00000000">
        <w:rPr>
          <w:b w:val="1"/>
          <w:color w:val="1b1c1d"/>
          <w:sz w:val="46"/>
          <w:szCs w:val="46"/>
          <w:rtl w:val="0"/>
        </w:rPr>
        <w:t xml:space="preserve">Sterol Side-Chain Metabolism and Stereoselectivity: A Comprehensive Report on the $\textit{Mycobacterium tuberculosis}$ Cytochrome P450 Cluster (CYP125/CYP142)</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i8inzfktx4h" w:id="1"/>
      <w:bookmarkEnd w:id="1"/>
      <w:r w:rsidDel="00000000" w:rsidR="00000000" w:rsidRPr="00000000">
        <w:rPr>
          <w:b w:val="1"/>
          <w:color w:val="1b1c1d"/>
          <w:sz w:val="34"/>
          <w:szCs w:val="34"/>
          <w:rtl w:val="0"/>
        </w:rPr>
        <w:t xml:space="preserve">I. General Background: Cytochrome P450 Family and Function</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pmg49193usn" w:id="2"/>
      <w:bookmarkEnd w:id="2"/>
      <w:r w:rsidDel="00000000" w:rsidR="00000000" w:rsidRPr="00000000">
        <w:rPr>
          <w:b w:val="1"/>
          <w:color w:val="1b1c1d"/>
          <w:sz w:val="26"/>
          <w:szCs w:val="26"/>
          <w:rtl w:val="0"/>
        </w:rPr>
        <w:t xml:space="preserve">1.1. Family Classification, Structure, and Localization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Cytochrome P450 125 (CYP125, EC 1.14.15.29) and Cytochrome P450 142 (CYP142, EC 1.14.15.28) are members of the vast Cytochrome P450 (CYP) superfamily of monooxygenases.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They are structurally defined by the characteristic P450 fold and contain a conserved </w:t>
      </w:r>
      <w:r w:rsidDel="00000000" w:rsidR="00000000" w:rsidRPr="00000000">
        <w:rPr>
          <w:b w:val="1"/>
          <w:color w:val="1b1c1d"/>
          <w:rtl w:val="0"/>
        </w:rPr>
        <w:t xml:space="preserve">heme-binding domain</w:t>
      </w:r>
      <w:r w:rsidDel="00000000" w:rsidR="00000000" w:rsidRPr="00000000">
        <w:rPr>
          <w:color w:val="1b1c1d"/>
          <w:rtl w:val="0"/>
        </w:rPr>
        <w:t xml:space="preserve"> (FxxGxRxCxG, where C is the heme-ligating cysteine).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CYP nomenclature is derived from the characteristic spectral peak at 450 nm exhibited by the enzyme when bound to carbon monoxide.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Both CYP125 and CYP142 are primarily studied in the context of </w:t>
      </w:r>
      <w:r w:rsidDel="00000000" w:rsidR="00000000" w:rsidRPr="00000000">
        <w:rPr>
          <w:b w:val="1"/>
          <w:color w:val="1b1c1d"/>
          <w:rtl w:val="0"/>
        </w:rPr>
        <w:t xml:space="preserve">$\textit{Mycobacterium tuberculosis}$ (Mtb)</w:t>
      </w:r>
      <w:r w:rsidDel="00000000" w:rsidR="00000000" w:rsidRPr="00000000">
        <w:rPr>
          <w:color w:val="1b1c1d"/>
          <w:rtl w:val="0"/>
        </w:rPr>
        <w:t xml:space="preserve">, the causative agent of tuberculosis.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 Mtb, these enzymes are utilized to break down host sterols.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CYP125 is known to be induced when Mtb is growing in macrophages and is reported to be essential for infection in mouse models.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CYP142 is also functionally essential in the context of host sterol metabolism.</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wmv5mo1brro" w:id="3"/>
      <w:bookmarkEnd w:id="3"/>
      <w:r w:rsidDel="00000000" w:rsidR="00000000" w:rsidRPr="00000000">
        <w:rPr>
          <w:b w:val="1"/>
          <w:color w:val="1b1c1d"/>
          <w:sz w:val="26"/>
          <w:szCs w:val="26"/>
          <w:rtl w:val="0"/>
        </w:rPr>
        <w:t xml:space="preserve">1.2. Enzymatic Role: Sterol C26-Monooxygenation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CYP125 and CYP142 function as </w:t>
      </w:r>
      <w:r w:rsidDel="00000000" w:rsidR="00000000" w:rsidRPr="00000000">
        <w:rPr>
          <w:b w:val="1"/>
          <w:color w:val="1b1c1d"/>
          <w:rtl w:val="0"/>
        </w:rPr>
        <w:t xml:space="preserve">Steroid C26-monooxygenases</w:t>
      </w:r>
      <w:r w:rsidDel="00000000" w:rsidR="00000000" w:rsidRPr="00000000">
        <w:rPr>
          <w:color w:val="1b1c1d"/>
          <w:rtl w:val="0"/>
        </w:rPr>
        <w:t xml:space="preserve"> (or C27-monooxygenases), catalyzing the sequential oxidation of sterol side chains.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reaction is the initiating, rate-limiting step in the Mtb pathway that utilizes cholesterol as its sole carbon and energy source during infection.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general reaction involves three sequential oxidation steps on the C26/C27 terminal methyl group of the sterol side chain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Hydroxylation</w:t>
      </w:r>
      <w:r w:rsidDel="00000000" w:rsidR="00000000" w:rsidRPr="00000000">
        <w:rPr>
          <w:color w:val="1b1c1d"/>
          <w:rtl w:val="0"/>
        </w:rPr>
        <w:t xml:space="preserve"> (alcohol intermediate, e.g., 26-hydroxycholest-4-en-3-one).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Oxidation</w:t>
      </w:r>
      <w:r w:rsidDel="00000000" w:rsidR="00000000" w:rsidRPr="00000000">
        <w:rPr>
          <w:color w:val="1b1c1d"/>
          <w:rtl w:val="0"/>
        </w:rPr>
        <w:t xml:space="preserve"> (aldehyde intermediate, e.g., 26-oxocholest-4-en-3-one).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Final Oxidation</w:t>
      </w:r>
      <w:r w:rsidDel="00000000" w:rsidR="00000000" w:rsidRPr="00000000">
        <w:rPr>
          <w:color w:val="1b1c1d"/>
          <w:rtl w:val="0"/>
        </w:rPr>
        <w:t xml:space="preserve"> (carboxylic acid, e.g., 3-oxocholest-4-en-26-oate).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el92mauoevs" w:id="4"/>
      <w:bookmarkEnd w:id="4"/>
      <w:r w:rsidDel="00000000" w:rsidR="00000000" w:rsidRPr="00000000">
        <w:rPr>
          <w:b w:val="1"/>
          <w:color w:val="1b1c1d"/>
          <w:sz w:val="34"/>
          <w:szCs w:val="34"/>
          <w:rtl w:val="0"/>
        </w:rPr>
        <w:t xml:space="preserve">II. Detailed Analysis of Sterol Interactions and Stereoselectivity</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lucvffkk83k" w:id="5"/>
      <w:bookmarkEnd w:id="5"/>
      <w:r w:rsidDel="00000000" w:rsidR="00000000" w:rsidRPr="00000000">
        <w:rPr>
          <w:b w:val="1"/>
          <w:color w:val="1b1c1d"/>
          <w:sz w:val="26"/>
          <w:szCs w:val="26"/>
          <w:rtl w:val="0"/>
        </w:rPr>
        <w:t xml:space="preserve">2.1. Sterol Substrates and Binding Affinity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key physiological substrates for both CYP125 and CYP142 are:</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Cholesterol</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Cholest-4-en-3-one</w:t>
      </w:r>
      <w:r w:rsidDel="00000000" w:rsidR="00000000" w:rsidRPr="00000000">
        <w:rPr>
          <w:color w:val="1b1c1d"/>
          <w:rtl w:val="0"/>
        </w:rPr>
        <w:t xml:space="preserve"> (an oxidized derivative of cholesterol) </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Both enzymes bind these sterols tightly.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Binding studies confirm the interaction of CYP125 with sterol-type molecules, inducing Type I optical changes upon addition of </w:t>
      </w:r>
      <w:r w:rsidDel="00000000" w:rsidR="00000000" w:rsidRPr="00000000">
        <w:rPr>
          <w:b w:val="1"/>
          <w:color w:val="1b1c1d"/>
          <w:rtl w:val="0"/>
        </w:rPr>
        <w:t xml:space="preserve">cholesterol</w:t>
      </w:r>
      <w:r w:rsidDel="00000000" w:rsidR="00000000" w:rsidRPr="00000000">
        <w:rPr>
          <w:color w:val="1b1c1d"/>
          <w:rtl w:val="0"/>
        </w:rPr>
        <w:t xml:space="preserve"> and </w:t>
      </w:r>
      <w:r w:rsidDel="00000000" w:rsidR="00000000" w:rsidRPr="00000000">
        <w:rPr>
          <w:b w:val="1"/>
          <w:color w:val="1b1c1d"/>
          <w:rtl w:val="0"/>
        </w:rPr>
        <w:t xml:space="preserve">androstenedione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crystal structure of CYP142 in complex with an inhibitor fragment revealed that the protein’s active site possesses a robust hydrophobic central region designed to surround and interact favorably with the hydrophobic steroidal ring system and side-chain.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986eplkng1l" w:id="6"/>
      <w:bookmarkEnd w:id="6"/>
      <w:r w:rsidDel="00000000" w:rsidR="00000000" w:rsidRPr="00000000">
        <w:rPr>
          <w:b w:val="1"/>
          <w:color w:val="1b1c1d"/>
          <w:sz w:val="26"/>
          <w:szCs w:val="26"/>
          <w:rtl w:val="0"/>
        </w:rPr>
        <w:t xml:space="preserve">2.2. Mechanistic Differences: Regio- and Stereoselectivity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Despite utilizing identical substrates and performing the same chemical transformation (C26-monooxygenation)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CYP125 and CYP142 are distinguished by their </w:t>
      </w:r>
      <w:r w:rsidDel="00000000" w:rsidR="00000000" w:rsidRPr="00000000">
        <w:rPr>
          <w:b w:val="1"/>
          <w:color w:val="1b1c1d"/>
          <w:rtl w:val="0"/>
        </w:rPr>
        <w:t xml:space="preserve">absolute stereoselectivity</w:t>
      </w:r>
      <w:r w:rsidDel="00000000" w:rsidR="00000000" w:rsidRPr="00000000">
        <w:rPr>
          <w:color w:val="1b1c1d"/>
          <w:rtl w:val="0"/>
        </w:rPr>
        <w:t xml:space="preserve"> at the C25 position of the sterol side chain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CYP125:</w:t>
      </w:r>
      <w:r w:rsidDel="00000000" w:rsidR="00000000" w:rsidRPr="00000000">
        <w:rPr>
          <w:color w:val="1b1c1d"/>
          <w:rtl w:val="0"/>
        </w:rPr>
        <w:t xml:space="preserve"> Generates oxidized sterols with the </w:t>
      </w:r>
      <w:r w:rsidDel="00000000" w:rsidR="00000000" w:rsidRPr="00000000">
        <w:rPr>
          <w:b w:val="1"/>
          <w:color w:val="1b1c1d"/>
          <w:rtl w:val="0"/>
        </w:rPr>
        <w:t xml:space="preserve">(25S)</w:t>
      </w:r>
      <w:r w:rsidDel="00000000" w:rsidR="00000000" w:rsidRPr="00000000">
        <w:rPr>
          <w:color w:val="1b1c1d"/>
          <w:rtl w:val="0"/>
        </w:rPr>
        <w:t xml:space="preserve">-configuration (e.g., (25S)-3-oxocholest-4-en-26-oate).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CYP142:</w:t>
      </w:r>
      <w:r w:rsidDel="00000000" w:rsidR="00000000" w:rsidRPr="00000000">
        <w:rPr>
          <w:color w:val="1b1c1d"/>
          <w:rtl w:val="0"/>
        </w:rPr>
        <w:t xml:space="preserve"> Generates oxidized sterols with the opposite </w:t>
      </w:r>
      <w:r w:rsidDel="00000000" w:rsidR="00000000" w:rsidRPr="00000000">
        <w:rPr>
          <w:b w:val="1"/>
          <w:color w:val="1b1c1d"/>
          <w:rtl w:val="0"/>
        </w:rPr>
        <w:t xml:space="preserve">(25R)</w:t>
      </w:r>
      <w:r w:rsidDel="00000000" w:rsidR="00000000" w:rsidRPr="00000000">
        <w:rPr>
          <w:color w:val="1b1c1d"/>
          <w:rtl w:val="0"/>
        </w:rPr>
        <w:t xml:space="preserve">-configuration (e.g., (25R)-3-oxocholest-4-en-26-oate).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structural basis for this reversal in stereochemistry is attributed to subtle but critical differences in the active site residues that dictate the precise positioning of the cholesterol side chain relative to the catalytic heme iron.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Key amino acid substitutions observed between CYP125 and CYP142, based on structural alignment, suggest changes in the hydrophobic lining of the pocket near the heme and in the surrounding $\alpha$-helices (F/G helices) and loops (B-C loop).</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Examples of these substitutions include:</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CYP125 F316 $\rightarrow$ CYP142 M280</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CYP125 W414 $\rightarrow$ CYP142 F380</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CYP125 L117 $\rightarrow$ CYP142 I76</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CYP142, the hydrophobic pocket is defined by residues such as Ile65, Ile76, Leu226, Ile229, Met280, and Phe380.</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These differences force the flexible sterol side chain into opposite orientations, leading to the observed stereochemical divergence in the final C26-oic acid product.</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vc0v760dmd9" w:id="7"/>
      <w:bookmarkEnd w:id="7"/>
      <w:r w:rsidDel="00000000" w:rsidR="00000000" w:rsidRPr="00000000">
        <w:rPr>
          <w:b w:val="1"/>
          <w:color w:val="1b1c1d"/>
          <w:sz w:val="26"/>
          <w:szCs w:val="26"/>
          <w:rtl w:val="0"/>
        </w:rPr>
        <w:t xml:space="preserve">2.3. Physiological and Pathological Significance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The enzymatic activity of CYP125 and CYP142 is directly linked to the pathology of Mtb infection.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By initiating the degradation of host cholesterol, these enzymes provide the bacterium with the essential carbon sources needed for survival and proliferation inside the host environment.</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Host Persistence:</w:t>
      </w:r>
      <w:r w:rsidDel="00000000" w:rsidR="00000000" w:rsidRPr="00000000">
        <w:rPr>
          <w:color w:val="1b1c1d"/>
          <w:rtl w:val="0"/>
        </w:rPr>
        <w:t xml:space="preserve"> Cholesterol degradation yields two- and three-carbon units that feed into the glyoxylate shunt pathway, a metabolic route essential for Mtb persistence during infection.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Functional Redundancy:</w:t>
      </w:r>
      <w:r w:rsidDel="00000000" w:rsidR="00000000" w:rsidRPr="00000000">
        <w:rPr>
          <w:color w:val="1b1c1d"/>
          <w:rtl w:val="0"/>
        </w:rPr>
        <w:t xml:space="preserve"> Although they generate opposite stereoisomers, CYP125 and CYP142 are </w:t>
      </w:r>
      <w:r w:rsidDel="00000000" w:rsidR="00000000" w:rsidRPr="00000000">
        <w:rPr>
          <w:b w:val="1"/>
          <w:color w:val="1b1c1d"/>
          <w:rtl w:val="0"/>
        </w:rPr>
        <w:t xml:space="preserve">functionally redundant</w:t>
      </w:r>
      <w:r w:rsidDel="00000000" w:rsidR="00000000" w:rsidRPr="00000000">
        <w:rPr>
          <w:color w:val="1b1c1d"/>
          <w:rtl w:val="0"/>
        </w:rPr>
        <w:t xml:space="preserve"> with respect to supporting Mtb growth on cholesterol.</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redundancy explains why a $\Delta$CYP125 mutant of </w:t>
      </w:r>
      <w:r w:rsidDel="00000000" w:rsidR="00000000" w:rsidRPr="00000000">
        <w:rPr>
          <w:i w:val="1"/>
          <w:color w:val="1b1c1d"/>
          <w:rtl w:val="0"/>
        </w:rPr>
        <w:t xml:space="preserve">Mycobacterium bovis</w:t>
      </w:r>
      <w:r w:rsidDel="00000000" w:rsidR="00000000" w:rsidRPr="00000000">
        <w:rPr>
          <w:color w:val="1b1c1d"/>
          <w:rtl w:val="0"/>
        </w:rPr>
        <w:t xml:space="preserve"> (which has a defective CYP142 gene) cannot grow on cholesterol.</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Drug Targets:</w:t>
      </w:r>
      <w:r w:rsidDel="00000000" w:rsidR="00000000" w:rsidRPr="00000000">
        <w:rPr>
          <w:color w:val="1b1c1d"/>
          <w:rtl w:val="0"/>
        </w:rPr>
        <w:t xml:space="preserve"> Given their essential role in Mtb survival on host sterols, both CYP125 and CYP142 are considered vital targets for developing new anti-tuberculosis drugs with novel modes of action.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Azole antibiotics, for instance, are known to bind tightly to CYP142, highlighting their therapeutic potential.</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49zfjhq116" w:id="8"/>
      <w:bookmarkEnd w:id="8"/>
      <w:r w:rsidDel="00000000" w:rsidR="00000000" w:rsidRPr="00000000">
        <w:rPr>
          <w:b w:val="1"/>
          <w:color w:val="1b1c1d"/>
          <w:sz w:val="34"/>
          <w:szCs w:val="34"/>
          <w:rtl w:val="0"/>
        </w:rPr>
        <w:t xml:space="preserve">III. Cross-Cutting Overview: Shared Evolutionary and Structural Features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6wckzh8l186" w:id="9"/>
      <w:bookmarkEnd w:id="9"/>
      <w:r w:rsidDel="00000000" w:rsidR="00000000" w:rsidRPr="00000000">
        <w:rPr>
          <w:b w:val="1"/>
          <w:color w:val="1b1c1d"/>
          <w:sz w:val="26"/>
          <w:szCs w:val="26"/>
          <w:rtl w:val="0"/>
        </w:rPr>
        <w:t xml:space="preserve">3.1. Rationale for Protein Language Model Clustering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clustering of CYP125 and CYP142 by protein language model (PLM) embeddings, despite their distant evolutionary relationship and opposing stereoselectivity, is primarily based on their highly conserved requirements for a sterol-binding pocket.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PLM detected the shared sequence patterns necessary to construct and maintain:</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P450 Fold:</w:t>
      </w:r>
      <w:r w:rsidDel="00000000" w:rsidR="00000000" w:rsidRPr="00000000">
        <w:rPr>
          <w:color w:val="1b1c1d"/>
          <w:rtl w:val="0"/>
        </w:rPr>
        <w:t xml:space="preserve"> The fundamental tertiary structure necessary for accommodating the heme cofactor and the catalytic machinery.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Sterol Recognition Domain:</w:t>
      </w:r>
      <w:r w:rsidDel="00000000" w:rsidR="00000000" w:rsidRPr="00000000">
        <w:rPr>
          <w:color w:val="1b1c1d"/>
          <w:rtl w:val="0"/>
        </w:rPr>
        <w:t xml:space="preserve"> The conserved hydrophobic and structurally rigid active site architecture required for binding the large, rigid, polycyclic cholesterol/cholest-4-en-3-one scaffold.</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models identified that the sequence syntax supporting this bulky, hydrophobic ligand pocket is conserved, irrespective of the minor differences that enforce (25S) versus (25R) stereochemistry.</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6zyh0d5i5zr" w:id="10"/>
      <w:bookmarkEnd w:id="10"/>
      <w:r w:rsidDel="00000000" w:rsidR="00000000" w:rsidRPr="00000000">
        <w:rPr>
          <w:b w:val="1"/>
          <w:color w:val="1b1c1d"/>
          <w:sz w:val="26"/>
          <w:szCs w:val="26"/>
          <w:rtl w:val="0"/>
        </w:rPr>
        <w:t xml:space="preserve">3.2. Common Pathway Motif</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unity of this cluster lies in their shared role as the </w:t>
      </w:r>
      <w:r w:rsidDel="00000000" w:rsidR="00000000" w:rsidRPr="00000000">
        <w:rPr>
          <w:b w:val="1"/>
          <w:color w:val="1b1c1d"/>
          <w:rtl w:val="0"/>
        </w:rPr>
        <w:t xml:space="preserve">initiators of sterol side-chain $\beta$-oxidation</w:t>
      </w:r>
      <w:r w:rsidDel="00000000" w:rsidR="00000000" w:rsidRPr="00000000">
        <w:rPr>
          <w:color w:val="1b1c1d"/>
          <w:rtl w:val="0"/>
        </w:rPr>
        <w:t xml:space="preserve"> in Mtb. They both catalyze the rate-limiting C26-monooxygenation that produces the C26-oic acid intermediate.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intermediate then feeds into the downstream $\beta$-oxidation cycle, which further processes the sterol side chain into short-chain fatty acyl-CoA species.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common metabolic choke-point is the primary shared functional pathway linking the two enzymes.</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tdtfif6k2s" w:id="11"/>
      <w:bookmarkEnd w:id="11"/>
      <w:r w:rsidDel="00000000" w:rsidR="00000000" w:rsidRPr="00000000">
        <w:rPr>
          <w:b w:val="1"/>
          <w:color w:val="1b1c1d"/>
          <w:sz w:val="26"/>
          <w:szCs w:val="26"/>
          <w:rtl w:val="0"/>
        </w:rPr>
        <w:t xml:space="preserve">3.3. Structural Dynamics and Inhibition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Both CYP125 and CYP142 exhibit similar binding properties for Type II, inhibitor-like ligands, with fragments showing affinity for both enzymes.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Structural comparison of CYP142 bound to a fragment and CYP125 bound to econazole confirmed that the binding sites share "hotspots" for inhibitor optimization, suggesting that strategies for developing dual CYP125/CYP142 inhibitors that block the critical initiation step of sterol catabolism are structurally feasible.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