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vwybbaphwrdg" w:id="0"/>
      <w:bookmarkEnd w:id="0"/>
      <w:r w:rsidDel="00000000" w:rsidR="00000000" w:rsidRPr="00000000">
        <w:rPr>
          <w:b w:val="1"/>
          <w:color w:val="1b1c1d"/>
          <w:sz w:val="46"/>
          <w:szCs w:val="46"/>
          <w:rtl w:val="0"/>
        </w:rPr>
        <w:t xml:space="preserve">The Extracellular Calcium-Sensing Receptor (CASR): A Convergence Point for Ionic, Amino Acid, and Sterol Signaling</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9gw5m6wmrdp" w:id="1"/>
      <w:bookmarkEnd w:id="1"/>
      <w:r w:rsidDel="00000000" w:rsidR="00000000" w:rsidRPr="00000000">
        <w:rPr>
          <w:b w:val="1"/>
          <w:color w:val="1b1c1d"/>
          <w:sz w:val="34"/>
          <w:szCs w:val="34"/>
          <w:rtl w:val="0"/>
        </w:rPr>
        <w:t xml:space="preserve">I. Introduction: The Calcium-Sensing Receptor (CASR) and its Dual Identity</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s5lic4077nv" w:id="2"/>
      <w:bookmarkEnd w:id="2"/>
      <w:r w:rsidDel="00000000" w:rsidR="00000000" w:rsidRPr="00000000">
        <w:rPr>
          <w:b w:val="1"/>
          <w:color w:val="1b1c1d"/>
          <w:sz w:val="26"/>
          <w:szCs w:val="26"/>
          <w:rtl w:val="0"/>
        </w:rPr>
        <w:t xml:space="preserve">I.A. Nomenclature and Functional Identity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Calcium-Sensing Receptor (CASR), also known by aliases such as the extracellular calcium-sensing receptor, Parathyroid cell calcium-sensing receptor 1 (PCaR1), </w:t>
      </w:r>
      <w:r w:rsidDel="00000000" w:rsidR="00000000" w:rsidRPr="00000000">
        <w:rPr>
          <w:color w:val="1b1c1d"/>
        </w:rPr>
        <w:drawing>
          <wp:inline distB="114300" distT="114300" distL="114300" distR="114300">
            <wp:extent cx="635000" cy="635000"/>
            <wp:effectExtent b="0" l="0" r="0" t="0"/>
            <wp:docPr id="47"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or </w:t>
      </w:r>
      <w:r w:rsidDel="00000000" w:rsidR="00000000" w:rsidRPr="00000000">
        <w:rPr>
          <w:color w:val="1b1c1d"/>
        </w:rPr>
        <w:drawing>
          <wp:inline distB="114300" distT="114300" distL="114300" distR="114300">
            <wp:extent cx="635000" cy="635000"/>
            <wp:effectExtent b="0" l="0" r="0" t="0"/>
            <wp:docPr id="44"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is a critical mediator of systemic calcium homeostasis.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receptor belongs to the Family C of G-Protein Coupled Receptors (GPCRs), specifically aligning with the metabotropic glutamate receptor/GABA B receptor family.</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primary function of CASR is to sense minute fluctuations in extracellular calcium concentration (</w:t>
      </w:r>
      <w:r w:rsidDel="00000000" w:rsidR="00000000" w:rsidRPr="00000000">
        <w:rPr>
          <w:color w:val="1b1c1d"/>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Upon activation by elevated </w:t>
      </w:r>
      <w:r w:rsidDel="00000000" w:rsidR="00000000" w:rsidRPr="00000000">
        <w:rPr>
          <w:color w:val="1b1c1d"/>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CASR transduces the signal intracellularly, leading to modifications in parathyroid hormone (PTH) secretion from the parathyroid glands and regulating renal cation handling.</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In the parathyroid, activation results in decreased PTH secretion, while in the kidney, it regulates tubular calcium resorption.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CASR is characterized by its broad ligand promiscuity, functioning as a sophisticated sensor that integrates multiple physiological signals beyond </w:t>
      </w:r>
      <w:r w:rsidDel="00000000" w:rsidR="00000000" w:rsidRPr="00000000">
        <w:rPr>
          <w:color w:val="1b1c1d"/>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Other activating ligands include divalent cations such as </w:t>
      </w:r>
      <w:r w:rsidDel="00000000" w:rsidR="00000000" w:rsidRPr="00000000">
        <w:rPr>
          <w:color w:val="1b1c1d"/>
        </w:rPr>
        <w:drawing>
          <wp:inline distB="114300" distT="114300" distL="114300" distR="114300">
            <wp:extent cx="635000" cy="63500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L-amino acids (including L-Tryptophan (Trp) and L-Phenylalanine (Phe)), small peptides, anions (e.g., </w:t>
      </w:r>
      <w:r w:rsidDel="00000000" w:rsidR="00000000" w:rsidRPr="00000000">
        <w:rPr>
          <w:color w:val="1b1c1d"/>
        </w:rPr>
        <w:drawing>
          <wp:inline distB="114300" distT="114300" distL="114300" distR="114300">
            <wp:extent cx="635000" cy="635000"/>
            <wp:effectExtent b="0" l="0" r="0" t="0"/>
            <wp:docPr id="46"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w:t>
      </w:r>
      <w:r w:rsidDel="00000000" w:rsidR="00000000" w:rsidRPr="00000000">
        <w:rPr>
          <w:color w:val="1b1c1d"/>
        </w:rPr>
        <w:drawing>
          <wp:inline distB="114300" distT="114300" distL="114300" distR="114300">
            <wp:extent cx="635000" cy="635000"/>
            <wp:effectExtent b="0" l="0" r="0" t="0"/>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changes in </w:t>
      </w:r>
      <w:r w:rsidDel="00000000" w:rsidR="00000000" w:rsidRPr="00000000">
        <w:rPr>
          <w:color w:val="1b1c1d"/>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diverse ligand profile positions CASR as an important physiological checkpoint, linking mineral status (</w:t>
      </w:r>
      <w:r w:rsidDel="00000000" w:rsidR="00000000" w:rsidRPr="00000000">
        <w:rPr>
          <w:color w:val="1b1c1d"/>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dietary intake (amino acids), and acid-base balance (</w:t>
      </w:r>
      <w:r w:rsidDel="00000000" w:rsidR="00000000" w:rsidRPr="00000000">
        <w:rPr>
          <w:color w:val="1b1c1d"/>
        </w:rPr>
        <w:drawing>
          <wp:inline distB="114300" distT="114300" distL="114300" distR="114300">
            <wp:extent cx="635000" cy="635000"/>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to overall systemic homeostasis.</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7qdhwwaps4" w:id="3"/>
      <w:bookmarkEnd w:id="3"/>
      <w:r w:rsidDel="00000000" w:rsidR="00000000" w:rsidRPr="00000000">
        <w:rPr>
          <w:b w:val="1"/>
          <w:color w:val="1b1c1d"/>
          <w:sz w:val="26"/>
          <w:szCs w:val="26"/>
          <w:rtl w:val="0"/>
        </w:rPr>
        <w:t xml:space="preserve">I.B. The Paradoxical Steroid-Binding Annotation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its established role as an integral membrane protein sensing hydrophilic ions and amino acids, CASR has recently been annotated as falling within a single cluster of similar proteins identified computationally as "steroid-binding proteins" based on Protein Language Model (pLM) embeddings.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classification is notable because canonical steroid-binding proteins, such as the Vitamin D Receptor (VDR) and other Steroid Hormone Receptors (SHRs), belong to the Nuclear Receptor (NR) superfamily.</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NRs are soluble transcription factors that reside in the cytoplasm or nucleus and respond to lipophilic steroid hormones, representing a fundamentally different structural and functional class than integral membrane GPCRs.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structural requirements for CASR's allosteric modulation sites, which accommodate large amphipathic molecules like membrane sterols, appear to share critical physicochemical properties with the ligand binding pockets of classical steroid receptors. This computational grouping suggests that CASR functions not merely as an ion sensor but as a crucial metabolic nexus, integrating information about ionic balance, dietary load, and local membrane lipid composition to accurately set the overall threshold for calcium homeostasis. The primary goal of this analysis is to structurally and functionally investigate the basis for this pLM clustering by detailing CASR's direct interaction with membrane sterols (e.g., cholesterol) and its crucial indirect regulatory crosstalk with the steroid hormone system (Vitamin D).</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8ocb5xt4nt7" w:id="4"/>
      <w:bookmarkEnd w:id="4"/>
      <w:r w:rsidDel="00000000" w:rsidR="00000000" w:rsidRPr="00000000">
        <w:rPr>
          <w:b w:val="1"/>
          <w:color w:val="1b1c1d"/>
          <w:sz w:val="34"/>
          <w:szCs w:val="34"/>
          <w:rtl w:val="0"/>
        </w:rPr>
        <w:t xml:space="preserve">II. Molecular and Structural Architecture of the Calcium-Sensing Receptor</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mgci04cvi88" w:id="5"/>
      <w:bookmarkEnd w:id="5"/>
      <w:r w:rsidDel="00000000" w:rsidR="00000000" w:rsidRPr="00000000">
        <w:rPr>
          <w:b w:val="1"/>
          <w:color w:val="1b1c1d"/>
          <w:sz w:val="26"/>
          <w:szCs w:val="26"/>
          <w:rtl w:val="0"/>
        </w:rPr>
        <w:t xml:space="preserve">II.A. Receptor Topology and Dimer Organization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CASR is a complex, large-format GPCR that functions as a homodimer, with dimerization being essential for appropriate ligand recognition and subsequent activation.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Structurally, the receptor is modular, featuring three main functional segments.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receptor's architecture begins with the large Extracellular Domain (ECD), which spans approximately 612 amino acids and is responsible for initial recognition and binding of primary ligands like </w:t>
      </w:r>
      <w:r w:rsidDel="00000000" w:rsidR="00000000" w:rsidRPr="00000000">
        <w:rPr>
          <w:color w:val="1b1c1d"/>
        </w:rPr>
        <w:drawing>
          <wp:inline distB="114300" distT="114300" distL="114300" distR="114300">
            <wp:extent cx="635000" cy="635000"/>
            <wp:effectExtent b="0" l="0" r="0" t="0"/>
            <wp:docPr id="4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L-amino acids.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ECD is further subdivided into Lobe 1, Lobe 2, and a Cysteine-Rich Domain (CRD).</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Following the ECD, the protein traverses the plasma membrane via the characteristic Seven-Transmembrane (7TM) domain.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domain is responsible for translating the ligand-induced conformational changes into a signal across the membrane. Finally, the intracellular C-terminus and associated loops mediate the coupling to G-proteins and activation of downstream signaling cascades.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0pgcmnrjk3q" w:id="6"/>
      <w:bookmarkEnd w:id="6"/>
      <w:r w:rsidDel="00000000" w:rsidR="00000000" w:rsidRPr="00000000">
        <w:rPr>
          <w:b w:val="1"/>
          <w:color w:val="1b1c1d"/>
          <w:sz w:val="26"/>
          <w:szCs w:val="26"/>
          <w:rtl w:val="0"/>
        </w:rPr>
        <w:t xml:space="preserve">II.B. Activation and G-Protein Coupling Selectivity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initiation of CASR signaling occurs when </w:t>
      </w:r>
      <w:r w:rsidDel="00000000" w:rsidR="00000000" w:rsidRPr="00000000">
        <w:rPr>
          <w:color w:val="1b1c1d"/>
        </w:rPr>
        <w:drawing>
          <wp:inline distB="114300" distT="114300" distL="114300" distR="114300">
            <wp:extent cx="635000" cy="63500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binds to the ECD, inducing conformational changes that stabilize the active state of the homodimer and drive movement within the underlying 7TM helices.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stability and integrity of the dimer interface are paramount to receptor function, a fact underscored by disease pathology: mutations causing Familial Hypocalciuric Hypercalcemia (FHH, loss-of-function) and Autosomal Dominant Hypocalcemia (ADH, gain-of-function) overwhelmingly cluster at the ECD dimer interface.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More than 50% of FHH mutations and over 75% of ADH mutations affect residues located at this critical boundary, demonstrating that the CASR’s functional set point is intrinsically dependent on stable, regulated inter-protomer interactions.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CASR is notable for its promiscuous coupling to multiple G-protein subtypes, enabling it to generate varied cellular responses.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Depending on the cellular context, CASR can couple to </w:t>
      </w:r>
      <w:r w:rsidDel="00000000" w:rsidR="00000000" w:rsidRPr="00000000">
        <w:rPr>
          <w:color w:val="1b1c1d"/>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(which activates phospholipase C-</w:t>
      </w:r>
      <w:r w:rsidDel="00000000" w:rsidR="00000000" w:rsidRPr="00000000">
        <w:rPr>
          <w:color w:val="1b1c1d"/>
        </w:rPr>
        <w:drawing>
          <wp:inline distB="114300" distT="114300" distL="114300" distR="114300">
            <wp:extent cx="635000" cy="63500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leading to the release of DAG and </w:t>
      </w:r>
      <w:r w:rsidDel="00000000" w:rsidR="00000000" w:rsidRPr="00000000">
        <w:rPr>
          <w:color w:val="1b1c1d"/>
        </w:rPr>
        <w:drawing>
          <wp:inline distB="114300" distT="114300" distL="114300" distR="114300">
            <wp:extent cx="635000" cy="635000"/>
            <wp:effectExtent b="0" l="0" r="0" t="0"/>
            <wp:docPr id="43"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second messengers) and </w:t>
      </w:r>
      <w:r w:rsidDel="00000000" w:rsidR="00000000" w:rsidRPr="00000000">
        <w:rPr>
          <w:color w:val="1b1c1d"/>
        </w:rPr>
        <w:drawing>
          <wp:inline distB="114300" distT="114300" distL="114300" distR="114300">
            <wp:extent cx="635000" cy="63500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(which inhibits adenylyl cyclase activity and thus reduces cyclic AMP levels).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High-resolution structural studies reveal that this G-protein selectivity is achieved through distinct and substantial rearrangements of the intracellular loop 2 (ICL2) and the C-terminus.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These structural differences create unique CASR–G-protein interfaces tailored specifically for </w:t>
      </w:r>
      <w:r w:rsidDel="00000000" w:rsidR="00000000" w:rsidRPr="00000000">
        <w:rPr>
          <w:color w:val="1b1c1d"/>
        </w:rPr>
        <w:drawing>
          <wp:inline distB="114300" distT="114300" distL="114300" distR="114300">
            <wp:extent cx="635000" cy="635000"/>
            <wp:effectExtent b="0" l="0" r="0" t="0"/>
            <wp:docPr id="49"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versus </w:t>
      </w:r>
      <w:r w:rsidDel="00000000" w:rsidR="00000000" w:rsidRPr="00000000">
        <w:rPr>
          <w:color w:val="1b1c1d"/>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coupling.</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precise control over G-protein selectivity is critically important, particularly in the context of allosteric modulation. Allosteric modulators, such as the calcimimetic drug cinacalcet or endogenous membrane lipids, occupy the 7TM bundle and stabilize an extensive asymmetric interface between the protomers.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resulting stabilization impacts the intracellular domain, linking the binding of a lipophilic modulator in the membrane core to the differential binding of G-protein subtypes on the cytoplasmic surface. The strong coupling observed between the stability of the ECD dimer and the necessity of stabilizing the 7TM asymmetry suggests that the efficacy of therapeutics (e.g., cinacalcet) may be highly dependent on the local membrane sterol content, implying that a patient's lipid profile could influence pharmacological response in CASR-targeting therapies.</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v23h30gndmek" w:id="7"/>
      <w:bookmarkEnd w:id="7"/>
      <w:r w:rsidDel="00000000" w:rsidR="00000000" w:rsidRPr="00000000">
        <w:rPr>
          <w:b w:val="1"/>
          <w:color w:val="1b1c1d"/>
          <w:sz w:val="34"/>
          <w:szCs w:val="34"/>
          <w:rtl w:val="0"/>
        </w:rPr>
        <w:t xml:space="preserve">III. Sterol and Steroid-Like Molecule Interactions: Mechanisms and Roles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and computational annotation of CASR as a steroid-binding protein necessitates a detailed investigation into its interaction with sterols, particularly cholesterol, and the regulatory crosstalk it maintains with the steroid hormone vitamin D system.</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v3e9f9afuzv" w:id="8"/>
      <w:bookmarkEnd w:id="8"/>
      <w:r w:rsidDel="00000000" w:rsidR="00000000" w:rsidRPr="00000000">
        <w:rPr>
          <w:b w:val="1"/>
          <w:color w:val="1b1c1d"/>
          <w:sz w:val="26"/>
          <w:szCs w:val="26"/>
          <w:rtl w:val="0"/>
        </w:rPr>
        <w:t xml:space="preserve">III.A. Direct Modulation: CASR Interaction with Cholesterol</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Cholesterol is the quintessential mammalian lipid, essential for regulating membrane fluidity, lipid raft formation, and the function of embedded membrane proteins.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For many GPCRs, including those in Class A (like chemokine receptors), cholesterol acts as a positive allosteric modulator (PAM), enhancing ligand affinity, influencing activation, and stabilizing specific oligomerization states.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binding site for cholesterol, and other lipophilic allosteric modulators, is localized within the 7TM domain, residing between the transmembrane helices.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site constitutes a deep, hydrophobic pocket that stabilizes large amphipathic molecules. Importantly, the endogenous amino acid ligand L-Tryptophan (Trp), which acts as a co-agonist, has been observed to occupy the 7TM bundle of the G-protein-coupled protomer at the exact same location as synthetic allosteric modulators such as cinacalcet.</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shared binding site confirms the existence of a functionally relevant, lipophilic cavity within the 7TM domain, capable of accommodating complex molecules that can stabilize the activated, asymmetric structure of the receptor dimer.</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7p1l2efkq6z" w:id="9"/>
      <w:bookmarkEnd w:id="9"/>
      <w:r w:rsidDel="00000000" w:rsidR="00000000" w:rsidRPr="00000000">
        <w:rPr>
          <w:b w:val="1"/>
          <w:color w:val="1b1c1d"/>
          <w:sz w:val="26"/>
          <w:szCs w:val="26"/>
          <w:rtl w:val="0"/>
        </w:rPr>
        <w:t xml:space="preserve">III.B. Molecular Recognition Motifs and Binding Mechanism</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Direct cholesterol binding to transmembrane proteins frequently relies on specific recognition sequences known as Cholesterol Recognition/Interaction Amino acid Consensus (CRAC) and its reverse sequence, CARC.</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CRAC Motif:</w:t>
      </w:r>
      <w:r w:rsidDel="00000000" w:rsidR="00000000" w:rsidRPr="00000000">
        <w:rPr>
          <w:color w:val="1b1c1d"/>
          <w:rtl w:val="0"/>
        </w:rPr>
        <w:t xml:space="preserve"> Defined by the consensus sequence (L/V)-</w:t>
      </w:r>
      <w:r w:rsidDel="00000000" w:rsidR="00000000" w:rsidRPr="00000000">
        <w:rPr>
          <w:color w:val="1b1c1d"/>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-(Y)-</w:t>
      </w:r>
      <w:r w:rsidDel="00000000" w:rsidR="00000000" w:rsidRPr="00000000">
        <w:rPr>
          <w:color w:val="1b1c1d"/>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-(R/K), the CRAC motif dictates an oriented binding site.</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The hydrophobic residues, Leucine (L) or Valine (V), interact with the hydrophobic iso-octyl chain of cholesterol. The aromatic Tyrosine (Y) stabilizes the polycyclic sterane backbone through </w:t>
      </w:r>
      <w:r w:rsidDel="00000000" w:rsidR="00000000" w:rsidRPr="00000000">
        <w:rPr>
          <w:color w:val="1b1c1d"/>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stacking interactions, while the charged residues, Arginine (R) or Lysine (K), coordinate the cholesterol </w:t>
      </w:r>
      <w:r w:rsidDel="00000000" w:rsidR="00000000" w:rsidRPr="00000000">
        <w:rPr>
          <w:color w:val="1b1c1d"/>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head group via hydrogen bonding.</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CARC Motif:</w:t>
      </w:r>
      <w:r w:rsidDel="00000000" w:rsidR="00000000" w:rsidRPr="00000000">
        <w:rPr>
          <w:color w:val="1b1c1d"/>
          <w:rtl w:val="0"/>
        </w:rPr>
        <w:t xml:space="preserve"> Defined by the reverse sequence (R/K)-</w:t>
      </w:r>
      <w:r w:rsidDel="00000000" w:rsidR="00000000" w:rsidRPr="00000000">
        <w:rPr>
          <w:color w:val="1b1c1d"/>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-(Y/F)-</w:t>
      </w:r>
      <w:r w:rsidDel="00000000" w:rsidR="00000000" w:rsidRPr="00000000">
        <w:rPr>
          <w:color w:val="1b1c1d"/>
        </w:rPr>
        <w:drawing>
          <wp:inline distB="114300" distT="114300" distL="114300" distR="114300">
            <wp:extent cx="635000" cy="635000"/>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-(L/V).</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Candidate CASR binding sites, such as a predicted CARC site in TM1 identified in studies of related GPCRs, are hypothesized to play a central role in cholesterol regulation.</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Specific amino acid residues are repeatedly implicated in forming effective sterol binding sites across membrane proteins. The nonpolar residues—Leucine (L), Isoleucine (I), Valine (V), and Phenylalanine (F)—are crucial for forming van der Waals interactions with the highly hydrophobic polycyclic sterane core.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Conversely, polar and charged residues—Tyrosine (Y), Lysine (K), Arginine (R), Asparagine (N), and Glutamine (Q)—are required to form the hydrogen bonds necessary to anchor the cholesterol </w:t>
      </w:r>
      <w:r w:rsidDel="00000000" w:rsidR="00000000" w:rsidRPr="00000000">
        <w:rPr>
          <w:color w:val="1b1c1d"/>
        </w:rPr>
        <w:drawing>
          <wp:inline distB="114300" distT="114300" distL="114300" distR="114300">
            <wp:extent cx="635000" cy="635000"/>
            <wp:effectExtent b="0" l="0" r="0" t="0"/>
            <wp:docPr id="45"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group, which is vital for oriented binding.</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The C21 and C26 carbons on the iso-octyl side chain are often identified as hydrophobic "hot spots" for protein contacts.</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presence of a CRAC or CARC motif does not guarantee cholesterol binding, it establishes a structural context where the correct hydrophobic and polar groups are positioned to facilitate protein-cholesterol interactions that can profoundly affect receptor function.</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These structural recognition patterns highlight that CASR possesses localized structural elements required for binding large, amphipathic, lipophilic molecules.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4.9184278622438"/>
        <w:gridCol w:w="1654.8893306531327"/>
        <w:gridCol w:w="2673.2827649012143"/>
        <w:gridCol w:w="2902.421287607033"/>
        <w:tblGridChange w:id="0">
          <w:tblGrid>
            <w:gridCol w:w="1794.9184278622438"/>
            <w:gridCol w:w="1654.8893306531327"/>
            <w:gridCol w:w="2673.2827649012143"/>
            <w:gridCol w:w="2902.421287607033"/>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Molecule/Class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b w:val="1"/>
                <w:color w:val="1b1c1d"/>
                <w:rtl w:val="0"/>
              </w:rPr>
              <w:t xml:space="preserve">Binding Type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b w:val="1"/>
                <w:color w:val="1b1c1d"/>
                <w:rtl w:val="0"/>
              </w:rPr>
              <w:t xml:space="preserve">Localization/Mechanism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b w:val="1"/>
                <w:color w:val="1b1c1d"/>
                <w:rtl w:val="0"/>
              </w:rPr>
              <w:t xml:space="preserve">Physiological/Pathological Role</w:t>
            </w:r>
            <w:r w:rsidDel="00000000" w:rsidR="00000000" w:rsidRPr="00000000">
              <w:rPr>
                <w:rtl w:val="0"/>
              </w:rPr>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Cholesterol (Sterol)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Direct Allosteric Modulator (PAM)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7TM Bundle; Putative CRAC/CARC motifs; Alters receptor activity, stability, and oligomerization </w:t>
            </w:r>
            <w:r w:rsidDel="00000000" w:rsidR="00000000" w:rsidRPr="00000000">
              <w:rPr>
                <w:color w:val="444746"/>
                <w:sz w:val="40"/>
                <w:szCs w:val="40"/>
                <w:highlight w:val="white"/>
                <w:vertAlign w:val="superscript"/>
                <w:rtl w:val="0"/>
              </w:rPr>
              <w:t xml:space="preserve">13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Modulates </w:t>
            </w:r>
            <w:r w:rsidDel="00000000" w:rsidR="00000000" w:rsidRPr="00000000">
              <w:rPr>
                <w:color w:val="1b1c1d"/>
              </w:rPr>
              <w:drawing>
                <wp:inline distB="114300" distT="114300" distL="114300" distR="114300">
                  <wp:extent cx="635000" cy="63500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set point efficiency; Integrates membrane lipid health with mineral homeostasis </w:t>
            </w:r>
            <w:r w:rsidDel="00000000" w:rsidR="00000000" w:rsidRPr="00000000">
              <w:rPr>
                <w:color w:val="444746"/>
                <w:sz w:val="40"/>
                <w:szCs w:val="40"/>
                <w:highlight w:val="white"/>
                <w:vertAlign w:val="superscript"/>
                <w:rtl w:val="0"/>
              </w:rPr>
              <w:t xml:space="preserve">14</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(Steroid Hormone)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Indirect Transcriptional Regulator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Binds VDR (Nuclear Receptor); VDR acts on CASR promoter via VDREs </w:t>
            </w:r>
            <w:r w:rsidDel="00000000" w:rsidR="00000000" w:rsidRPr="00000000">
              <w:rPr>
                <w:color w:val="444746"/>
                <w:sz w:val="40"/>
                <w:szCs w:val="40"/>
                <w:highlight w:val="white"/>
                <w:vertAlign w:val="superscript"/>
                <w:rtl w:val="0"/>
              </w:rPr>
              <w:t xml:space="preserve">10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Regulates CASR protein quantity; Required for full anti-proliferative/anti-cancer effects in synergy with </w:t>
            </w:r>
            <w:r w:rsidDel="00000000" w:rsidR="00000000" w:rsidRPr="00000000">
              <w:rPr>
                <w:color w:val="1b1c1d"/>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9</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L-Tryptophan (Amino Acid)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Direct Agonist/PAM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Occupies 7TM bundle in the same site as synthetic PAMs (Cinacalcet)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Endogenous PAM, linking dietary protein intake to </w:t>
            </w:r>
            <w:r w:rsidDel="00000000" w:rsidR="00000000" w:rsidRPr="00000000">
              <w:rPr>
                <w:color w:val="1b1c1d"/>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signaling </w:t>
            </w:r>
            <w:r w:rsidDel="00000000" w:rsidR="00000000" w:rsidRPr="00000000">
              <w:rPr>
                <w:color w:val="444746"/>
                <w:sz w:val="40"/>
                <w:szCs w:val="40"/>
                <w:highlight w:val="white"/>
                <w:vertAlign w:val="superscript"/>
                <w:rtl w:val="0"/>
              </w:rPr>
              <w:t xml:space="preserve">3</w:t>
            </w:r>
          </w:p>
        </w:tc>
      </w:tr>
    </w:tbl>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334ycukwlc1" w:id="10"/>
      <w:bookmarkEnd w:id="10"/>
      <w:r w:rsidDel="00000000" w:rsidR="00000000" w:rsidRPr="00000000">
        <w:rPr>
          <w:b w:val="1"/>
          <w:color w:val="1b1c1d"/>
          <w:sz w:val="26"/>
          <w:szCs w:val="26"/>
          <w:rtl w:val="0"/>
        </w:rPr>
        <w:t xml:space="preserve">III.C. Indirect Regulation: Crosstalk with the Vitamin D System</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direct sterol interaction, CASR is functionally integrated with the classical steroid hormone system through Vitamin D signaling. Vitamin </w:t>
      </w:r>
      <w:r w:rsidDel="00000000" w:rsidR="00000000" w:rsidRPr="00000000">
        <w:rPr>
          <w:color w:val="1b1c1d"/>
        </w:rPr>
        <w:drawing>
          <wp:inline distB="114300" distT="114300" distL="114300" distR="114300">
            <wp:extent cx="635000" cy="63500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is synthesized from </w:t>
      </w:r>
      <w:r w:rsidDel="00000000" w:rsidR="00000000" w:rsidRPr="00000000">
        <w:rPr>
          <w:color w:val="1b1c1d"/>
        </w:rPr>
        <w:drawing>
          <wp:inline distB="114300" distT="114300" distL="114300" distR="114300">
            <wp:extent cx="635000" cy="635000"/>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-dehydrocholesterol (a precursor sterol) and metabolized through hydroxylation steps into the active hormonal form, </w:t>
      </w:r>
      <w:r w:rsidDel="00000000" w:rsidR="00000000" w:rsidRPr="00000000">
        <w:rPr>
          <w:color w:val="1b1c1d"/>
        </w:rPr>
        <w:drawing>
          <wp:inline distB="114300" distT="114300" distL="114300" distR="114300">
            <wp:extent cx="635000" cy="63500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active metabolite acts as the primary ligand for the Vitamin D Receptor (VDR), a Nuclear Receptor.</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regulatory relationship is mediated at the transcriptional level. VDR, activated by </w:t>
      </w:r>
      <w:r w:rsidDel="00000000" w:rsidR="00000000" w:rsidRPr="00000000">
        <w:rPr>
          <w:color w:val="1b1c1d"/>
        </w:rPr>
        <w:drawing>
          <wp:inline distB="114300" distT="114300" distL="114300" distR="114300">
            <wp:extent cx="635000" cy="635000"/>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functions as a transcription factor, binding to Vitamin D Response Elements (VDREs) to regulate hundreds of genes.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Crucially, VDR regulates CASR gene expression via regulatory elements within the CASR promoter.</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induces CASR expression, a mechanism important for regulating differentiation and proliferation in tissues such as the colon.</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direct transcriptional regulation forms one component of a crucial feedback loop. The second, and perhaps more profound component, is the functional synergy observed downstream. Molecular evidence suggests that both Vitamin D activity and functional CASR signaling are required synergistically to protect against malignant transformation.</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A key finding is that high CASR expression combined with low VDR levels is associated with lethal cancer progression in prostate tumors, a risk mitigated when VDR expression is high.</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underscores the fact that CASR activity is essential for VDR to exert its full anti-proliferative and tumor-preventive effects in certain cell contexts.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connection between these two systems highlights two distinct regulatory arms governing </w:t>
      </w:r>
      <w:r w:rsidDel="00000000" w:rsidR="00000000" w:rsidRPr="00000000">
        <w:rPr>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sensing: instantaneous activity tuning by membrane sterols (cholesterol, direct allostery) and long-term receptor quantity control by hormonal sterols (</w:t>
      </w:r>
      <w:r w:rsidDel="00000000" w:rsidR="00000000" w:rsidRPr="00000000">
        <w:rPr>
          <w:color w:val="1b1c1d"/>
        </w:rPr>
        <w:drawing>
          <wp:inline distB="114300" distT="114300" distL="114300" distR="114300">
            <wp:extent cx="635000" cy="63500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indirect transcription). The failure of CASR function, such as in patients with inactivating mutations leading to FHH1 or Neonatal Severe Hyperparathyroidism (NSHPT), abrogates the anti-proliferative functions of </w:t>
      </w:r>
      <w:r w:rsidDel="00000000" w:rsidR="00000000" w:rsidRPr="00000000">
        <w:rPr>
          <w:color w:val="1b1c1d"/>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implying that the structural integrity of CASR is required for the full execution of VDR-driven signals.</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sh9n8fsng8c" w:id="11"/>
      <w:bookmarkEnd w:id="11"/>
      <w:r w:rsidDel="00000000" w:rsidR="00000000" w:rsidRPr="00000000">
        <w:rPr>
          <w:b w:val="1"/>
          <w:color w:val="1b1c1d"/>
          <w:sz w:val="34"/>
          <w:szCs w:val="34"/>
          <w:rtl w:val="0"/>
        </w:rPr>
        <w:t xml:space="preserve">IV. Cross-Cutting Overview: Structural Convergence and Shared Signaling Pathways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grouping of CASR, a Family C GPCR, with classical steroid-binding proteins by pLMs is not an accident of sequence homology but reflects a deeper, functional convergence in chemical recognition mechanisms.</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zy3rscosevq" w:id="12"/>
      <w:bookmarkEnd w:id="12"/>
      <w:r w:rsidDel="00000000" w:rsidR="00000000" w:rsidRPr="00000000">
        <w:rPr>
          <w:b w:val="1"/>
          <w:color w:val="1b1c1d"/>
          <w:sz w:val="26"/>
          <w:szCs w:val="26"/>
          <w:rtl w:val="0"/>
        </w:rPr>
        <w:t xml:space="preserve">IV.A. Rationale for Protein Language Model Clustering: Convergent Ligand Recognition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Protein Language Models (pLMs) analyze vast protein sequence databases, learning to predict missing amino acids based on context.</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resulting embeddings capture evolutionary context and physicochemical properties inherent in the sequence, allowing the model to map proteins into functional clusters.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In this case, the pLM identified the sequence context surrounding CASR's sterol-binding pocket as chemically similar to that found in the Ligand Binding Domains (LBDs) of Nuclear Receptors.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Nuclear Receptors (NRs) utilize soluble LBDs that internalize and protect their lipophilic steroid ligands.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CASR, conversely, relies on a 7TM helical bundle embedded within the lipid bilayer to anchor amphipathic molecules like cholesterol.</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Despite these immense structural differences (soluble domain versus transmembrane domain), both pockets must achieve the same fundamental chemical task: stabilizing a large, amphipathic ring structure. This requires a precise sequence context featuring a high density of nonpolar residues (L, V, I) to contact the hydrophobic steroid core and aromatic/charged residues (Y, K, R) to coordinate the polar functional group (like cholesterol's </w:t>
      </w:r>
      <w:r w:rsidDel="00000000" w:rsidR="00000000" w:rsidRPr="00000000">
        <w:rPr>
          <w:color w:val="1b1c1d"/>
        </w:rPr>
        <w:drawing>
          <wp:inline distB="114300" distT="114300" distL="114300" distR="114300">
            <wp:extent cx="635000" cy="63500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The pLM recognized this </w:t>
      </w:r>
      <w:r w:rsidDel="00000000" w:rsidR="00000000" w:rsidRPr="00000000">
        <w:rPr>
          <w:b w:val="1"/>
          <w:color w:val="1b1c1d"/>
          <w:rtl w:val="0"/>
        </w:rPr>
        <w:t xml:space="preserve">physicochemical signature</w:t>
      </w:r>
      <w:r w:rsidDel="00000000" w:rsidR="00000000" w:rsidRPr="00000000">
        <w:rPr>
          <w:color w:val="1b1c1d"/>
          <w:rtl w:val="0"/>
        </w:rPr>
        <w:t xml:space="preserve"> for binding lipophilic ligands, treating the local sequence geometry required for sterol interaction (CRAC/CARC) as functionally equivalent to the sequence demands imposed by classic steroid hormone recognition sites.</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770"/>
        <w:gridCol w:w="2925"/>
        <w:gridCol w:w="2130"/>
        <w:tblGridChange w:id="0">
          <w:tblGrid>
            <w:gridCol w:w="1890"/>
            <w:gridCol w:w="1770"/>
            <w:gridCol w:w="2925"/>
            <w:gridCol w:w="2130"/>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b w:val="1"/>
                <w:color w:val="1b1c1d"/>
                <w:rtl w:val="0"/>
              </w:rPr>
              <w:t xml:space="preserve">Motif/Feature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b w:val="1"/>
                <w:color w:val="1b1c1d"/>
                <w:rtl w:val="0"/>
              </w:rPr>
              <w:t xml:space="preserve">Consensus Sequence (GPCR)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b w:val="1"/>
                <w:color w:val="1b1c1d"/>
                <w:rtl w:val="0"/>
              </w:rPr>
              <w:t xml:space="preserve">Required Residue Type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b w:val="1"/>
                <w:color w:val="1b1c1d"/>
                <w:rtl w:val="0"/>
              </w:rPr>
              <w:t xml:space="preserve">Function in Sterol Interaction</w:t>
            </w:r>
            <w:r w:rsidDel="00000000" w:rsidR="00000000" w:rsidRPr="00000000">
              <w:rPr>
                <w:rtl w:val="0"/>
              </w:rPr>
            </w:r>
          </w:p>
        </w:tc>
      </w:tr>
      <w:tr>
        <w:trPr>
          <w:cantSplit w:val="0"/>
          <w:trHeight w:val="25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CRAC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(L/V)-</w:t>
            </w:r>
            <w:r w:rsidDel="00000000" w:rsidR="00000000" w:rsidRPr="00000000">
              <w:rPr>
                <w:color w:val="1b1c1d"/>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-(Y)-</w:t>
            </w:r>
            <w:r w:rsidDel="00000000" w:rsidR="00000000" w:rsidRPr="00000000">
              <w:rPr>
                <w:color w:val="1b1c1d"/>
              </w:rPr>
              <w:drawing>
                <wp:inline distB="114300" distT="114300" distL="114300" distR="114300">
                  <wp:extent cx="635000" cy="635000"/>
                  <wp:effectExtent b="0" l="0" r="0" t="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-(R/K)</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Hydrophobic (L/V); Aromatic (Y); Charged (R/K)</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Coordinates the cholesterol </w:t>
            </w:r>
            <w:r w:rsidDel="00000000" w:rsidR="00000000" w:rsidRPr="00000000">
              <w:rPr>
                <w:color w:val="1b1c1d"/>
              </w:rPr>
              <w:drawing>
                <wp:inline distB="114300" distT="114300" distL="114300" distR="114300">
                  <wp:extent cx="635000" cy="635000"/>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head group (via Y/R/K) and stabilizes the hydrophobic iso-octyl tail (via L/V) </w:t>
            </w:r>
            <w:r w:rsidDel="00000000" w:rsidR="00000000" w:rsidRPr="00000000">
              <w:rPr>
                <w:color w:val="444746"/>
                <w:sz w:val="40"/>
                <w:szCs w:val="40"/>
                <w:highlight w:val="white"/>
                <w:vertAlign w:val="superscript"/>
                <w:rtl w:val="0"/>
              </w:rPr>
              <w:t xml:space="preserve">17</w:t>
            </w:r>
          </w:p>
        </w:tc>
      </w:tr>
      <w:tr>
        <w:trPr>
          <w:cantSplit w:val="0"/>
          <w:trHeight w:val="303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CARC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(R/K)-</w:t>
            </w:r>
            <w:r w:rsidDel="00000000" w:rsidR="00000000" w:rsidRPr="00000000">
              <w:rPr>
                <w:color w:val="1b1c1d"/>
              </w:rPr>
              <w:drawing>
                <wp:inline distB="114300" distT="114300" distL="114300" distR="114300">
                  <wp:extent cx="635000" cy="63500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-(Y/F)-</w:t>
            </w:r>
            <w:r w:rsidDel="00000000" w:rsidR="00000000" w:rsidRPr="00000000">
              <w:rPr>
                <w:color w:val="1b1c1d"/>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-(L/V)</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Charged (R/K); Aromatic/Hydrophobic (Y/F); Hydrophobic (L/V)</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Reverse orientation of CRAC; Facilitates hydrogen bonding and </w:t>
            </w:r>
            <w:r w:rsidDel="00000000" w:rsidR="00000000" w:rsidRPr="00000000">
              <w:rPr>
                <w:color w:val="1b1c1d"/>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stacking interactions with the sterane core </w:t>
            </w:r>
            <w:r w:rsidDel="00000000" w:rsidR="00000000" w:rsidRPr="00000000">
              <w:rPr>
                <w:color w:val="444746"/>
                <w:sz w:val="40"/>
                <w:szCs w:val="40"/>
                <w:highlight w:val="white"/>
                <w:vertAlign w:val="superscript"/>
                <w:rtl w:val="0"/>
              </w:rPr>
              <w:t xml:space="preserve">17</w:t>
            </w:r>
          </w:p>
        </w:tc>
      </w:tr>
    </w:tbl>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idaatogppan" w:id="13"/>
      <w:bookmarkEnd w:id="13"/>
      <w:r w:rsidDel="00000000" w:rsidR="00000000" w:rsidRPr="00000000">
        <w:rPr>
          <w:b w:val="1"/>
          <w:color w:val="1b1c1d"/>
          <w:sz w:val="26"/>
          <w:szCs w:val="26"/>
          <w:rtl w:val="0"/>
        </w:rPr>
        <w:t xml:space="preserve">IV.B. Shared Functional Motifs and Structural Analogs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sequences of sterol and steroid binding sites are chemically conserved. Nuclear Receptors rely on conserved LXXLL motifs to recruit co-activator proteins following hormone binding.</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Similarly, CASR utilizes highly specific CRAC and CARC motifs within its transmembrane region to anchor cholesterol.</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Although these motifs are structurally distinct (LXXLL is typically part of a soluble domain, CRAC/CARC is part of an </w:t>
      </w:r>
      <w:r w:rsidDel="00000000" w:rsidR="00000000" w:rsidRPr="00000000">
        <w:rPr>
          <w:color w:val="1b1c1d"/>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-helix within a membrane), they both represent sophisticated recognition systems designed to recruit or stabilize large molecules using a specific arrangement of hydrophobic and polar chemistries. This indicates that the pLM clustering acts as a predictive structural tool, classifying membrane proteins that utilize deep, hydrophobic binding pockets for lipid-based or large allosteric small molecules based on the local chemical properties of the sequence, rather than the global tertiary fold.</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r93suok7r6u" w:id="14"/>
      <w:bookmarkEnd w:id="14"/>
      <w:r w:rsidDel="00000000" w:rsidR="00000000" w:rsidRPr="00000000">
        <w:rPr>
          <w:b w:val="1"/>
          <w:color w:val="1b1c1d"/>
          <w:sz w:val="26"/>
          <w:szCs w:val="26"/>
          <w:rtl w:val="0"/>
        </w:rPr>
        <w:t xml:space="preserve">IV.C. Integrative Signaling Pathways: CASR as a VDR Permissive Factor</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most critical functional convergence occurs at the signaling pathway intersection between CASR and VDR. The </w:t>
      </w:r>
      <w:r w:rsidDel="00000000" w:rsidR="00000000" w:rsidRPr="00000000">
        <w:rPr>
          <w:color w:val="1b1c1d"/>
        </w:rPr>
        <w:drawing>
          <wp:inline distB="114300" distT="114300" distL="114300" distR="114300">
            <wp:extent cx="635000" cy="635000"/>
            <wp:effectExtent b="0" l="0" r="0" t="0"/>
            <wp:docPr id="48"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complex regulates CASR transcription, thereby modulating the total quantity of receptor protein available for sensing </w:t>
      </w:r>
      <w:r w:rsidDel="00000000" w:rsidR="00000000" w:rsidRPr="00000000">
        <w:rPr>
          <w:color w:val="1b1c1d"/>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transcriptional feedback ensures long-term systemic control of the calcium set point.</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However, the interdependence is bidirectional. CASR activity itself is required to execute certain VDR-mediated biological effects, specifically anti-proliferative signaling.</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A loss-of-function CASR mutant, such as those found in FHH1 patients, effectively abrogates the tumor-preventive effects of </w:t>
      </w:r>
      <w:r w:rsidDel="00000000" w:rsidR="00000000" w:rsidRPr="00000000">
        <w:rPr>
          <w:color w:val="1b1c1d"/>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demonstrating that the integrity of CASR-mediated calcium signaling is a necessary prerequisite—a permissive factor—for VDR's full physiological function in certain contexts.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 dysregulation of this synergistic pathway is critical in non-calciotropic disorders, such as cancer (prostate, colorectal), where the combined action of both calcium status and vitamin D status determines pathological progression.</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dh6546o24y4" w:id="15"/>
      <w:bookmarkEnd w:id="15"/>
      <w:r w:rsidDel="00000000" w:rsidR="00000000" w:rsidRPr="00000000">
        <w:rPr>
          <w:b w:val="1"/>
          <w:color w:val="1b1c1d"/>
          <w:sz w:val="34"/>
          <w:szCs w:val="34"/>
          <w:rtl w:val="0"/>
        </w:rPr>
        <w:t xml:space="preserve">V. Clinical Implications and Future Directions</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oe8h9jn9e9u" w:id="16"/>
      <w:bookmarkEnd w:id="16"/>
      <w:r w:rsidDel="00000000" w:rsidR="00000000" w:rsidRPr="00000000">
        <w:rPr>
          <w:b w:val="1"/>
          <w:color w:val="1b1c1d"/>
          <w:sz w:val="26"/>
          <w:szCs w:val="26"/>
          <w:rtl w:val="0"/>
        </w:rPr>
        <w:t xml:space="preserve">V.A. CASR Pathophysiology and Allosteric Modulation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Dysfunction of CASR, caused by loss-of-function mutations (FHH, leading to a higher calcium set point) or gain-of-function mutations (ADH, leading to hypocalcemia), directly impacts mineral homeostasis.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These mutations often disrupt the dimer interface, compromising the receptor’s ability to stabilize the active state.</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presence of a specific, critical sterol interaction site in the 7TM bundle introduces a crucial consideration for pharmacology. Synthetic calcimimetics, such as cinacalcet, act as Positive Allosteric Modulators (PAMs) by occupying this hydrophobic cavity.</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Because endogenous cholesterol acts similarly to modulate GPCR function </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precise structural disruption caused by FHH or ADH mutations may alter the geometry and affinity of the 7TM pocket for both cholesterol and therapeutic PAMs. This implies that the effectiveness of CASR-targeting drugs may be context-dependent, relying heavily on the local membrane micro-viscosity and sterol composition.</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Understanding the exact molecular docking mechanism of cholesterol within the putative CASR CRAC/CARC sites is essential for designing next-generation PAMs that provide optimal, membrane-context-dependent regulation.</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6gni3m1sw2r" w:id="17"/>
      <w:bookmarkEnd w:id="17"/>
      <w:r w:rsidDel="00000000" w:rsidR="00000000" w:rsidRPr="00000000">
        <w:rPr>
          <w:b w:val="1"/>
          <w:color w:val="1b1c1d"/>
          <w:sz w:val="26"/>
          <w:szCs w:val="26"/>
          <w:rtl w:val="0"/>
        </w:rPr>
        <w:t xml:space="preserve">V.B. Conclusions and Future Research Directions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investigation into the Calcium-Sensing Receptor (CASR) confirms its dual regulatory nature: it is a canonical Family C GPCR essential for ionic homeostasis, yet its deep, integral membrane pocket for sterol/small molecule allosteric modulation shares a fundamental physicochemical sequence pattern with classical soluble steroid receptor Ligand Binding Domains. This structural convergence is the basis for its computational clustering as a steroid-binding protein.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clinical significance of this convergence lies in the observed synergistic signaling pathway: CASR is both regulated by the VDR/Vitamin D system and acts as a required functional component for VDR's anti-proliferative effects.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interaction suggests a tight, necessary metabolic and transcriptional feedback loop.</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must prioritize the high-resolution structural determination of CASR specifically bound to cholesterol or related sterols to definitively map the CRAC/CARC binding sites within the 7TM domain. Furthermore, translational studies should focus on how systemic changes in lipid metabolism or membrane raft architecture directly alter the physiological calcium set point mediated by CASR </w:t>
      </w:r>
      <w:r w:rsidDel="00000000" w:rsidR="00000000" w:rsidRPr="00000000">
        <w:rPr>
          <w:i w:val="1"/>
          <w:color w:val="1b1c1d"/>
          <w:rtl w:val="0"/>
        </w:rPr>
        <w:t xml:space="preserve">in vivo</w:t>
      </w:r>
      <w:r w:rsidDel="00000000" w:rsidR="00000000" w:rsidRPr="00000000">
        <w:rPr>
          <w:color w:val="1b1c1d"/>
          <w:rtl w:val="0"/>
        </w:rPr>
        <w:t xml:space="preserve">. Finally, the identified CASR/VDR synergy pathway provides a critical target for novel therapeutic strategies, potentially leveraging calcimimetics or sterol mimetics to enhance VDR efficacy in treating cancers where mineral and hormonal signaling are frequently compromised.</w:t>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