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cnhnpjl771j4" w:id="0"/>
      <w:bookmarkEnd w:id="0"/>
      <w:r w:rsidDel="00000000" w:rsidR="00000000" w:rsidRPr="00000000">
        <w:rPr>
          <w:b w:val="1"/>
          <w:color w:val="1b1c1d"/>
          <w:sz w:val="46"/>
          <w:szCs w:val="46"/>
          <w:rtl w:val="0"/>
        </w:rPr>
        <w:t xml:space="preserve">The Multi-Compartmental Network of Sterol and Steroid Homeostasis: SLC22A24, StARD1, and NR5A1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6zcpheeok4i" w:id="1"/>
      <w:bookmarkEnd w:id="1"/>
      <w:r w:rsidDel="00000000" w:rsidR="00000000" w:rsidRPr="00000000">
        <w:rPr>
          <w:b w:val="1"/>
          <w:color w:val="1b1c1d"/>
          <w:sz w:val="34"/>
          <w:szCs w:val="34"/>
          <w:rtl w:val="0"/>
        </w:rPr>
        <w:t xml:space="preserve">I. Executive Summary: The Integrated System of Steroid Homeostasis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Steroidogenesis is a highly conserved and tightly regulated biological process essential for reproduction, metabolism, and stress response. The production and systemic maintenance of steroid hormones are governed by a network of mechanistically diverse proteins operating across distinct subcellular and cellular compartments. This report examines three key, yet disparate, proteins—Steroidogenic Factor 1 (NR5A1), Steroidogenic Acute Regulatory protein (StARD1), and Solute Carrier 22A24 (SLC22A24)—which collectively define the systemic flux of sterols and steroid metabolites.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three proteins represent the integrated pillars of steroid control. NR5A1 acts as the nuclear transcriptional command center, governing the expression of the steroidogenic machinery. StARD1 serves as the crucial mitochondrial effector, facilitating the acute, rate-limiting supply of the cholesterol precursor. Finally, SLC22A24 functions as a peripheral clearance mechanism, modulating the systemic bioavailability of conjugated steroid metabolites via renal transport.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relationships between these proteins are hierarchical and sequential: NR5A1 regulates $STARD1$, which enables synthesis, and SLC22A24 regulates the ultimate fate of the synthesized products. The integration of this phospholipid-regulated nuclear receptor, cholesterol mitochondrial shuttle, and conjugated steroid renal antiporter is fundamental to maintaining sterol flux and preventing devastating endocrine pathologies, confirming that effective steroid homeostasis relies on the seamless operation of this multi-compartmental network.</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p1ayek97jk0" w:id="2"/>
      <w:bookmarkEnd w:id="2"/>
      <w:r w:rsidDel="00000000" w:rsidR="00000000" w:rsidRPr="00000000">
        <w:rPr>
          <w:b w:val="1"/>
          <w:color w:val="1b1c1d"/>
          <w:sz w:val="34"/>
          <w:szCs w:val="34"/>
          <w:rtl w:val="0"/>
        </w:rPr>
        <w:t xml:space="preserve">II. Molecular Architecture and Foundational Biology</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zc6izml8ncb" w:id="3"/>
      <w:bookmarkEnd w:id="3"/>
      <w:r w:rsidDel="00000000" w:rsidR="00000000" w:rsidRPr="00000000">
        <w:rPr>
          <w:b w:val="1"/>
          <w:color w:val="1b1c1d"/>
          <w:sz w:val="26"/>
          <w:szCs w:val="26"/>
          <w:rtl w:val="0"/>
        </w:rPr>
        <w:t xml:space="preserve">A. Steroidogenic Factor 1 (NR5A1/SF-1): The Nuclear Master Regulator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NR5A1, also known as Steroidogenic Factor 1 (SF-1) and Ad4BP, is a highly critical transcriptional regulator belonging to the nuclear receptor superfamily.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Specifically classified as an Orphan Nuclear Receptor, its designation reflects the historical difficulty in definitively identifying its endogenous activating ligand.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NR5A1 functions as a pivotal regulator of the entire hypothalamic-pituitary-steroidogenic axis, governing genes involved in cholesterol mobilization, synthesis, and hormone production.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z2c5hwuoeel" w:id="4"/>
      <w:bookmarkEnd w:id="4"/>
      <w:r w:rsidDel="00000000" w:rsidR="00000000" w:rsidRPr="00000000">
        <w:rPr>
          <w:b w:val="1"/>
          <w:color w:val="1b1c1d"/>
          <w:sz w:val="22"/>
          <w:szCs w:val="22"/>
          <w:rtl w:val="0"/>
        </w:rPr>
        <w:t xml:space="preserve">Structure and Domain Organization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 adheres to the canonical structure of nuclear receptors.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 contains a highly conserved DNA-Binding Domain (DBD) featuring two C4 zinc finger motifs, essential for sequence-specific binding to target promoters.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is linked to the Ligand Binding Domain (LBD) by an unstructured hinge region, which is crucial for stabilizing LBD interactions and is a common site for post-translational modification (PTM).</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LBD itself consists of approximately 12 helices and mediates ligand binding, receptor dimerization, and recruitment of transcriptional co-activators through the Activation Function 2 (AF-2) element located at the C-terminus.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v2alqlx34sz" w:id="5"/>
      <w:bookmarkEnd w:id="5"/>
      <w:r w:rsidDel="00000000" w:rsidR="00000000" w:rsidRPr="00000000">
        <w:rPr>
          <w:b w:val="1"/>
          <w:color w:val="1b1c1d"/>
          <w:sz w:val="22"/>
          <w:szCs w:val="22"/>
          <w:rtl w:val="0"/>
        </w:rPr>
        <w:t xml:space="preserve">Physiological Expression and Scope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NR5A1 expression is highly specific, concentrated primarily within steroidogenic tissues, including the adrenal cortex, the gonads (testis and ovary), and regulatory centers like the pituitary and hypothalamus.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development, it is indispensable for the genesis of the adrenal gland and for sexual differentiation. Post-natally, it modulates essential functions such as Leydig cell activity and follicular development in the ovary.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Its regulatory scope extends to numerous key enzymes, including $STARD1$, $CYP11A1$ (P450scc), and $\text{3}\beta$-hydroxysteroid dehydrogenase ($\text{3}\beta\text{HSD}$).</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z70bwmnvgs4" w:id="6"/>
      <w:bookmarkEnd w:id="6"/>
      <w:r w:rsidDel="00000000" w:rsidR="00000000" w:rsidRPr="00000000">
        <w:rPr>
          <w:b w:val="1"/>
          <w:color w:val="1b1c1d"/>
          <w:sz w:val="26"/>
          <w:szCs w:val="26"/>
          <w:rtl w:val="0"/>
        </w:rPr>
        <w:t xml:space="preserve">B. Steroidogenic Acute Regulatory Protein (StARD1): The Mitochondrial Bottleneck</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StARD1, also known as StAR, is the name-giving member (StarD1) of the START (Steroidogenic Acute Regulatory-related Lipid Transfer) domain family, classified under START Group 1.</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qldh52sbaik" w:id="7"/>
      <w:bookmarkEnd w:id="7"/>
      <w:r w:rsidDel="00000000" w:rsidR="00000000" w:rsidRPr="00000000">
        <w:rPr>
          <w:b w:val="1"/>
          <w:color w:val="1b1c1d"/>
          <w:sz w:val="22"/>
          <w:szCs w:val="22"/>
          <w:rtl w:val="0"/>
        </w:rPr>
        <w:t xml:space="preserve">Localization and Acute Role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StARD1 is crucial for acute steroidogenesis and is localized to the mitochondria of steroidogenic cells.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Its role is fundamentally transient and acutely regulated; it is rapidly synthesized and subsequently degraded in response to trophic hormone stimulation (e.g., ACTH or gonadotropins).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function of StARD1 is to facilitate the transfer of cholesterol from the Outer Mitochondrial Membrane (OMM) across the Intermembrane Space (IMS) to the Inner Mitochondrial Membrane (IMM).</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transport step is kinetically the rate-limiting event for all subsequent steroid hormone biosynthesis, as cholesterol must reach the P450 side-chain cleavage enzyme ($CYP11A1$) on the IMM.</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95tf725ilio" w:id="8"/>
      <w:bookmarkEnd w:id="8"/>
      <w:r w:rsidDel="00000000" w:rsidR="00000000" w:rsidRPr="00000000">
        <w:rPr>
          <w:b w:val="1"/>
          <w:color w:val="1b1c1d"/>
          <w:sz w:val="22"/>
          <w:szCs w:val="22"/>
          <w:rtl w:val="0"/>
        </w:rPr>
        <w:t xml:space="preserve">Molecular Fate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N-terminal mitochondrial targeting sequence of StARD1 allows it to enter the mitochondria. Its function is tightly controlled and terminated via rapid degradation. New evidence indicates that StARD1, having operated as an Intermembrane Space shuttle, is subsequently targeted for destruction through mitophagy.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rapid cycling ensures that steroid synthesis can be efficiently activated and deactivated in pulsatile endocrine responses.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6rafo2pwkc0" w:id="9"/>
      <w:bookmarkEnd w:id="9"/>
      <w:r w:rsidDel="00000000" w:rsidR="00000000" w:rsidRPr="00000000">
        <w:rPr>
          <w:b w:val="1"/>
          <w:color w:val="1b1c1d"/>
          <w:sz w:val="26"/>
          <w:szCs w:val="26"/>
          <w:rtl w:val="0"/>
        </w:rPr>
        <w:t xml:space="preserve">C. Solute Carrier SLC22A24: The Systemic Clearance Mechanism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SLC22A24 (Solute carrier family 22 member 24) is a transmembrane protein belonging to the large SLC22 family of organic ion transporters, which regulate the movement of organic ions across cell membranes.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spze1voo7j" w:id="10"/>
      <w:bookmarkEnd w:id="10"/>
      <w:r w:rsidDel="00000000" w:rsidR="00000000" w:rsidRPr="00000000">
        <w:rPr>
          <w:b w:val="1"/>
          <w:color w:val="1b1c1d"/>
          <w:sz w:val="22"/>
          <w:szCs w:val="22"/>
          <w:rtl w:val="0"/>
        </w:rPr>
        <w:t xml:space="preserve">Structural and Topological Features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Consistent with the SLC22 family, SLC22A24 exhibits a similar membrane topology comprising 12 $\alpha$-helical Transmembrane Domains (TMDs).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Functional stability and transport activity are linked to specific conserved areas, including a large glycosylated extracellular loop between TMD1 and TMD2, and a significant intracellular loop between TMD6 and TMD7, which contains crucial phosphorylation sites.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Functionally, it is identified as a renal transmembrane organic anion/dicarboxylate exchanger.</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xg9opg0ie4f" w:id="11"/>
      <w:bookmarkEnd w:id="11"/>
      <w:r w:rsidDel="00000000" w:rsidR="00000000" w:rsidRPr="00000000">
        <w:rPr>
          <w:b w:val="1"/>
          <w:color w:val="1b1c1d"/>
          <w:sz w:val="22"/>
          <w:szCs w:val="22"/>
          <w:rtl w:val="0"/>
        </w:rPr>
        <w:t xml:space="preserve">Tissue Localization and Specialization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SLC22A24 displays a highly specific tissue expression profile, localized primarily to the kidney. Within the nephron, its expression is restricted to the apical membrane of segment 3 of the proximal tubule.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Phylogenetic analysis indicates that orthologs of this transporter are found predominantly in higher-order primates, suggesting a specialized and more recently evolved function in systemic steroid homeostasis not present in many other mammalian species.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Summary of Key Steroid-Associated Proteins (NR5A1, StARD1, SLC22A24)</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7.2173913043478"/>
        <w:gridCol w:w="1939.8260869565217"/>
        <w:gridCol w:w="1600.695652173913"/>
        <w:gridCol w:w="1817.7391304347827"/>
        <w:gridCol w:w="2604.5217391304345"/>
        <w:tblGridChange w:id="0">
          <w:tblGrid>
            <w:gridCol w:w="1397.2173913043478"/>
            <w:gridCol w:w="1939.8260869565217"/>
            <w:gridCol w:w="1600.695652173913"/>
            <w:gridCol w:w="1817.7391304347827"/>
            <w:gridCol w:w="2604.521739130434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Protein (Gene)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Functional Class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Localization (Primary)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Core Biological Action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Master Regulator</w:t>
            </w:r>
            <w:r w:rsidDel="00000000" w:rsidR="00000000" w:rsidRPr="00000000">
              <w:rPr>
                <w:rtl w:val="0"/>
              </w:rPr>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NR5A1 (SF-1)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Orphan Nuclear Receptor/TF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Nucleus (Adrenal, Gonads, Pituitary)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Transcriptional regulation of steroidogenic machinery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Phospholipids/PKA/Co-factors </w:t>
            </w:r>
            <w:r w:rsidDel="00000000" w:rsidR="00000000" w:rsidRPr="00000000">
              <w:rPr>
                <w:color w:val="444746"/>
                <w:sz w:val="40"/>
                <w:szCs w:val="40"/>
                <w:highlight w:val="white"/>
                <w:vertAlign w:val="superscript"/>
                <w:rtl w:val="0"/>
              </w:rPr>
              <w:t xml:space="preserve">3</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StARD1 (StAR)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Lipid Transfer Protein (START Group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Mitochondria (IMS)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Acute transfer of Cholesterol (OMM to IMM)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NR5A1 (Transcriptional), cAMP/PKA (Activity) </w:t>
            </w:r>
            <w:r w:rsidDel="00000000" w:rsidR="00000000" w:rsidRPr="00000000">
              <w:rPr>
                <w:color w:val="444746"/>
                <w:sz w:val="40"/>
                <w:szCs w:val="40"/>
                <w:highlight w:val="white"/>
                <w:vertAlign w:val="superscript"/>
                <w:rtl w:val="0"/>
              </w:rPr>
              <w:t xml:space="preserve">6</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SLC22A24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Transmembrane Transporter (OAT)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Renal Proximal Tubule (S3)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Reabsorption of conjugated organic anions/steroids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Dicarboxylate gradient (Transtimulation) </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uk7a33poh0v" w:id="12"/>
      <w:bookmarkEnd w:id="12"/>
      <w:r w:rsidDel="00000000" w:rsidR="00000000" w:rsidRPr="00000000">
        <w:rPr>
          <w:b w:val="1"/>
          <w:color w:val="1b1c1d"/>
          <w:sz w:val="34"/>
          <w:szCs w:val="34"/>
          <w:rtl w:val="0"/>
        </w:rPr>
        <w:t xml:space="preserve">III. Detailed Mechanisms of Sterol and Steroid Interactions</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84x7hvmt76t" w:id="13"/>
      <w:bookmarkEnd w:id="13"/>
      <w:r w:rsidDel="00000000" w:rsidR="00000000" w:rsidRPr="00000000">
        <w:rPr>
          <w:b w:val="1"/>
          <w:color w:val="1b1c1d"/>
          <w:sz w:val="26"/>
          <w:szCs w:val="26"/>
          <w:rtl w:val="0"/>
        </w:rPr>
        <w:t xml:space="preserve">A. NR5A1: Ligand-Binding Dynamics and Transcriptional Activation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NR5A1's classification as an orphan nuclear receptor stems from the initial lack of an identified classic steroid ligand, relying primarily on complex interactions with cofactors for activity.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However, structural and biochemical evidence has defined a unique mechanism of ligand interaction, demonstrating that NR5A1 binds specific phospholipids, such as phosphatidylglycerol (PG) and phosphatidylethanol (PE), within the hydrophobic pocket of its LBD.</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ujye1s4a4ba" w:id="14"/>
      <w:bookmarkEnd w:id="14"/>
      <w:r w:rsidDel="00000000" w:rsidR="00000000" w:rsidRPr="00000000">
        <w:rPr>
          <w:b w:val="1"/>
          <w:color w:val="1b1c1d"/>
          <w:sz w:val="22"/>
          <w:szCs w:val="22"/>
          <w:rtl w:val="0"/>
        </w:rPr>
        <w:t xml:space="preserve">Phospholipid Interaction and Mechanism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interaction of NR5A1 with phospholipids is characterized by the deep burial of the hydrophobic acyl chains within the LBD’s core, which stabilizes the receptor structure.</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Notably, the polar headgroups of the lipid molecules remain solvent-exposed on the exterior surface of the protein.</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binding event induces a canonical conformational shift in the LBD, enabling the receptor to interact with and recruit transcriptional co-regulator proteins, thereby activating target gene expression.</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mechanism is complex and integrated with post-translational regulation; for instance, phosphorylation of Serine 203 by CDK7 is reported to be reduced if mutations prevent phospholipid binding, suggesting a close interplay between ligand occupancy and regulatory PTMs.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Given that NR5A1 is the master transcriptional switch for a process (steroidogenesis) that demands colossal metabolic investment, the selection of a structural lipid (phospholipid) rather than a circulating hormone as its primary activating ligand is highly significant. By binding to components of the cell membrane, NR5A1 effectively acts as a "cell-state sensor." Its activation signals not just an external endocrine stimulus, but also an internal confirmation of adequate structural lipid availability and metabolic turnover within the cell. This prerequisite ensures the steroidogenic cell is metabolically primed before initiating the energy-intensive cascade involving the upregulation and function of proteins like StARD1.</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Pathologies associated with NR5A1 dysfunction, such as adrenocortical carcinoma, may therefore reflect a fundamental dysregulation in internal, rather than purely external, lipid signaling pathways.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czhhr4tg5qf" w:id="15"/>
      <w:bookmarkEnd w:id="15"/>
      <w:r w:rsidDel="00000000" w:rsidR="00000000" w:rsidRPr="00000000">
        <w:rPr>
          <w:b w:val="1"/>
          <w:color w:val="1b1c1d"/>
          <w:sz w:val="26"/>
          <w:szCs w:val="26"/>
          <w:rtl w:val="0"/>
        </w:rPr>
        <w:t xml:space="preserve">B. StARD1: Cholesterol Trafficking via the START Domain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function of StARD1 is the non-vesicular transfer of cholesterol, the essential precursor for all steroid hormones.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s2ou2cqmm50" w:id="16"/>
      <w:bookmarkEnd w:id="16"/>
      <w:r w:rsidDel="00000000" w:rsidR="00000000" w:rsidRPr="00000000">
        <w:rPr>
          <w:b w:val="1"/>
          <w:color w:val="1b1c1d"/>
          <w:sz w:val="22"/>
          <w:szCs w:val="22"/>
          <w:rtl w:val="0"/>
        </w:rPr>
        <w:t xml:space="preserve">Structural Features and Transport Mechanism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functional unit is the START domain, which forms a stable, globular structure.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domain contains an internal cavity perfectly optimized for accommodating and protecting a single cholesterol molecule during transport.</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Ligand binding specificity and loading dynamics are dictated by specific residues lining the cleft, particularly within the C-terminal helix region. The functional importance of this area is underscored by the fact that certain mutations, such as in the conserved residue Asn148, directly compromise lipid binding capabilities and lead to the severe pathology of lipoid CAH.</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precise mechanism of cholesterol trafficking has recently been clarified. StARD1 operates as a soluble cholesterol shuttle within the mitochondrial Intermembrane Space (IMS).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Functionality requires the protein to transiently dock onto the OMM and IMM surfaces, utilizing specific hydrophobic residues in Loops 7 and 11 to extract and deliver cholesterol.</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revised model resolves long-standing conflicts and supersedes earlier hypotheses that required the protein to fully unfold into a 'molten globule' intermediate for lipid transfer to occur.</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ki4ad4kblk8" w:id="17"/>
      <w:bookmarkEnd w:id="17"/>
      <w:r w:rsidDel="00000000" w:rsidR="00000000" w:rsidRPr="00000000">
        <w:rPr>
          <w:b w:val="1"/>
          <w:color w:val="1b1c1d"/>
          <w:sz w:val="22"/>
          <w:szCs w:val="22"/>
          <w:rtl w:val="0"/>
        </w:rPr>
        <w:t xml:space="preserve">Acute Regulatory Control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acute phase of steroidogenesis is contingent upon PTMs, primarily phosphorylation mediated by the cAMP/protein kinase A (PKA) pathway.</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StARD1 possesses two consensus phosphorylation sites: Ser57 and Ser195. Ser195 phosphorylation is strongly correlated with maximizing steroidogenic activity in model systems.</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Ser57 phosphorylation, however, regulates the interaction with 14-3-3 proteins, thereby influencing the critical steps of mitochondrial import and processing.</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robust control system governing StARD1 is necessary because steroidogenesis is typically a pulsatile process. The immediate </w:t>
      </w:r>
      <w:r w:rsidDel="00000000" w:rsidR="00000000" w:rsidRPr="00000000">
        <w:rPr>
          <w:i w:val="1"/>
          <w:color w:val="1b1c1d"/>
          <w:rtl w:val="0"/>
        </w:rPr>
        <w:t xml:space="preserve">de novo</w:t>
      </w:r>
      <w:r w:rsidDel="00000000" w:rsidR="00000000" w:rsidRPr="00000000">
        <w:rPr>
          <w:color w:val="1b1c1d"/>
          <w:rtl w:val="0"/>
        </w:rPr>
        <w:t xml:space="preserve"> synthesis of StARD1 allows the cell to "start colossal cholesterol movement," while the rapid termination mechanism ensures that this flux is swiftly halted when the signal dissipates.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active degradation of StARD1 via mitophagy serves as an ultra-fast, post-translational control mechanism, complementing transcriptional downregulation.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rapid clearance prevents inappropriate, continuous cholesterol delivery to the IMM, ensuring precise temporal control over hormone production.</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g7twy67p57i" w:id="18"/>
      <w:bookmarkEnd w:id="18"/>
      <w:r w:rsidDel="00000000" w:rsidR="00000000" w:rsidRPr="00000000">
        <w:rPr>
          <w:b w:val="1"/>
          <w:color w:val="1b1c1d"/>
          <w:sz w:val="26"/>
          <w:szCs w:val="26"/>
          <w:rtl w:val="0"/>
        </w:rPr>
        <w:t xml:space="preserve">C. SLC22A24: Substrate Specificity and Transport Kinetics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SLC22A24’s biological role is dedicated to the reabsorption of organic anions, with a distinct preference for conjugated steroids.</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ad6kftdk9ia" w:id="19"/>
      <w:bookmarkEnd w:id="19"/>
      <w:r w:rsidDel="00000000" w:rsidR="00000000" w:rsidRPr="00000000">
        <w:rPr>
          <w:b w:val="1"/>
          <w:color w:val="1b1c1d"/>
          <w:sz w:val="22"/>
          <w:szCs w:val="22"/>
          <w:rtl w:val="0"/>
        </w:rPr>
        <w:t xml:space="preserve">Anionic Substrate Specificity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SLC22A24 is specific for anionic forms of steroids, which are typically created through conjugation (sulfation or glucuronidation) pathways aimed at detoxification and elimination.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Key substrates include estrone 3-sulfate, estradiol-17$\beta$-D-glucuronide, and androstanediol glucuronide.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transporter also accommodates bile acids such as taurocholate and glycocholate.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kbg4mayshkl" w:id="20"/>
      <w:bookmarkEnd w:id="20"/>
      <w:r w:rsidDel="00000000" w:rsidR="00000000" w:rsidRPr="00000000">
        <w:rPr>
          <w:b w:val="1"/>
          <w:color w:val="1b1c1d"/>
          <w:sz w:val="22"/>
          <w:szCs w:val="22"/>
          <w:rtl w:val="0"/>
        </w:rPr>
        <w:t xml:space="preserve">Mechanism of Transport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SLC22A24 functions as a secondary active antiporter, or exchanger, localized on the apical membrane of the proximal tubule.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uptake of the anionic steroid conjugate from the renal filtrate is driven by the counter-movement (outward gradient) of dicarboxylates, such as glutarate or succinate, a process known as transtimulation.</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Mechanistic studies indicate that the uptake of steroid conjugates, like estrone sulfate, is sensitive to the presence of chloride ions but is independent of $\text{Na}^+$ ions.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 of SLC22A24 presents a unique physiological scenario: it is dedicated to the reabsorption of polar, conjugated steroid metabolites in the kidney.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process fundamentally contradicts the traditional view that conjugation pathways function solely to create polar molecules for rapid renal elimination.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existence of this highly specialized transporter, particularly in higher primates, suggests an evolved mechanism for steroid conservation.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SLC22A24 acts as a hormonal buffer, recycling valuable, complex steroid metabolites and their inactive forms back into circulation, thereby influencing the overall systemic half-life and concentration of these compounds and playing a crucial role in long-term metabolic stability.</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Steroid/Lipid Interaction Specificity and Mechanism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4517766497463"/>
        <w:gridCol w:w="1864.8730964467006"/>
        <w:gridCol w:w="1389.746192893401"/>
        <w:gridCol w:w="1698.5786802030457"/>
        <w:gridCol w:w="1603.5532994923858"/>
        <w:gridCol w:w="1579.796954314721"/>
        <w:tblGridChange w:id="0">
          <w:tblGrid>
            <w:gridCol w:w="1223.4517766497463"/>
            <w:gridCol w:w="1864.8730964467006"/>
            <w:gridCol w:w="1389.746192893401"/>
            <w:gridCol w:w="1698.5786802030457"/>
            <w:gridCol w:w="1603.5532994923858"/>
            <w:gridCol w:w="1579.796954314721"/>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Primary Endogenous Ligand/Substrate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Chemical Structure Class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Binding Domain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Mechanism of Action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Key Pathological Correlation</w:t>
            </w:r>
            <w:r w:rsidDel="00000000" w:rsidR="00000000" w:rsidRPr="00000000">
              <w:rPr>
                <w:rtl w:val="0"/>
              </w:rPr>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NR5A1 (SF-1)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Phospholipids (PG, 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Lipid Structural Components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Ligand Binding Domain (LBD)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Conformational change facilitating co-factor recruitment and transcription </w:t>
            </w:r>
            <w:r w:rsidDel="00000000" w:rsidR="00000000" w:rsidRPr="00000000">
              <w:rPr>
                <w:color w:val="444746"/>
                <w:sz w:val="40"/>
                <w:szCs w:val="40"/>
                <w:highlight w:val="white"/>
                <w:vertAlign w:val="superscript"/>
                <w:rtl w:val="0"/>
              </w:rPr>
              <w:t xml:space="preserve">25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DSD, Adrenal Insufficiency, POI </w:t>
            </w:r>
            <w:r w:rsidDel="00000000" w:rsidR="00000000" w:rsidRPr="00000000">
              <w:rPr>
                <w:color w:val="444746"/>
                <w:sz w:val="40"/>
                <w:szCs w:val="40"/>
                <w:highlight w:val="white"/>
                <w:vertAlign w:val="superscript"/>
                <w:rtl w:val="0"/>
              </w:rPr>
              <w:t xml:space="preserve">6</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StARD1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Cholesterol (CHOL)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Sterol (Precursor)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START Domain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Soluble shuttle transport within the IMS, transient membrane docking </w:t>
            </w:r>
            <w:r w:rsidDel="00000000" w:rsidR="00000000" w:rsidRPr="00000000">
              <w:rPr>
                <w:color w:val="444746"/>
                <w:sz w:val="40"/>
                <w:szCs w:val="40"/>
                <w:highlight w:val="white"/>
                <w:vertAlign w:val="superscript"/>
                <w:rtl w:val="0"/>
              </w:rPr>
              <w:t xml:space="preserve">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Lipoid Congenital Adrenal Hyperplasia (CAH) </w:t>
            </w:r>
            <w:r w:rsidDel="00000000" w:rsidR="00000000" w:rsidRPr="00000000">
              <w:rPr>
                <w:color w:val="444746"/>
                <w:sz w:val="40"/>
                <w:szCs w:val="40"/>
                <w:highlight w:val="white"/>
                <w:vertAlign w:val="superscript"/>
                <w:rtl w:val="0"/>
              </w:rPr>
              <w:t xml:space="preserve">32</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SLC22A24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Estrone 3-sulfate, Estradiol-17$\beta$-D-glucuronide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Conjugated Steroids (Anionic Metabolites)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12 Transmembrane Domains (TMDs)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Secondary active antiporter (Exchanging steroid anion for dicarboxylate) </w:t>
            </w:r>
            <w:r w:rsidDel="00000000" w:rsidR="00000000" w:rsidRPr="00000000">
              <w:rPr>
                <w:color w:val="444746"/>
                <w:sz w:val="40"/>
                <w:szCs w:val="40"/>
                <w:highlight w:val="white"/>
                <w:vertAlign w:val="superscript"/>
                <w:rtl w:val="0"/>
              </w:rPr>
              <w:t xml:space="preserve">19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Cardiovascular disease, Acne (Dysregulated clearance) </w:t>
            </w:r>
            <w:r w:rsidDel="00000000" w:rsidR="00000000" w:rsidRPr="00000000">
              <w:rPr>
                <w:color w:val="444746"/>
                <w:sz w:val="40"/>
                <w:szCs w:val="40"/>
                <w:highlight w:val="white"/>
                <w:vertAlign w:val="superscript"/>
                <w:rtl w:val="0"/>
              </w:rPr>
              <w:t xml:space="preserve">21</w:t>
            </w:r>
          </w:p>
        </w:tc>
      </w:tr>
    </w:tbl>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Comparative Analysis of Soluble Sterol/Lipid Binding Domains (StARD1 vs. NR5A1)</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0385208012326"/>
        <w:gridCol w:w="2062.3728813559323"/>
        <w:gridCol w:w="2466.1941448382127"/>
        <w:gridCol w:w="2336.3944530046224"/>
        <w:tblGridChange w:id="0">
          <w:tblGrid>
            <w:gridCol w:w="2495.0385208012326"/>
            <w:gridCol w:w="2062.3728813559323"/>
            <w:gridCol w:w="2466.1941448382127"/>
            <w:gridCol w:w="2336.3944530046224"/>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StARD1 START Domain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NR5A1 Ligand Binding Domain (LBD)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Reference/Source</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Structural Architecture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Globular fold, $\alpha$-helical/$\beta$-sheet bundle enclosing cavity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Modular structure (12 helices), canonical NR LBD fold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444746"/>
                <w:sz w:val="40"/>
                <w:szCs w:val="40"/>
                <w:highlight w:val="white"/>
                <w:vertAlign w:val="superscript"/>
                <w:rtl w:val="0"/>
              </w:rPr>
              <w:t xml:space="preserve">8</w:t>
            </w:r>
            <w:r w:rsidDel="00000000" w:rsidR="00000000" w:rsidRPr="00000000">
              <w:rPr>
                <w:rtl w:val="0"/>
              </w:rPr>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Primary Functional Goal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Catalytic, non-vesicular lipid transfer (Shuttle)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Regulatory, ligand-dependent structural stability/transduction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444746"/>
                <w:sz w:val="40"/>
                <w:szCs w:val="40"/>
                <w:highlight w:val="white"/>
                <w:vertAlign w:val="superscript"/>
                <w:rtl w:val="0"/>
              </w:rPr>
              <w:t xml:space="preserve">16</w:t>
            </w:r>
            <w:r w:rsidDel="00000000" w:rsidR="00000000" w:rsidRPr="00000000">
              <w:rPr>
                <w:rtl w:val="0"/>
              </w:rPr>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Ligand Orientation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Cholesterol accommodated fully within cavity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Acyl chains buried, polar headgroups solvent exposed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444746"/>
                <w:sz w:val="40"/>
                <w:szCs w:val="40"/>
                <w:highlight w:val="white"/>
                <w:vertAlign w:val="superscript"/>
                <w:rtl w:val="0"/>
              </w:rPr>
              <w:t xml:space="preserve">25</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Activation Mechanism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Acute: PKA phosphorylation, transient membrane docking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Chronic: Phospholipid binding and PTM (Ser203 phosphorylation)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444746"/>
                <w:sz w:val="40"/>
                <w:szCs w:val="40"/>
                <w:highlight w:val="white"/>
                <w:vertAlign w:val="superscript"/>
                <w:rtl w:val="0"/>
              </w:rPr>
              <w:t xml:space="preserve">5</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Pathophysiological 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Failure of substrate </w:t>
            </w:r>
            <w:r w:rsidDel="00000000" w:rsidR="00000000" w:rsidRPr="00000000">
              <w:rPr>
                <w:i w:val="1"/>
                <w:color w:val="1b1c1d"/>
                <w:rtl w:val="0"/>
              </w:rPr>
              <w:t xml:space="preserve">supply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Failure of transcriptional </w:t>
            </w:r>
            <w:r w:rsidDel="00000000" w:rsidR="00000000" w:rsidRPr="00000000">
              <w:rPr>
                <w:i w:val="1"/>
                <w:color w:val="1b1c1d"/>
                <w:rtl w:val="0"/>
              </w:rPr>
              <w:t xml:space="preserve">command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444746"/>
                <w:sz w:val="40"/>
                <w:szCs w:val="40"/>
                <w:highlight w:val="white"/>
                <w:vertAlign w:val="superscript"/>
                <w:rtl w:val="0"/>
              </w:rPr>
              <w:t xml:space="preserve">6</w:t>
            </w:r>
            <w:r w:rsidDel="00000000" w:rsidR="00000000" w:rsidRPr="00000000">
              <w:rPr>
                <w:rtl w:val="0"/>
              </w:rPr>
            </w:r>
          </w:p>
        </w:tc>
      </w:tr>
    </w:tbl>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35asbc2mt3j" w:id="21"/>
      <w:bookmarkEnd w:id="21"/>
      <w:r w:rsidDel="00000000" w:rsidR="00000000" w:rsidRPr="00000000">
        <w:rPr>
          <w:b w:val="1"/>
          <w:color w:val="1b1c1d"/>
          <w:sz w:val="34"/>
          <w:szCs w:val="34"/>
          <w:rtl w:val="0"/>
        </w:rPr>
        <w:t xml:space="preserve">IV. Cross-Cutting Overview: Shared Features and the Integrated Network</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0zjnukybms7" w:id="22"/>
      <w:bookmarkEnd w:id="22"/>
      <w:r w:rsidDel="00000000" w:rsidR="00000000" w:rsidRPr="00000000">
        <w:rPr>
          <w:b w:val="1"/>
          <w:color w:val="1b1c1d"/>
          <w:sz w:val="26"/>
          <w:szCs w:val="26"/>
          <w:rtl w:val="0"/>
        </w:rPr>
        <w:t xml:space="preserve">A. The Hierarchical Steroidogenic Cascade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three proteins studied here—NR5A1, StARD1, and SLC22A24—do not share a single functional or structural family but are tightly linked by their sequential roles in the systemic sterol life cycle.</w:t>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Transcriptional Command (NR5A1):</w:t>
      </w:r>
      <w:r w:rsidDel="00000000" w:rsidR="00000000" w:rsidRPr="00000000">
        <w:rPr>
          <w:color w:val="1b1c1d"/>
          <w:rtl w:val="0"/>
        </w:rPr>
        <w:t xml:space="preserve"> At the highest level of control, NR5A1 integrates cellular metabolic status (via phospholipid binding) and external hormonal stimuli (often via the PKA/cAMP pathway) to dictate the overall capacity for steroid synthesis. It initiates the genetic program, crucially regulating the transcription of key enzymes, including $STARD1$.</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Synthesis Execution (StARD1):</w:t>
      </w:r>
      <w:r w:rsidDel="00000000" w:rsidR="00000000" w:rsidRPr="00000000">
        <w:rPr>
          <w:color w:val="1b1c1d"/>
          <w:rtl w:val="0"/>
        </w:rPr>
        <w:t xml:space="preserve"> The resultant StARD1 protein provides the necessary cholesterol flux to immediately fulfill the transcriptional demand. It acts as the direct metabolic bridge, ensuring the raw material (cholesterol) is acutely available for conversion into pregnenolone.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Systemic Refinement (SLC22A24):</w:t>
      </w:r>
      <w:r w:rsidDel="00000000" w:rsidR="00000000" w:rsidRPr="00000000">
        <w:rPr>
          <w:color w:val="1b1c1d"/>
          <w:rtl w:val="0"/>
        </w:rPr>
        <w:t xml:space="preserve"> Once steroid hormones are synthesized and subsequently metabolized through conjugation (inactivation/elimination), SLC22A24 steps in. It dictates the systemic concentration of these metabolites by diverting them from elimination (via renal excretion) back toward conservation (via reabsorption), thus refining the circulating half-life and effective concentration of the endocrine products generated by the NR5A1/StARD1 axis.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wb4i6tk6ule" w:id="23"/>
      <w:bookmarkEnd w:id="23"/>
      <w:r w:rsidDel="00000000" w:rsidR="00000000" w:rsidRPr="00000000">
        <w:rPr>
          <w:b w:val="1"/>
          <w:color w:val="1b1c1d"/>
          <w:sz w:val="26"/>
          <w:szCs w:val="26"/>
          <w:rtl w:val="0"/>
        </w:rPr>
        <w:t xml:space="preserve">B. Structural Convergence in Lipid Recognition Domains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Despite the significant mechanistic differences between a soluble nuclear receptor and a mitochondrial shuttle protein, both NR5A1 and StARD1 share a fundamental structural requirement: the presence of a deep, hydrophobic internal cavity designed to bind and sequester lipid ligands.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structural convergence is necessitated by the need to interact with the rigid, hydrophobic four-ring steroid backbone and hydrocarbon chains.</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difference lies in the application: StARD1 utilizes this cavity for catalytic transfer (shuttling cholesterol across membranes) </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while NR5A1 utilizes its cavity for structural stabilization and signal sensing (determining cellular readiness for transcription).</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In contrast, SLC22A24, as a transmembrane transporter, employs a highly divergent architecture consisting of a bundle of TMDs to facilitate transport via energy derived from ion gradients, demonstrating a clear mechanistic divergence dictated by its role at the membrane interface.</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these three proteins cluster together in protein language model embeddings, despite their low sequence homology across three different protein families (Nuclear Receptor, START, and SLC Transporter), reflects the highly integrated nature of the biological system they govern. They are unified not by their physical structure or common evolutionary origin, but by their participation in the sequential, rate-limiting steps of the systemic sterol life cycle (Transcription, Precursor Trafficking, and Metabolite Clearance).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clustering confirms that their collective functional signature in steroid endocrinology is far stronger than their individual structural classifications. Consequently, disruption at any single node—whether nuclear command (NR5A1), mitochondrial supply (StARD1), or renal clearance (SLC22A24)—can lead to systemic cascade failure and dysregulation of the entire endocrine system.</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nghypq8ik" w:id="24"/>
      <w:bookmarkEnd w:id="24"/>
      <w:r w:rsidDel="00000000" w:rsidR="00000000" w:rsidRPr="00000000">
        <w:rPr>
          <w:b w:val="1"/>
          <w:color w:val="1b1c1d"/>
          <w:sz w:val="34"/>
          <w:szCs w:val="34"/>
          <w:rtl w:val="0"/>
        </w:rPr>
        <w:t xml:space="preserve">V. Pathophysiological Correlates and Clinical Translation</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4apjw7xdjna" w:id="25"/>
      <w:bookmarkEnd w:id="25"/>
      <w:r w:rsidDel="00000000" w:rsidR="00000000" w:rsidRPr="00000000">
        <w:rPr>
          <w:b w:val="1"/>
          <w:color w:val="1b1c1d"/>
          <w:sz w:val="26"/>
          <w:szCs w:val="26"/>
          <w:rtl w:val="0"/>
        </w:rPr>
        <w:t xml:space="preserve">A. Disorders of Synthesis (NR5A1 and StARD1)</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severe pathologies associated with this axis occur when the initial command (NR5A1) or the critical substrate supply (StARD1) fails.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1. StARD1 Deficiency and Lipoid Congenital Adrenal Hyperplasia (CAH):</w:t>
      </w:r>
      <w:r w:rsidDel="00000000" w:rsidR="00000000" w:rsidRPr="00000000">
        <w:rPr>
          <w:color w:val="1b1c1d"/>
          <w:rtl w:val="0"/>
        </w:rPr>
        <w:t xml:space="preserve"> Mutations in the human $STARD1$ gene are the genetic basis for lipoid CAH, an autosomal recessive disorder.</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disorder is marked by a global deficiency of all adrenal and gonadal steroids due to the inability to move cholesterol into the mitochondria.</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blockage causes cholesterol and cholesterol esters to accumulate within the cytoplasm, resulting in engorged, damaged cells and complete lack of steroidogenesis, often presenting as severe salt-wasting and adrenal insufficiency.</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2. NR5A1 Mutations and Developmental Disorders of Sex Development (DSD):</w:t>
      </w:r>
      <w:r w:rsidDel="00000000" w:rsidR="00000000" w:rsidRPr="00000000">
        <w:rPr>
          <w:color w:val="1b1c1d"/>
          <w:rtl w:val="0"/>
        </w:rPr>
        <w:t xml:space="preserve"> Mutations in $NR5A1$ are linked to a broad spectrum of developmental and reproductive failures.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Homozygous or severe truncating mutations typically result in a phenotype resembling the knockout mouse: primary adrenal insufficiency paired with complete 46,XY gonadal dysgenesis.</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However, heterozygous loss-of-function variants are increasingly associated with less severe outcomes, including isolated DSD (such as penoscrotal hypospadias and gonadal dysgenesis) and Primary Ovarian Insufficiency (POI), often without adrenal failure.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Furthermore, aberrant expression of NR5A1 is implicated in cancer, notably adrenocortical carcinoma, and non-reproductive diseases such as endometriosis.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8v16b671v6a" w:id="26"/>
      <w:bookmarkEnd w:id="26"/>
      <w:r w:rsidDel="00000000" w:rsidR="00000000" w:rsidRPr="00000000">
        <w:rPr>
          <w:b w:val="1"/>
          <w:color w:val="1b1c1d"/>
          <w:sz w:val="26"/>
          <w:szCs w:val="26"/>
          <w:rtl w:val="0"/>
        </w:rPr>
        <w:t xml:space="preserve">B. SLC22A24 Variants and Metabolic Disease Risk</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NR5A1 and StARD1 cause acute endocrine collapse, variants in SLC22A24 are associated with chronic systemic dysregulation. Functional variants in SLC22A24 have been linked to human diseases connected to altered steroid metabolism, specifically cardiovascular diseases and acne.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Because a loss-of-function variant in SLC22A24 is associated with lower circulating steroid levels, it confirms the transporter’s role in reabsorbing and conserving these metabolites.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uen7s14qe57" w:id="27"/>
      <w:bookmarkEnd w:id="27"/>
      <w:r w:rsidDel="00000000" w:rsidR="00000000" w:rsidRPr="00000000">
        <w:rPr>
          <w:b w:val="1"/>
          <w:color w:val="1b1c1d"/>
          <w:sz w:val="22"/>
          <w:szCs w:val="22"/>
          <w:rtl w:val="0"/>
        </w:rPr>
        <w:t xml:space="preserve">Translational Pharmacology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 a renal organic anion transporter, SLC22A24 is critically involved in the disposition of pharmacological agents. Its capacity to handle compounds with a steroid scaffold suggests it may influence the pharmacokinetics and half-life of many drugs and drug metabolites.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Moreover, its unique function in converting an elimination pathway (conjugation) into a conservation pathway makes it an attractive pharmacological target. Inhibiting SLC22A24 could be employed therapeutically to facilitate the accelerated elimination of specific, potentially detrimental, steroid conjugates (such as certain estrogen or androgen metabolites), offering a novel strategy for intervention in metabolic conditions driven by high local steroid activity.</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eaq4o6yhz34" w:id="28"/>
      <w:bookmarkEnd w:id="28"/>
      <w:r w:rsidDel="00000000" w:rsidR="00000000" w:rsidRPr="00000000">
        <w:rPr>
          <w:b w:val="1"/>
          <w:color w:val="1b1c1d"/>
          <w:sz w:val="34"/>
          <w:szCs w:val="34"/>
          <w:rtl w:val="0"/>
        </w:rPr>
        <w:t xml:space="preserve">VI. Conclusion and Future Research Directions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coordination between NR5A1 (command), StARD1 (transport execution), and SLC22A24 (systemic conservation) is the architectural foundation of mammalian steroid homeostasis. Steroid hormone levels are tightly buffered through transcriptional control and mitochondrial supply on one end, and regulated renal clearance on the other.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must focus on resolving the remaining molecular ambiguities. While phospholipids are confirmed ligands for NR5A1, identifying the complete spectrum of physiological endogenous ligand(s) </w:t>
      </w:r>
      <w:r w:rsidDel="00000000" w:rsidR="00000000" w:rsidRPr="00000000">
        <w:rPr>
          <w:i w:val="1"/>
          <w:color w:val="1b1c1d"/>
          <w:rtl w:val="0"/>
        </w:rPr>
        <w:t xml:space="preserve">in vivo</w:t>
      </w:r>
      <w:r w:rsidDel="00000000" w:rsidR="00000000" w:rsidRPr="00000000">
        <w:rPr>
          <w:color w:val="1b1c1d"/>
          <w:rtl w:val="0"/>
        </w:rPr>
        <w:t xml:space="preserve"> is necessary to precisely map the environmental and cellular signals that regulate this critical nuclear receptor.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For SLC22A24, detailed structural studies are warranted to elucidate the interaction sites with its specific steroid conjugate substrates and to understand how disease-associated variants compromise its secondary active antiporter mechanism.</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distinct mechanistic roles of these three proteins offer varied therapeutic opportunities. Addressing disorders of synthesis may involve targeting NR5A1 for transcriptional upregulation or developing strategies to enhance StARD1 function to resolve the metabolic bottleneck in conditions like lipoid CAH. Conversely, for managing chronic systemic conditions linked to dysregulated clearance, the inhibition of SLC22A24 represents a promising strategy to modulate circulating concentrations of active or inactive steroid metabolites.</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