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Sterol-Gated Neuron: Comprehensive Analysis of Cholesterol and Neurosteroid Modulation of the  Subunit Complex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Executive Summary and Structural Foundations of  Channels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Voltage-Gated Calcium Channels (VGCCs) of the  family, specifically  (N-type) and  (R-type), represent essential nodes in neuronal signaling, primarily coupling membrane depolarization to calcium influx, which subsequently triggers fundamental cellular activities such as neurotransmitter release.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function and regulation of these channels extend far beyond simple voltage dependence; they are heteromultimeric complexes intricately modulated by their surrounding environment, particularly by membrane lipids and neurosteroids. An expert-level comprehension of these interactions is vital for developing novel therapeutic strategies targeting prevalent neurological channelopathies, including chronic pain and epilepsy.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Heteromultimeric  Channel Complex: An Integrated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Structurally, VGCCs are built upon a central, pore-forming  subunit.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In the case of  channels, this subunit is encoded by one of two genes:  for  or  for . These  subunits are classified among the ten distinct  types, falling into the High-Voltage Activated (HVA) family (CaV1 and CaV2).</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subunit forms the ion-conducting pathway and contains the molecular machinery necessary for voltage sensing.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full, functional VGCC complex requires the presence of various auxiliary subunits, which modulate gating, expression, and trafficking. These include the intracellular  subunits () and the extracellular/transmembrane  subunits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High-resolution structural studies of the human  complex confirm that the core functional unit comprises the  subunit, along with the ancillary subunits  and .</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Pore-Forming Architecture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fundamental architecture of the  subunit consists of four homologous domains (I–IV), each containing six transmembrane segments (S1–S6). The S5 and S6 segments of each domain converge to form the channel pore and the ion selectivity filter. Crucially, the S1–S4 segments constitute the Voltage-Sensing Domain (VSD).</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conserved structure allows the  channels to rapidly convert electrical signals (membrane depolarization) into a chemical signal ( influx), driving processes like transmitter release in both the central and peripheral nervous systems.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Crucial Role of Lipophilic Interaction in  Gating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classical protein–protein interactions between the  and auxiliary subunits, structural data increasingly emphasize the requirement for direct lipid-protein interaction to ensure channel function and stability. This dependency is particularly evident in the  channel.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Direct  Gating Stabilization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 analysis of  revealed that the complex incorporates a phosphatidylinositol 4,5-bisphosphate () molecule, a signaling lipid, which binds specifically to the  subunit.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molecule is positioned to stabilize the VSD of repeat II in a down conformation, a critical conformational state necessary for electromechanical coupling.</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direct structural stabilization by a signaling lipid fundamentally dictates the channel’s gating mechanics.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stabilization of the VSD by  is a structural confirmation that the  subunit possesses specific, high-affinity binding sites for signaling lipids. This strongly suggests that local enzymatic turnover of , often regulated by specialized lipases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provides a highly dynamic and rapid mechanism for modulating  channel gating kinetics. This mechanism operates independently of global auxiliary subunit modulation or neurosteroid action. Consequently, the localized availability and metabolism of  establish a critical, fast regulatory node in the control of  activity, offering a potential target for pharmacologic intervention where rapid kinetic tuning is required.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Functional Profiles and Pathophysiological Specificity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both  and  are high-voltage activated channels (HVA), their specific tissue distribution, pharmacological profiles, and involvement in neurological disease diverge significantly, making them distinct therapeutic targets.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(N-type) in Synaptic Transmission and Pain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neuronal-type  channel is predominantly expressed in central and peripheral neurons, with particularly high concentrations found in presynaptic terminals and the superficial layer of the dorsal horn of the spinal cord—an area critical for nociceptive signaling.</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Its primary physiological role is the initiation of neurotransmission at most fast synapses.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Due to its crucial role in signal transmission from the periphery to the central nervous system,  is recognized as a key mediator of nociception.</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High-Value Therapeutic Target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clinical significance of  is demonstrated by the use of Ziconotide (ω-conotoxin MVIIA), a highly specific peptide pore blocker, for the treatment of intractable chronic pain.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selective blockade validates the  channel as an effective pharmacological target in pain management.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Recent research has focused on allosteric modulation to achieve therapeutic efficacy while avoiding the side effects associated with pore blockage. For example, the peptidomimetic small molecule CBD3063 was developed to modulate  function by targeting an intracellular interaction site. This molecule selectively disrupts the interaction between  and Collapsin Response Mediator Protein 2 (CRMP2). CRMP2 overexpression typically enhances neurotransmission and pain signaling. By uncoupling  from CRMP2, CBD3063 antagonizes -mediated calcium influx, thereby inhibiting nociceptive neurotransmission. Studies have shown that this approach reduces the release of excitatory pronociceptive neurotransmitters like Calcitonin Gene-Related Peptide (CGRP) and offers antinociceptive strength comparable to Gabapentin in neuropathic pain models.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(R-type) in Neuronal Hyperexcitability and Neurodegeneration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channel, or R-type, is also an HVA channel, though it exhibits a somewhat more hyperpolarized membrane potential requirement for activation compared to  and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has emerged as a particularly important factor in the etiopathogenesis of various seizure types and epilepsies.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Role in Epileptogenesis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channels are critically involved in ictogenesis and seizure propagation. They play an intriguing role in conditions such as absence epilepsy and human juvenile myoclonic epilepsy (JME).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These channels contribute to abnormal activity, including afterdepolarizations, low-threshold  spikes, and plateau potentials, particularly in CA1 neurons. Consequently,  is recognized as a crucial target for several antiepileptic drugs, including lamotrigine and topiramate.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Although gain-of-function mutations in  (</w:t>
      </w:r>
      <w:r w:rsidDel="00000000" w:rsidR="00000000" w:rsidRPr="00000000">
        <w:rPr>
          <w:rFonts w:ascii="Google Sans Text" w:cs="Google Sans Text" w:eastAsia="Google Sans Text" w:hAnsi="Google Sans Text"/>
          <w:i w:val="1"/>
          <w:color w:val="1b1c1d"/>
          <w:rtl w:val="0"/>
        </w:rPr>
        <w:t xml:space="preserve">CACNA1E</w:t>
      </w:r>
      <w:r w:rsidDel="00000000" w:rsidR="00000000" w:rsidRPr="00000000">
        <w:rPr>
          <w:rFonts w:ascii="Google Sans Text" w:cs="Google Sans Text" w:eastAsia="Google Sans Text" w:hAnsi="Google Sans Text"/>
          <w:color w:val="1b1c1d"/>
          <w:rtl w:val="0"/>
        </w:rPr>
        <w:t xml:space="preserve">) are known to cause epilepsy, such mutations do not appear to be associated with persistent pain, suggesting differential expression or susceptibility to functional alteration between the central and peripheral nervous systems.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Neurodegenerative Link in Parkinson's Disease (PD)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dopaminergic (DA) neurons located in the Substantia Nigra (SN),  R-type currents contribute to sustained somatodendritic  oscillations, which are implicated in the selective vulnerability and degeneration of these neurons in Parkinson’s disease.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Evidence suggests that  knockout is neuroprotective in PD mouse models. This sustained, pathological  influx is often conferred by specific splicing variants of the auxiliary  subunit, such as  and , which function to prevent normal channel inactivation during continuous pacemaking activity.</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The Auxiliary Subunits: Dynamic Regulators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auxiliary subunits  and  are fundamental to defining the functional properties and pharmacological sensitivities of the  complex.</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subunit is an intracellular protein confirmed to be part of the functional  complex structure.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family members are essential for modulating the gating and expression of the pore-forming  subunit. The regulatory link between  subunit splicing and pathological phenotype is particularly salient in PD:  splice variants specifically enable sustained  availability in continuously active SN DA neurons, directly supporting the elevated  signals contributing to neurodegeneration.</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(encoded by </w:t>
      </w:r>
      <w:r w:rsidDel="00000000" w:rsidR="00000000" w:rsidRPr="00000000">
        <w:rPr>
          <w:rFonts w:ascii="Google Sans Text" w:cs="Google Sans Text" w:eastAsia="Google Sans Text" w:hAnsi="Google Sans Text"/>
          <w:i w:val="1"/>
          <w:color w:val="1b1c1d"/>
          <w:rtl w:val="0"/>
        </w:rPr>
        <w:t xml:space="preserve">CACNA2D1</w:t>
      </w:r>
      <w:r w:rsidDel="00000000" w:rsidR="00000000" w:rsidRPr="00000000">
        <w:rPr>
          <w:rFonts w:ascii="Google Sans Text" w:cs="Google Sans Text" w:eastAsia="Google Sans Text" w:hAnsi="Google Sans Text"/>
          <w:color w:val="1b1c1d"/>
          <w:rtl w:val="0"/>
        </w:rPr>
        <w:t xml:space="preserve">) is a highly glycosylated, transmembrane auxiliary subunit integral to the complex.</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preproprotein is cleaved into the extracellular  chain and the transmembrane  chain.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Its paramount role is to promote the trafficking and plasma membrane insertion of the  subunit.</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trafficking function is supported by specific motifs, such as the MIDAS-like motif within the Von Willebrand factor A (VWFA) domain, which binds divalent metal cations.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Crucially,  is the established molecular target for the widely prescribed antiepileptic and pain medication, Gabapentin.</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the auxiliary subunits demonstrates that while  and  share the fundamental architecture of the  subunit, the choice and splicing of the auxiliary subunit composition are the primary determinants of their unique pathophysiology and therapeutic utility. For  in PD, the specific  subunit variant dictates the crucial difference between normal and sustained, pathological current.</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Similarly,  controls membrane abundance and mediates the clinical effects of Gabapentin.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Therefore, therapeutic development seeking high specificity must move beyond modulators targeting broadly conserved  structures and instead exploit the unique binding interfaces and allosteric mechanisms presented by these accessory proteins to achieve superior clinical selectivity.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Structural Lipophilic Regulation: Cholesterol and Membrane Localization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correct functioning of  channels is inseparable from the specific lipid environment of the plasma membrane. Cholesterol plays a dual role, acting both as a structural requirement for channel localization and as a ligand through specific recognition motifs.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Lipid Raft Association and Caveolar Microdomains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biological necessity of cholesterol is driven by the spatial organization of cellular signaling. Key  signaling proteins are often clustered within lipid rafts—microdomains rich in cholesterol and sphingolipids.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These domains function as essential signal transduction platforms, ensuring favorable molecular environments for inter-molecular cross-talk and expedited signal relay.</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as the Raft Targeter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auxiliary subunit  is indispensable for targeting the entire  channel complex to these lipid rafts.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Early hypotheses suggested that this localization was mediated by a Glycosylphosphatidylinositol (GPI)-anchor motif. However, empirical studies indicate a more complex mechanism. Replacing the putative GPI-anchoring sequence in  with a functionally inert Type I transmembrane domain did not eliminate lipid raft association. Conversely, the presence of the GPI motif alone was insufficient for raft localization, suggesting that sequences upstream of the putative anchor must promote specific protein-protein or protein-lipid interactions that govern raft targeting.</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CRAC/CARC Motifs: Molecular Sensing of Cholesterol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Voltage-gated ion channels possess specialized sequences capable of sensing and binding membrane cholesterol. These sites are categorized as Cholesterol Recognition/Interaction Amino Acid Consensus (CRAC) motifs or their inverted versions (CARC).</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These motifs are commonly found in numerous ion channels, including the large conductance  (BK) channels and various transient receptor potential channels.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canonical CRAC motif is generally defined by an architecture involving a sequence of hydrophobic residues followed by a hydroxyl-bearing residue (Tyrosine or Threonine) and a basic residue (Arginine or Lysine).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General  subunits are structurally implicated in binding and altering cholesterol-rich domains, often via a CARC domain.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Specific CRAC motifs often adopt an -helical conformation, and binding is predominantly governed by hydrophobic interactions rather than extensive hydrogen bonding with the sterol's hydroxyl group.</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 detailed structural analysis of one related CRAC motif identified a critical core sequence, where the central aromatic residue, such as Tyr-77, contributed approximately  of the total interaction energy, confirming the dominance of hydrophobic association in sterol recognition.</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Furthermore, a putative CRAC motif has been identified in the range  of related channel fragments, reinforcing that this short segment incorporates critical structural and functional functionalities.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The Dual Mechanism of Cholesterol Control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evidence suggests that cholesterol regulation of  channels operates on two interconnected levels. First, the  subunit acts as an anchor, ensuring the entire complex is correctly partitioned into the cholesterol-rich lipid raft environment.</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Second, the  subunit itself contains CRAC/CARC motifs, allowing it to act as a structural sensor that directly responds to the local concentration of cholesterol and dictates gating properties.</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critical requirement of  for both general membrane trafficking of the  subunit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and its specific localization to cholesterol-rich lipid rafts </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establishes a key regulatory checkpoint. Since cholesterol is fundamental to stabilizing membrane microdomains </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any structural perturbation that interferes with the  lipid-binding interface (whether the CRAC site or an upstream sequence) would effectively lead to the mislocalization and subsequent functional reduction of the entire  complex at the synapse. This demonstrates that the  subunit's ability to sense and interact with sterols is a crucial step linking plasma membrane lipid composition directly to functional synaptic strength. Targeting this sterol-binding interface may offer a pathway to stabilize or destabilize channel expression in chronic neurological pathologies.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I: Molecular Architecture and Pathophysiological Relevance of  Subunits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Subunit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Neurosteroid Modulation: Allosteric and Signaling Mechanisms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Neurosteroids represent a class of signaling molecules capable of rapidly and potently modulating neuronal excitability through non-genomic mechanisms, with several metabolites exhibiting direct regulatory effects on VGCCs.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Neurosteroid Chemistry and Non-Genomic Action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Neurosteroids, such as Dehydroepiandrosterone (DHEA), Pregnenolone, and their sulfated derivatives (DHEAS, PregS), are integral components of neuronal signaling systems that modify calcium homeostasis.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sulfate derivatives of DHEA and Pregnenolone are often reported to be significantly more active modulators of neuronal function than their free forms.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These molecules are lipophilic, allowing them to cross the blood-brain barrier and exert potent non-genomic actions, either positively or negatively, on spatiotemporal  dynamics, influencing both physiological and pathological processes.</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Direct Allosteric Regulation: Deep Pore Interaction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key mechanism of neurosteroid action involves direct interaction with the ion channel structure, leading to allosteric modulation or blockade. Given that neurosteroids are large, rigid molecules, their interaction with the internal cavity of ion channels is highly constrained. Inhibition by certain neurosteroids, such as Pregnenolone sulfate (PregS), is hypothesized to involve binding deep within the pore of the  subunit. Specifically, interaction with residues at the 2' position of the M2 helix of the  subunit is critical for the inhibitory effect.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geometry of the steroid molecule dictates that it must bind "end-on" rather than lying with its long axis across the channel lumen.</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mechanism defines a specific structural pocket within the  and   subunits susceptible to lipophilic modulation. This specific deep-pore binding site offers a powerful molecular basis for designing synthetic lipophilic molecules that can achieve selective occlusion or allosteric gating modification, which is particularly relevant for developing targeted R-type inhibitors to manage epilepsy.</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Indirect Regulation via Signaling Cascades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addition to direct structural interaction, neurosteroids modulate  activity through upstream signaling cascades involving specialized receptors and phosphorylation events.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Sigma-1 Receptor () Pathway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DHEA and Pregnenolone function as positive modulators of the Sigma-1 Receptor (). Activation of  causes its translocation from the endoplasmic reticulum to the cell membrane.</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Once at the membrane,  regulates various voltage- and ligand-gated ion channels. This activation pathway typically leads to an increase in intracellular  levels, subsequently triggering downstream signaling mediated by calcium-dependent protein kinases.</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Protein Kinase C (PKC) Association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action of certain steroids, such as 17--estradiol, has been shown to inhibit  rise by acting on VGCCs in a non-competitive manner, and this effect is associated with the activation of Protein Kinase C (PKC).</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PKC is a well-established regulator of VGCC function, suggesting that neurosteroids can exert modulatory control by engaging phosphorylation pathways that alter the functional state of the  or  subunits.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established, critical role of  in driving epileptogenesis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creates a direct pathological consequence if the endogenous modulation by neurosteroids is disrupted. Since sulfated neurosteroids like DHEAS and PregS are potent modulators and inhibitors of  activity </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metabolic or pathological conditions that lead to a reduction in the functional concentration of these inhibitory steroids would effectively lower the seizure threshold by permitting increased  conductance. This mechanism clearly connects the endogenous endocrine system's regulation of neurosteroid levels directly to the core pathophysiology of neuronal hyperexcitability. Developing targeted analogs or implementing neurosteroid replacement therapies could restore this lost endogenous regulatory tone, offering a novel intervention strategy for seizure disorders.</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II: Mechanistic Overview of Sterol/Neurosteroid Modulation of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Modulator Class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Structural Sterol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Signaling Lipid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Neurosteroid (Allosteric)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Neurosteroid (Indirect)</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Synthesis and Translational Implications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Convergent Regulatory Network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functional status of the  channel complex is determined by a highly integrated regulatory network involving voltage, protein-protein interactions (auxiliary subunits), and lipophilic modulation. The analysis confirms that lipid regulation functions at multiple tiers. Structural integrity is initially dictated by cholesterol, which uses CRAC/CARC motifs to stabilize the  subunit and requires  for correct spatial localization in lipid rafts.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foundational lipid environment then primes the channel to respond to fast signaling lipids, such as , which acutely modulates VSD coupling.</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Layered on this structural base, neurosteroids act as potent allosteric pharmacological agents, capable of exerting fast, non-genomic control either by directly interacting deep within the pore </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or by engaging secondary signaling mechanisms like  and PKC.</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complex regulation underscores why structural differences, even subtle ones, confer therapeutic utility. The ability to develop selective modulators relies heavily on exploiting structural specificities: 1) minute differences in the  pore structure that dictate the efficacy of deep steroid binding </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2) the functional consequence of auxiliary subunit splice variation (e.g.,  vs.  </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or 3) specific protein-protein interfaces crucial for localization or signaling (e.g., the CRMP2 binding site for CBD3063 </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III: Comparative Pathophysiology and Therapeutic Target Sites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Chronic Pain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Epilepsy (Ictogenesis)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Parkinson’s Disease</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Future Directions in  Lipophilic Pharmacology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comprehensive understanding of  lipophilic regulation opens critical avenues for next-generation drug discovery, aiming to treat various channelopathies including pain, epilepsy, and neurodegenerative disorders.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first strategic direction involves targeting the structural sterol interfaces. Designing small molecules that specifically disrupt the CRAC/CARC motifs on the  subunit or interfere with the specialized lipid-protein interactions necessary for  membrane insertion could destabilize the entire channel complex. Such destabilization would effectively reduce the functional density of  channels at the plasma membrane, providing a novel mechanism for chronic intervention in states characterized by high excitability or persistent pain.</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second direction focuses on synthetic modification of endogenous ligands. Future efforts should center on synthesizing neurosteroid analogs designed to maximize specificity for the deep allosteric binding pockets (M2 helix) identified within the  subunits.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By creating highly selective R-type inhibitors (for epilepsy) or N-type inhibitors (for pain), it may be possible to bypass the broad regulatory activity associated with upstream pathways like  or PKC, thereby achieving superior clinical efficacy with reduced non-selective side effects.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Clinical Relevance Across Channelopathies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stands as a universal target in neuropharmacology, central to a growing array of neurological conditions.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remains crucial for pain management, validating the clinical utility of Gabapentin (targeting ) and Ziconotide (targeting the pore).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Meanwhile,  is increasingly recognized for its role in the excitability pathology of epilepsy and the degenerative mechanisms of Parkinson’s disease.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intrinsic ability of lipophilic regulation—encompassing both structural cholesterol and dynamic neurosteroids—to fine-tune both the expression level and the gating kinetics of these channels firmly establishes sterol and steroid pathways as indispensable and actionable therapeutic modalities, complementary to traditional voltage-gated ion channel blockers. A nuanced approach leveraging the structural details of lipophilic binding offers the most promising route toward developing highly specific and effective treatments for these challenging neurological disorders.</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Diverse organization of voltage-gated calcium channels at presynaptic active zones - PMC, accessed October 10,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https://pmc.ncbi.nlm.nih.gov/articles/PMC9760684/</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Cav2.3 R-type Voltage-Gated Ca2+ Channels - Functional Implications in Convulsive and Non-convulsive Seizure Activity - The Open Neurology Journal, accessed October 10, 2025, </w:t>
      </w:r>
      <w:hyperlink r:id="rId7">
        <w:r w:rsidDel="00000000" w:rsidR="00000000" w:rsidRPr="00000000">
          <w:rPr>
            <w:rFonts w:ascii="Google Sans" w:cs="Google Sans" w:eastAsia="Google Sans" w:hAnsi="Google Sans"/>
            <w:color w:val="0000ee"/>
            <w:sz w:val="24"/>
            <w:szCs w:val="24"/>
            <w:u w:val="single"/>
            <w:rtl w:val="0"/>
          </w:rPr>
          <w:t xml:space="preserve">https://openneurologyjournal.com/VOLUME/10/PAGE/99/</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biology of voltage-gated calcium channels - PMC - PubMed Central,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https://pmc.ncbi.nlm.nih.gov/articles/PMC10761187/</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human Cav2.2 channel blocked by the painkiller ziconotide. | Literature citations,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https://www.uniprot.org/citations/34234349</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Presynaptic calcium channels: specialized control of synaptic neurotransmitter release - PMC - PubMed Central,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https://pmc.ncbi.nlm.nih.gov/articles/PMC7873717/</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VOLTAGE-GATED Ca2+ CHANNELS BY LIPIDS - PMC,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https://pmc.ncbi.nlm.nih.gov/articles/PMC2964877/</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Modulation of voltage-gated CaV2.2 Ca2+ channels by newly identified interaction partners - PMC - PubMed Central,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https://pmc.ncbi.nlm.nih.gov/articles/PMC7567506/</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Voltage-gated calcium channels (Ca V ): Introduction - IUPHAR/BPS Guide to PHARMACOLOGY,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https://www.guidetopharmacology.org/GRAC/FamilyIntroductionForward?familyId=80</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Cav2.3 R-type Voltage-Gated Ca2+ Channels - Functional Implications in Convulsive and Non-convulsive Seizure Activity - PMC,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https://pmc.ncbi.nlm.nih.gov/articles/PMC5080872/</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Peptidomimetic Modulator of CaV2.2 N-type Calcium Channel for Treatment of Chronic Pain,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https://license.tov.med.nyu.edu/product/peptidomimetic-modulator-of-cav22-n-type-calcium-channel-for-treatment-of-chronic-pain</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of Presynaptic Voltage-gated Calcium Channels - Oxford Academic,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https://academic.oup.com/function/article/2/1/zqaa027/5936527</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Cav2.3 R-type Voltage-Gated Ca2+ Channels - The Open Neurology Journal,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https://openneurologyjournal.com/contents/volumes/V10/TONEUJ-10-99/TONEUJ-10-99.pdf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Cav2.3 (R-type) Calcium Channel in Pain and Analgesia: A Scoping Review - PMC,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https://pmc.ncbi.nlm.nih.gov/articles/PMC11284728/</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β2-subunit alternative splicing stabilizes Cav2.3 Ca2+ channel activity during continuous midbrain dopamine neuron-like activity | eLife, accessed October 10, 2025, </w:t>
      </w:r>
      <w:hyperlink r:id="rId19">
        <w:r w:rsidDel="00000000" w:rsidR="00000000" w:rsidRPr="00000000">
          <w:rPr>
            <w:rFonts w:ascii="Google Sans" w:cs="Google Sans" w:eastAsia="Google Sans" w:hAnsi="Google Sans"/>
            <w:color w:val="0000ee"/>
            <w:sz w:val="24"/>
            <w:szCs w:val="24"/>
            <w:u w:val="single"/>
            <w:rtl w:val="0"/>
          </w:rPr>
          <w:t xml:space="preserve">https://elifesciences.org/articles/67464</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Calcium Channel α2δ-2 Subunit Partitions with CaV2.1 into Lipid Rafts in Cerebellum: Implications for Localization and Function - PubMed Central,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https://pmc.ncbi.nlm.nih.gov/articles/PMC6674382/</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CACNA2D1 calcium voltage-gated channel auxiliary subunit alpha2delta 1 [ (human)],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https://www.ncbi.nlm.nih.gov/gene/781</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CACNA2D1 - Voltage-dependent calcium channel subunit alpha-2/delta-1 - Oryctolagus cuniculus (Rabbit) | UniProtKB | UniProt,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https://www.uniprot.org/uniprotkb/P13806/entry</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presynaptic Ca2+ channel abundance at active zones through a balance of delivery and turnover | eLife,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https://elifesciences.org/articles/78648v1</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of Voltage-Gated Calcium Channel α2δ-1 Subunit to Lipid Rafts Is Independent from a GPI-Anchoring Motif | PLOS One,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https://journals.plos.org/plosone/article?id=10.1371/journal.pone.0019802</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rafts/caveolae as microdomains of calcium signaling - PMC,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https://pmc.ncbi.nlm.nih.gov/articles/PMC2695836/</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binding to ion channels - Frontiers,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https://www.frontiersin.org/journals/physiology/articles/10.3389/fphys.2014.00065/full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Characterization of the Caveolin Scaffolding Domain in Association with Cholesterol-Rich Membranes - PMC - PubMed Central,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https://pmc.ncbi.nlm.nih.gov/articles/PMC3290515/</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Biochemical and Biophysical Characterization of the Caveolin-2 Interaction with Membranes and Analysis of the Protein Structural Alteration by the Presence of Cholesterol - PubMed Central,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https://pmc.ncbi.nlm.nih.gov/articles/PMC9736327/</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Biochemical and Biophysical Characterization of the Caveolin-2 Interaction with Membranes and Analysis of the Protein Structural Alteration by the Presence of Cholesterol - MDPI,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https://www.mdpi.com/1422-0067/23/23/15203</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Cholesterol Recognition/Interaction Amino Acid Consensus (CRAC) Motifs in Cytosolic C Tail of Slo1 Subunit Determine Cholesterol Sensitivity of Ca2+- and Voltage-gated K+ (BK) Channels - PMC - PubMed Central,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https://pmc.ncbi.nlm.nih.gov/articles/PMC3370236/</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cholesterol interacts with membrane proteins: an exploration of cholesterol-binding sites including CRAC, CARC, and tilted domains - Frontiers,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https://www.frontiersin.org/journals/physiology/articles/10.3389/fphys.2013.00031/full</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Characterization of the Caveolin Scaffolding Domain in Association with Cholesterol-Rich Membranes | Biochemistry - ACS Publications,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https://pubs.acs.org/doi/10.1021/bi201356v</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Calcium-engaged Mechanisms of Nongenomic Action of Neurosteroids - PubMed Central,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https://pmc.ncbi.nlm.nih.gov/articles/PMC5725547/</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Neurosteroids and GABA-A Receptor Function - Frontiers,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https://www.frontiersin.org/journals/endocrinology/articles/10.3389/fendo.2011.00044/full</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Molecules as Modulators of Voltage-Gated Calcium Channels in Neurological Disorders: State of the Art and Perspectives - MDPI,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https://www.mdpi.com/1420-3049/27/4/1312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6674382/" TargetMode="External"/><Relationship Id="rId22" Type="http://schemas.openxmlformats.org/officeDocument/2006/relationships/hyperlink" Target="https://www.uniprot.org/uniprotkb/P13806/entry" TargetMode="External"/><Relationship Id="rId21" Type="http://schemas.openxmlformats.org/officeDocument/2006/relationships/hyperlink" Target="https://www.ncbi.nlm.nih.gov/gene/781" TargetMode="External"/><Relationship Id="rId24" Type="http://schemas.openxmlformats.org/officeDocument/2006/relationships/hyperlink" Target="https://journals.plos.org/plosone/article?id=10.1371/journal.pone.0019802" TargetMode="External"/><Relationship Id="rId23" Type="http://schemas.openxmlformats.org/officeDocument/2006/relationships/hyperlink" Target="https://elifesciences.org/articles/78648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prot.org/citations/34234349" TargetMode="External"/><Relationship Id="rId26" Type="http://schemas.openxmlformats.org/officeDocument/2006/relationships/hyperlink" Target="https://www.frontiersin.org/journals/physiology/articles/10.3389/fphys.2014.00065/full" TargetMode="External"/><Relationship Id="rId25" Type="http://schemas.openxmlformats.org/officeDocument/2006/relationships/hyperlink" Target="https://pmc.ncbi.nlm.nih.gov/articles/PMC2695836/" TargetMode="External"/><Relationship Id="rId28" Type="http://schemas.openxmlformats.org/officeDocument/2006/relationships/hyperlink" Target="https://pmc.ncbi.nlm.nih.gov/articles/PMC9736327/" TargetMode="External"/><Relationship Id="rId27" Type="http://schemas.openxmlformats.org/officeDocument/2006/relationships/hyperlink" Target="https://pmc.ncbi.nlm.nih.gov/articles/PMC3290515/" TargetMode="External"/><Relationship Id="rId5" Type="http://schemas.openxmlformats.org/officeDocument/2006/relationships/styles" Target="styles.xml"/><Relationship Id="rId6" Type="http://schemas.openxmlformats.org/officeDocument/2006/relationships/hyperlink" Target="https://pmc.ncbi.nlm.nih.gov/articles/PMC9760684/" TargetMode="External"/><Relationship Id="rId29" Type="http://schemas.openxmlformats.org/officeDocument/2006/relationships/hyperlink" Target="https://www.mdpi.com/1422-0067/23/23/15203" TargetMode="External"/><Relationship Id="rId7" Type="http://schemas.openxmlformats.org/officeDocument/2006/relationships/hyperlink" Target="https://openneurologyjournal.com/VOLUME/10/PAGE/99/" TargetMode="External"/><Relationship Id="rId8" Type="http://schemas.openxmlformats.org/officeDocument/2006/relationships/hyperlink" Target="https://pmc.ncbi.nlm.nih.gov/articles/PMC10761187/" TargetMode="External"/><Relationship Id="rId31" Type="http://schemas.openxmlformats.org/officeDocument/2006/relationships/hyperlink" Target="https://www.frontiersin.org/journals/physiology/articles/10.3389/fphys.2013.00031/full" TargetMode="External"/><Relationship Id="rId30" Type="http://schemas.openxmlformats.org/officeDocument/2006/relationships/hyperlink" Target="https://pmc.ncbi.nlm.nih.gov/articles/PMC3370236/" TargetMode="External"/><Relationship Id="rId11" Type="http://schemas.openxmlformats.org/officeDocument/2006/relationships/hyperlink" Target="https://pmc.ncbi.nlm.nih.gov/articles/PMC2964877/" TargetMode="External"/><Relationship Id="rId33" Type="http://schemas.openxmlformats.org/officeDocument/2006/relationships/hyperlink" Target="https://pmc.ncbi.nlm.nih.gov/articles/PMC5725547/" TargetMode="External"/><Relationship Id="rId10" Type="http://schemas.openxmlformats.org/officeDocument/2006/relationships/hyperlink" Target="https://pmc.ncbi.nlm.nih.gov/articles/PMC7873717/" TargetMode="External"/><Relationship Id="rId32" Type="http://schemas.openxmlformats.org/officeDocument/2006/relationships/hyperlink" Target="https://pubs.acs.org/doi/10.1021/bi201356v" TargetMode="External"/><Relationship Id="rId13" Type="http://schemas.openxmlformats.org/officeDocument/2006/relationships/hyperlink" Target="https://www.guidetopharmacology.org/GRAC/FamilyIntroductionForward?familyId=80" TargetMode="External"/><Relationship Id="rId35" Type="http://schemas.openxmlformats.org/officeDocument/2006/relationships/hyperlink" Target="https://www.mdpi.com/1420-3049/27/4/1312" TargetMode="External"/><Relationship Id="rId12" Type="http://schemas.openxmlformats.org/officeDocument/2006/relationships/hyperlink" Target="https://pmc.ncbi.nlm.nih.gov/articles/PMC7567506/" TargetMode="External"/><Relationship Id="rId34" Type="http://schemas.openxmlformats.org/officeDocument/2006/relationships/hyperlink" Target="https://www.frontiersin.org/journals/endocrinology/articles/10.3389/fendo.2011.00044/full" TargetMode="External"/><Relationship Id="rId15" Type="http://schemas.openxmlformats.org/officeDocument/2006/relationships/hyperlink" Target="https://license.tov.med.nyu.edu/product/peptidomimetic-modulator-of-cav22-n-type-calcium-channel-for-treatment-of-chronic-pain" TargetMode="External"/><Relationship Id="rId14" Type="http://schemas.openxmlformats.org/officeDocument/2006/relationships/hyperlink" Target="https://pmc.ncbi.nlm.nih.gov/articles/PMC5080872/" TargetMode="External"/><Relationship Id="rId17" Type="http://schemas.openxmlformats.org/officeDocument/2006/relationships/hyperlink" Target="https://openneurologyjournal.com/contents/volumes/V10/TONEUJ-10-99/TONEUJ-10-99.pdf" TargetMode="External"/><Relationship Id="rId16" Type="http://schemas.openxmlformats.org/officeDocument/2006/relationships/hyperlink" Target="https://academic.oup.com/function/article/2/1/zqaa027/5936527" TargetMode="External"/><Relationship Id="rId19" Type="http://schemas.openxmlformats.org/officeDocument/2006/relationships/hyperlink" Target="https://elifesciences.org/articles/67464" TargetMode="External"/><Relationship Id="rId18" Type="http://schemas.openxmlformats.org/officeDocument/2006/relationships/hyperlink" Target="https://pmc.ncbi.nlm.nih.gov/articles/PMC112847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