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1b1c1d"/>
          <w:sz w:val="46"/>
          <w:szCs w:val="46"/>
        </w:rPr>
      </w:pPr>
      <w:r w:rsidDel="00000000" w:rsidR="00000000" w:rsidRPr="00000000">
        <w:rPr>
          <w:rtl w:val="0"/>
        </w:rPr>
        <w:t xml:space="preserve"> </w:t>
      </w:r>
      <w:r w:rsidDel="00000000" w:rsidR="00000000" w:rsidRPr="00000000">
        <w:rPr>
          <w:b w:val="1"/>
          <w:color w:val="1b1c1d"/>
          <w:sz w:val="46"/>
          <w:szCs w:val="46"/>
          <w:rtl w:val="0"/>
        </w:rPr>
        <w:t xml:space="preserve">Comparative and Mechanistic Analysis of the Beta-Elicitin Cryptogein Protein Cluster: Convergent Evolution in Steroid Sequestration Modules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br5hex3kzll" w:id="0"/>
      <w:bookmarkEnd w:id="0"/>
      <w:r w:rsidDel="00000000" w:rsidR="00000000" w:rsidRPr="00000000">
        <w:rPr>
          <w:b w:val="1"/>
          <w:color w:val="1b1c1d"/>
          <w:sz w:val="34"/>
          <w:szCs w:val="34"/>
          <w:rtl w:val="0"/>
        </w:rPr>
        <w:t xml:space="preserve">I. Introduction to Steroid-Binding Proteins and the PLM Cluster Context</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nt9eologyhs" w:id="1"/>
      <w:bookmarkEnd w:id="1"/>
      <w:r w:rsidDel="00000000" w:rsidR="00000000" w:rsidRPr="00000000">
        <w:rPr>
          <w:b w:val="1"/>
          <w:color w:val="1b1c1d"/>
          <w:sz w:val="26"/>
          <w:szCs w:val="26"/>
          <w:rtl w:val="0"/>
        </w:rPr>
        <w:t xml:space="preserve">A. Defining the Molecular Cluster: Cryptogein and Steroid-Binding Homologs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protein function and homology has been revolutionized by the application of sophisticated predictive tools, such as Protein Language Models (PLMs). These models utilize sequence embeddings to map proteins into a high-dimensional vector space, effectively identifying functional relationships that may transcend traditional metrics like linear sequence identity or established structural classification.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expert analysis focuses on a functionally homogenous cluster identified through PLM embeddings, centered on the Beta-elicitin cryptogein (CRY), and annotated consistently across its members as being involved in steroid or sterol binding.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member of this cluster is </w:t>
      </w:r>
      <w:r w:rsidDel="00000000" w:rsidR="00000000" w:rsidRPr="00000000">
        <w:rPr>
          <w:b w:val="1"/>
          <w:color w:val="1b1c1d"/>
          <w:rtl w:val="0"/>
        </w:rPr>
        <w:t xml:space="preserve">Beta-elicitin cryptogein (CRY)</w:t>
      </w:r>
      <w:r w:rsidDel="00000000" w:rsidR="00000000" w:rsidRPr="00000000">
        <w:rPr>
          <w:color w:val="1b1c1d"/>
          <w:rtl w:val="0"/>
        </w:rPr>
        <w:t xml:space="preserve">, a small, 10-kDa, secreted protein derived from oomycete pathogens, notably </w:t>
      </w:r>
      <w:r w:rsidDel="00000000" w:rsidR="00000000" w:rsidRPr="00000000">
        <w:rPr>
          <w:i w:val="1"/>
          <w:color w:val="1b1c1d"/>
          <w:rtl w:val="0"/>
        </w:rPr>
        <w:t xml:space="preserve">Phytophthora cryptogea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Cryptogein's biological significance stems from its role as an elicitor of the host plant defense response and its high-affinity sterol-binding activity.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cluster dynamically links CRY to proteins of radically divergent evolutionary origins and tertiary folds, including mammalian plasma steroid transport proteins—specifically, </w:t>
      </w:r>
      <w:r w:rsidDel="00000000" w:rsidR="00000000" w:rsidRPr="00000000">
        <w:rPr>
          <w:b w:val="1"/>
          <w:color w:val="1b1c1d"/>
          <w:rtl w:val="0"/>
        </w:rPr>
        <w:t xml:space="preserve">Sex Hormone-Binding Globulin (SHBG)</w:t>
      </w:r>
      <w:r w:rsidDel="00000000" w:rsidR="00000000" w:rsidRPr="00000000">
        <w:rPr>
          <w:color w:val="1b1c1d"/>
          <w:rtl w:val="0"/>
        </w:rPr>
        <w:t xml:space="preserve"> and </w:t>
      </w:r>
      <w:r w:rsidDel="00000000" w:rsidR="00000000" w:rsidRPr="00000000">
        <w:rPr>
          <w:b w:val="1"/>
          <w:color w:val="1b1c1d"/>
          <w:rtl w:val="0"/>
        </w:rPr>
        <w:t xml:space="preserve">Corticosteroid-Binding Globulin (CBG)</w:t>
      </w:r>
      <w:r w:rsidDel="00000000" w:rsidR="00000000" w:rsidRPr="00000000">
        <w:rPr>
          <w:color w:val="1b1c1d"/>
          <w:rtl w:val="0"/>
        </w:rPr>
        <w:t xml:space="preserve">—and their functional analogs in the plant kingdom, the </w:t>
      </w:r>
      <w:r w:rsidDel="00000000" w:rsidR="00000000" w:rsidRPr="00000000">
        <w:rPr>
          <w:b w:val="1"/>
          <w:color w:val="1b1c1d"/>
          <w:rtl w:val="0"/>
        </w:rPr>
        <w:t xml:space="preserve">Non-specific Lipid Transfer Proteins (nsLTPs)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computational proximity of these disparate proteins suggests a highly specific commonality in the local physicochemical environment engineered for hydrophobic ligand sequestration, which the PLM successfully detects where conventional methods might fail.</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ecxna57l9eh" w:id="2"/>
      <w:bookmarkEnd w:id="2"/>
      <w:r w:rsidDel="00000000" w:rsidR="00000000" w:rsidRPr="00000000">
        <w:rPr>
          <w:b w:val="1"/>
          <w:color w:val="1b1c1d"/>
          <w:sz w:val="26"/>
          <w:szCs w:val="26"/>
          <w:rtl w:val="0"/>
        </w:rPr>
        <w:t xml:space="preserve">B. Significance of Hydrophobic Ligand Sequestration in Multi-Kingdom Biology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efficient sequestration and controlled transport of lipophilic molecules, such as sterols and steroids, constitute a fundamental requirement for cellular communication, membrane regulation, and host defense across all kingdoms.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These molecules are often highly potent signaling agents (steroid hormones in mammals) or crucial structural components (sterols in eukaryotes and oomycetes).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plant-oomycete interaction, sterol binding forms the basis of a biological "arms race".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Pathogenic oomycetes, being sterol auxotrophs, require host sterols for growth and reproduction, regulating these processes via sophisticated sensing mechanisms.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Conversely, plants employ immune responses, such as the secretion of sterol-binding proteins, to sequester microbial sterols (like fungal ergosterol) away from microbial membranes or to recognize the microbial elicitin-sterol complex as a threat.</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Therefore, the structural ability to encapsulate these lipophilic rings—whether for transport, storage, or defense signaling—is a critical, conserved function driving the common characteristics observed in this PLM cluster.</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kripuuz4qod" w:id="3"/>
      <w:bookmarkEnd w:id="3"/>
      <w:r w:rsidDel="00000000" w:rsidR="00000000" w:rsidRPr="00000000">
        <w:rPr>
          <w:b w:val="1"/>
          <w:color w:val="1b1c1d"/>
          <w:sz w:val="34"/>
          <w:szCs w:val="34"/>
          <w:rtl w:val="0"/>
        </w:rPr>
        <w:t xml:space="preserve">II. Beta-Elicitin Cryptogein (CRY): An Oomycete PAMP and Sterol Sensor</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072srg9g6z5" w:id="4"/>
      <w:bookmarkEnd w:id="4"/>
      <w:r w:rsidDel="00000000" w:rsidR="00000000" w:rsidRPr="00000000">
        <w:rPr>
          <w:b w:val="1"/>
          <w:color w:val="1b1c1d"/>
          <w:sz w:val="26"/>
          <w:szCs w:val="26"/>
          <w:rtl w:val="0"/>
        </w:rPr>
        <w:t xml:space="preserve">A. General Background, Classification, and Structure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Elicitins are small, highly conserved extracellular proteins secreted by </w:t>
      </w:r>
      <w:r w:rsidDel="00000000" w:rsidR="00000000" w:rsidRPr="00000000">
        <w:rPr>
          <w:i w:val="1"/>
          <w:color w:val="1b1c1d"/>
          <w:rtl w:val="0"/>
        </w:rPr>
        <w:t xml:space="preserve">Phytophthora</w:t>
      </w:r>
      <w:r w:rsidDel="00000000" w:rsidR="00000000" w:rsidRPr="00000000">
        <w:rPr>
          <w:color w:val="1b1c1d"/>
          <w:rtl w:val="0"/>
        </w:rPr>
        <w:t xml:space="preserve"> and </w:t>
      </w:r>
      <w:r w:rsidDel="00000000" w:rsidR="00000000" w:rsidRPr="00000000">
        <w:rPr>
          <w:i w:val="1"/>
          <w:color w:val="1b1c1d"/>
          <w:rtl w:val="0"/>
        </w:rPr>
        <w:t xml:space="preserve">Pythium</w:t>
      </w:r>
      <w:r w:rsidDel="00000000" w:rsidR="00000000" w:rsidRPr="00000000">
        <w:rPr>
          <w:color w:val="1b1c1d"/>
          <w:rtl w:val="0"/>
        </w:rPr>
        <w:t xml:space="preserve"> species and were first described for their capacity to elicit the hypersensitive response (HR) and systemic resistance in plants, notably tobacco.</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They are classified as Oomycete Pathogen-Associated Molecular Patterns (PAMPs), triggering a core branch of the plant immune system known as PAMP-triggered immunity (PTI).</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Cryptogein belongs to the classic Elicitin (ELI) group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characterized by a highly conserved 98-amino acid domain.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protein fold is predominantly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lending structural stability to the molecule.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A defining characteristic is the presence of six invariant Cysteine residues positioned strategically to form three stable, structurally determinant disulfide bridges.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These linkages are crucial for maintaining the precise geometry of the internal hydrophobic binding site in the extracellular environment. Furthermore, the 98-amino acid domain is noteworthy for its consistent absence of Tryptophan, Histidine, and Arginine residues.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compositional constraint suggests strong evolutionary pressure to preserve the chemical neutrality and maximize the hydrophobicity of the sterol-binding tunnel, minimizing unwanted surface interactions or internal chemical reactions that could compromise ligand binding or stability.</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asma778kqcu" w:id="5"/>
      <w:bookmarkEnd w:id="5"/>
      <w:r w:rsidDel="00000000" w:rsidR="00000000" w:rsidRPr="00000000">
        <w:rPr>
          <w:b w:val="1"/>
          <w:color w:val="1b1c1d"/>
          <w:sz w:val="26"/>
          <w:szCs w:val="26"/>
          <w:rtl w:val="0"/>
        </w:rPr>
        <w:t xml:space="preserve">B. Sterol Interaction Mechanism and Ligand Specificity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Cryptogein’s primary biochemical function is its high-affinity binding to planar sterols.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Although produced by an oomycete,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-cryptogein demonstrates robust sterol-shuttling ability, accommodating molecules such as cholesterol and fungal ergosterol.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Experimental data confirm that the binding stoichiometry is approximately one sterol molecule per elicitin molecule.</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 resolution of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-cryptogein complexed with cholesterol (PDB entry 1LRI) illuminates the mechanistic basis of this interaction.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sterol ligand is housed within a "lax, hydrophobic, and elongated tunnel" that is almost entirely enveloped by several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high degree of enclosure ensures the complete sequestration of the lipophilic molecule from the aqueous environment. It is important to note that the presence of a functional sterol-binding site in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-cryptogein is not predicted by simple linear consensus sequences, as the protein sequence does not contain the Cholesterol Recognition/Interaction Amino acid Consensus (CRAC) motif.</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observation supports the thesis that computational models like PLMs must rely on recognizing complex sequence patterns that encode for the geometry and chemistry of the three-dimensional binding pocket, rather than relying on predefined linear motifs.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u3s3p5pntyg" w:id="6"/>
      <w:bookmarkEnd w:id="6"/>
      <w:r w:rsidDel="00000000" w:rsidR="00000000" w:rsidRPr="00000000">
        <w:rPr>
          <w:b w:val="1"/>
          <w:color w:val="1b1c1d"/>
          <w:sz w:val="26"/>
          <w:szCs w:val="26"/>
          <w:rtl w:val="0"/>
        </w:rPr>
        <w:t xml:space="preserve">C. Physiological Role in Host-Pathogen Interaction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Cryptogein acts by binding specifically and with high affinity to receptor sites located on the host plasma membrane, exhibiting a dissociation constant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approximately 2 nM.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Biochemical characterization of these binding sites in tobacco plasma membranes indicates they correspond to one or more plasma membrane glycoproteins, possessing an N-linked carbohydrate moiety, with an estimated functional molecular mass of 193 kDa.</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recognition event triggers a swift and profound signal transduction cascade in the plant cell. Key initial steps involve a massive stimulation of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influx, which is essential for initiating all downstream defense responses.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signaling is quickly followed by extracellular alkalinization, the production of Active Oxygen Species (AOS), and the synthesis of phytoalexins.</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Evidence suggests that this signaling process involves early steps of protein phosphorylation, as inhibitors of protein kinases, such as staurosporine, can suppress the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influx induced by cryptogein.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sophisticated duality exists in cryptogein’s physiological role. While its perception by the host classifies it as a PAMP and avirulence factor, driving systemic resistance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oomycete pathogen itself utilizes elicitins as essential components of its environmental sensing apparatus.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Auxotrophic </w:t>
      </w:r>
      <w:r w:rsidDel="00000000" w:rsidR="00000000" w:rsidRPr="00000000">
        <w:rPr>
          <w:i w:val="1"/>
          <w:color w:val="1b1c1d"/>
          <w:rtl w:val="0"/>
        </w:rPr>
        <w:t xml:space="preserve">Phytophthora</w:t>
      </w:r>
      <w:r w:rsidDel="00000000" w:rsidR="00000000" w:rsidRPr="00000000">
        <w:rPr>
          <w:color w:val="1b1c1d"/>
          <w:rtl w:val="0"/>
        </w:rPr>
        <w:t xml:space="preserve"> species couple elicitins with sterol coreceptors, such as SSRK1, to actively sense and monitor host sterols, regulating pathogen growth and reproduction.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molecular arrangement reveals that the core function—sterol binding—serves the pathogen directly as an environmental sensor, creating a multifaceted "sterol-based arms race" where the binding mechanism simultaneously drives host defense and supports pathogen virulence.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6meqiayiq1x" w:id="7"/>
      <w:bookmarkEnd w:id="7"/>
      <w:r w:rsidDel="00000000" w:rsidR="00000000" w:rsidRPr="00000000">
        <w:rPr>
          <w:b w:val="1"/>
          <w:color w:val="1b1c1d"/>
          <w:sz w:val="26"/>
          <w:szCs w:val="26"/>
          <w:rtl w:val="0"/>
        </w:rPr>
        <w:t xml:space="preserve">D. Alpha vs. Beta Elicitins and Systemic Activity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Elicitins are broadly categorized into acidic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basic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forms.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Structurally, both classes bind to the same high-affinity plasma membrane receptor site with equivalent affinity.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However,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-elicitins, such as cryptogein, are characterized by a significantly higher net positive charge due to the presence of 6–7 lysine residues, compared to only 1–3 lysine residues found in the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-isoforms.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difference in charge translates directly into a dramatic disparity in biological potency: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-elicitins are generally 50- to 100-fold more active in inducing distal HR and systemic acquired resistance (SAR).</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Importantly, this enhanced activity is highly dependent on the application method. While direct infiltration causes local acquired resistance (LAR) regardless of type, systemic resistance is only induced efficiently by the basic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-forms when applied via the stem, which utilizes the plant’s internal transport system.</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enhanced systemic activity of </w:t>
      </w: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-elicitins is attributed not to improved receptor affinity, but to crucial processes preceding recognition.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Research indicates a strong correlation between the protein's basic charge and its systemic activity, which is linked to the capacity for </w:t>
      </w:r>
      <w:r w:rsidDel="00000000" w:rsidR="00000000" w:rsidRPr="00000000">
        <w:rPr>
          <w:b w:val="1"/>
          <w:color w:val="1b1c1d"/>
          <w:rtl w:val="0"/>
        </w:rPr>
        <w:t xml:space="preserve">homodimer formation</w:t>
      </w:r>
      <w:r w:rsidDel="00000000" w:rsidR="00000000" w:rsidRPr="00000000">
        <w:rPr>
          <w:color w:val="1b1c1d"/>
          <w:rtl w:val="0"/>
        </w:rPr>
        <w:t xml:space="preserve"> and, critically, the formation of </w:t>
      </w:r>
      <w:r w:rsidDel="00000000" w:rsidR="00000000" w:rsidRPr="00000000">
        <w:rPr>
          <w:b w:val="1"/>
          <w:color w:val="1b1c1d"/>
          <w:rtl w:val="0"/>
        </w:rPr>
        <w:t xml:space="preserve">heterodimers with potential endogenous partners</w:t>
      </w:r>
      <w:r w:rsidDel="00000000" w:rsidR="00000000" w:rsidRPr="00000000">
        <w:rPr>
          <w:color w:val="1b1c1d"/>
          <w:rtl w:val="0"/>
        </w:rPr>
        <w:t xml:space="preserve">, specifically plant Non-specific Lipid Transfer Proteins (LTPs).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protein-protein interactions, mediated by the lysine residues and overall protein charge, appear essential for effective apoplastic or symplastic transport, thereby ensuring the elicitor reaches the distal tissues necessary to establish systemic immunity.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yegwl5v213" w:id="8"/>
      <w:bookmarkEnd w:id="8"/>
      <w:r w:rsidDel="00000000" w:rsidR="00000000" w:rsidRPr="00000000">
        <w:rPr>
          <w:b w:val="1"/>
          <w:color w:val="1b1c1d"/>
          <w:sz w:val="34"/>
          <w:szCs w:val="34"/>
          <w:rtl w:val="0"/>
        </w:rPr>
        <w:t xml:space="preserve">III. Divergent Steroid-Binding Proteins in the PLM Cluster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PLM clustering encompasses several functionally equivalent steroid-binding proteins across kingdoms, demonstrating the model's ability to identify convergence in molecular mechanisms despite radical structural divergence.</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3byzx6q6xya" w:id="9"/>
      <w:bookmarkEnd w:id="9"/>
      <w:r w:rsidDel="00000000" w:rsidR="00000000" w:rsidRPr="00000000">
        <w:rPr>
          <w:b w:val="1"/>
          <w:color w:val="1b1c1d"/>
          <w:sz w:val="26"/>
          <w:szCs w:val="26"/>
          <w:rtl w:val="0"/>
        </w:rPr>
        <w:t xml:space="preserve">A. Non-Specific Lipid Transfer Proteins (nsLTPs): Plant Analogs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Non-specific Lipid Transfer Proteins (nsLTPs) are a superfamily of plant-specific antimicrobial peptides (AMPs), typically ranging from 6.5–10.5 kDa.</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They are highly conserved, defined structurally by an eight-cysteine motif (8CM) that forms four stabilizing disulfide bridges.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nsLTP fold is characterized by a conserved right-handed superhelix.</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nsLTPs are functionally characterized by their ability to bind and transfer various hydrophobic molecules, including fatty acids, phospholipids, and sterols, between membranes.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Although their overall fold differs from that of elicitins, they share the essential feature of an internal hydrophobic cavity.</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For instance, rice nsLTP2 possesses a cavity flexible enough to accommodate planar sterol molecules, such as cholesterol, with a dissociation constant of approximately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flexibility contrasts with the high specificity often seen in mammalian globulins but parallels the "lax" nature described for the CRY tunnel.</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necessity of creating a deep, non-aqueous pocket for bulky sterols requires a highly stabilized scaffolding, which is achieved in nsLTPs through four disulfide bonds.</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This convergence with the six-cysteine stabilization observed in Elicitins suggests that the fundamental chemical requirements for hydrophobic sequestration drive a common signature in the sequence structure, regardless of the protein’s origin or specific fold type (superhelix vs.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bundle). This shared Cys-stabilized, hydrophobic ligand sequestration mechanism is a primary functional denominator that likely places nsLTPs within the CRY-centered PLM cluster.</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21310py03m0" w:id="10"/>
      <w:bookmarkEnd w:id="10"/>
      <w:r w:rsidDel="00000000" w:rsidR="00000000" w:rsidRPr="00000000">
        <w:rPr>
          <w:b w:val="1"/>
          <w:color w:val="1b1c1d"/>
          <w:sz w:val="26"/>
          <w:szCs w:val="26"/>
          <w:rtl w:val="0"/>
        </w:rPr>
        <w:t xml:space="preserve">B. Mammalian Steroid Transport Globulins: SHBG and CBG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mammals, the circulation and distribution of biologically active steroid hormones are critically managed by plasma transport proteins, which are correctly viewed as the "primary gatekeepers of steroid action".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two high-affinity globulins explicitly related to steroid binding are Sex Hormone-Binding Globulin (SHBG) and Corticosteroid-Binding Globulin (CBG).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Both SHBG and CBG are glycoproteins that bind steroids with high affinity (in the nanomolar range) and specificity.</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SHBG specifically binds androgens (e.g., testosterone) and estrogens (e.g., estradiol).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Conversely, CBG is specialized for binding glucocorticoids and progesterone.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Crucially for the PLM analysis, these globulins are structurally distinct from one another and are also structurally unrelated to CRY, often adopting a Serpin-like fold.</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These globulins function dynamically, regulating the non-protein-bound, or 'free,' fraction of circulating hormones that are considered biologically active.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They are synthesized by the liver, and their production levels fluctuate based on developmental stage and various physiological or pathophysiological conditions.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y9krrpdem17" w:id="11"/>
      <w:bookmarkEnd w:id="11"/>
      <w:r w:rsidDel="00000000" w:rsidR="00000000" w:rsidRPr="00000000">
        <w:rPr>
          <w:b w:val="1"/>
          <w:color w:val="1b1c1d"/>
          <w:sz w:val="26"/>
          <w:szCs w:val="26"/>
          <w:rtl w:val="0"/>
        </w:rPr>
        <w:t xml:space="preserve">C. Mechanistic Roles and Pathological Relevance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core function of SHBG and CBG extends beyond passive buffering; they actively control steroid hormone access to target tissues and cells.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By binding steroids with high specificity, they dictate the rate and location of hormone availability.</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Pathologically, any deviation from normal plasma levels or altered steroid-binding capacity in SHBG and CBG is associated with a variety of clinical conditions.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Understanding how the unique structure of each globulin determines its specialized affinity and function is central to endocrinology and drug design, providing insights into steroid freedom of action in health and disease.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comparison across kingdoms reveals a common mechanistic goal: the sequestering protein dictates the regulatory influence of the ligand. In mammals, SHBG/CBG control endocrine signaling by buffering systemic concentrations; in the plant-oomycete system, CRY controls immune signaling by presenting a bound sterol complex to a specific receptor.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g6s13dsc275" w:id="12"/>
      <w:bookmarkEnd w:id="12"/>
      <w:r w:rsidDel="00000000" w:rsidR="00000000" w:rsidRPr="00000000">
        <w:rPr>
          <w:b w:val="1"/>
          <w:color w:val="1b1c1d"/>
          <w:sz w:val="34"/>
          <w:szCs w:val="34"/>
          <w:rtl w:val="0"/>
        </w:rPr>
        <w:t xml:space="preserve">IV. Cross-Cutting Comparative Analysis: Rationale for PLM Clustering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of these structurally disparate proteins—the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bundle elicitins, the </w:t>
      </w: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-helix superhelix nsLTPs, and the Serpin-fold globulins—by PLM embeddings is a powerful illustration of computational recognition of molecular convergence.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Molecular and Functional Characteristics of Key Steroid-Binding Proteins in the PLM Cluster</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2.5755743651755"/>
        <w:gridCol w:w="1165.7557436517534"/>
        <w:gridCol w:w="1414.752116082225"/>
        <w:gridCol w:w="1426.0701330108827"/>
        <w:gridCol w:w="1222.3458282950423"/>
        <w:gridCol w:w="1629.7944377267231"/>
        <w:gridCol w:w="1448.7061668681984"/>
        <w:tblGridChange w:id="0">
          <w:tblGrid>
            <w:gridCol w:w="1052.5755743651755"/>
            <w:gridCol w:w="1165.7557436517534"/>
            <w:gridCol w:w="1414.752116082225"/>
            <w:gridCol w:w="1426.0701330108827"/>
            <w:gridCol w:w="1222.3458282950423"/>
            <w:gridCol w:w="1629.7944377267231"/>
            <w:gridCol w:w="1448.7061668681984"/>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b w:val="1"/>
                <w:color w:val="1b1c1d"/>
                <w:rtl w:val="0"/>
              </w:rPr>
              <w:t xml:space="preserve">Protein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b w:val="1"/>
                <w:color w:val="1b1c1d"/>
                <w:rtl w:val="0"/>
              </w:rPr>
              <w:t xml:space="preserve">Example 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b w:val="1"/>
                <w:color w:val="1b1c1d"/>
                <w:rtl w:val="0"/>
              </w:rPr>
              <w:t xml:space="preserve">Origin / Organism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b w:val="1"/>
                <w:color w:val="1b1c1d"/>
                <w:rtl w:val="0"/>
              </w:rPr>
              <w:t xml:space="preserve">Primary Fold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b w:val="1"/>
                <w:color w:val="1b1c1d"/>
                <w:rtl w:val="0"/>
              </w:rPr>
              <w:t xml:space="preserve">Conserved Cysteine Count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b w:val="1"/>
                <w:color w:val="1b1c1d"/>
                <w:rtl w:val="0"/>
              </w:rPr>
              <w:t xml:space="preserve">Primary Ligand Class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Elicitin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Cryptogein (CRY)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Oomycete (</w:t>
            </w:r>
            <w:r w:rsidDel="00000000" w:rsidR="00000000" w:rsidRPr="00000000">
              <w:rPr>
                <w:i w:val="1"/>
                <w:color w:val="1b1c1d"/>
                <w:rtl w:val="0"/>
              </w:rPr>
              <w:t xml:space="preserve">P. cryptogea</w:t>
            </w:r>
            <w:r w:rsidDel="00000000" w:rsidR="00000000" w:rsidRPr="00000000">
              <w:rPr>
                <w:color w:val="1b1c1d"/>
                <w:rtl w:val="0"/>
              </w:rPr>
              <w:t xml:space="preser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Bundle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6 (3 Disulfide Bridges)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Sterols (Cholesterol, Ergosterol)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PAMP, Elicits Systemic Plant Defense, Pathogen Sterol Sensor </w:t>
            </w:r>
            <w:r w:rsidDel="00000000" w:rsidR="00000000" w:rsidRPr="00000000">
              <w:rPr>
                <w:color w:val="444746"/>
                <w:sz w:val="40"/>
                <w:szCs w:val="40"/>
                <w:highlight w:val="white"/>
                <w:vertAlign w:val="superscript"/>
                <w:rtl w:val="0"/>
              </w:rPr>
              <w:t xml:space="preserve">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Steroid Transport Globulin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SHBG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Mammalian (Plasma)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Serpin-like (Glycoprotein)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Variable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Sex Hormones (Testosterone, Estradiol)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Hormone Buffering, Bioavailability Control </w:t>
            </w:r>
            <w:r w:rsidDel="00000000" w:rsidR="00000000" w:rsidRPr="00000000">
              <w:rPr>
                <w:color w:val="444746"/>
                <w:sz w:val="40"/>
                <w:szCs w:val="40"/>
                <w:highlight w:val="white"/>
                <w:vertAlign w:val="superscript"/>
                <w:rtl w:val="0"/>
              </w:rPr>
              <w:t xml:space="preserve">5</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Steroid Transport Globulin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CBG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Mammalian (Plasma)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Serpin-like (Glycoprotein)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Variable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Corticosteroids (Glucocorticoids, Progesterone)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Hormone Buffering, Stress Response Regulation </w:t>
            </w:r>
            <w:r w:rsidDel="00000000" w:rsidR="00000000" w:rsidRPr="00000000">
              <w:rPr>
                <w:color w:val="444746"/>
                <w:sz w:val="40"/>
                <w:szCs w:val="40"/>
                <w:highlight w:val="white"/>
                <w:vertAlign w:val="superscript"/>
                <w:rtl w:val="0"/>
              </w:rPr>
              <w:t xml:space="preserve">5</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Lipid Transfer Protein (Analog)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nsLTPs (Type II)</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Plant (Apoplast/Cell Wall)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-Helix Superhelix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8 (4 Disulfide Bridges)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Diverse Lipids, Planar Sterols (Cholesterol)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Plant Defense, Membrane Structure, Elicitin Partner </w:t>
            </w:r>
            <w:r w:rsidDel="00000000" w:rsidR="00000000" w:rsidRPr="00000000">
              <w:rPr>
                <w:color w:val="444746"/>
                <w:sz w:val="40"/>
                <w:szCs w:val="40"/>
                <w:highlight w:val="white"/>
                <w:vertAlign w:val="superscript"/>
                <w:rtl w:val="0"/>
              </w:rPr>
              <w:t xml:space="preserve">15</w:t>
            </w:r>
          </w:p>
        </w:tc>
      </w:tr>
    </w:tbl>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5kcd7wlhaxa" w:id="13"/>
      <w:bookmarkEnd w:id="13"/>
      <w:r w:rsidDel="00000000" w:rsidR="00000000" w:rsidRPr="00000000">
        <w:rPr>
          <w:b w:val="1"/>
          <w:color w:val="1b1c1d"/>
          <w:sz w:val="26"/>
          <w:szCs w:val="26"/>
          <w:rtl w:val="0"/>
        </w:rPr>
        <w:t xml:space="preserve">A. Structural Convergence: The Hydrophobic Ligand Sequestration Module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unifying structural theme across CRY, nsLTPs, SHBG, and CBG is the engineering of a deep, internal binding site tailored to accommodate the bulky, non-polar, polycyclic structure of sterols or steroids.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the overall protein folds vary dramatically, the localized chemistry and topology required to generate the </w:t>
      </w:r>
      <w:r w:rsidDel="00000000" w:rsidR="00000000" w:rsidRPr="00000000">
        <w:rPr>
          <w:b w:val="1"/>
          <w:color w:val="1b1c1d"/>
          <w:rtl w:val="0"/>
        </w:rPr>
        <w:t xml:space="preserve">Steroid Interaction Surface (SIS)</w:t>
      </w:r>
      <w:r w:rsidDel="00000000" w:rsidR="00000000" w:rsidRPr="00000000">
        <w:rPr>
          <w:color w:val="1b1c1d"/>
          <w:rtl w:val="0"/>
        </w:rPr>
        <w:t xml:space="preserve"> are highly similar.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CRY and nsLTPs, this requirement necessitates extreme stability in the binding site, achieved by incorporating highly conserved Cysteine residues that form disulfide bonds (3 in CRY, 4 in nsLTPs).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These bonds act as rigid structural constraints, ensuring the integrity of the hydrophobic tunnel despite environmental fluctuations.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presence of these Cys-rich sequences, interspersed with dense hydrophobic stretches, defines the common chemical language recognized by the PLM.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failure of simple sequence motifs, such as the CRAC domain, to reliably predict sterol binding in soluble proteins like CRY underscores the inadequacy of traditional sequence analysis.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Instead, the PLM must be recognizing the complex, non-linear sequence pattern that defines the three-dimensional coordinates and chemical interactions necessary for the specific hydrophobic cavity geometry, irrespective of the global tertiary architecture that encompasses it. The computational model successfully identifies molecular convergence—where distinct evolutionary lineages arrive at functionally and chemically equivalent binding pockets.</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2ojzd449ro2" w:id="14"/>
      <w:bookmarkEnd w:id="14"/>
      <w:r w:rsidDel="00000000" w:rsidR="00000000" w:rsidRPr="00000000">
        <w:rPr>
          <w:b w:val="1"/>
          <w:color w:val="1b1c1d"/>
          <w:sz w:val="26"/>
          <w:szCs w:val="26"/>
          <w:rtl w:val="0"/>
        </w:rPr>
        <w:t xml:space="preserve">B. Functional Parallels in Ligand Shuttling and Regulation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444746"/>
          <w:sz w:val="40"/>
          <w:szCs w:val="40"/>
          <w:highlight w:val="white"/>
          <w:vertAlign w:val="superscript"/>
        </w:rPr>
      </w:pPr>
      <w:r w:rsidDel="00000000" w:rsidR="00000000" w:rsidRPr="00000000">
        <w:rPr>
          <w:color w:val="1b1c1d"/>
          <w:rtl w:val="0"/>
        </w:rPr>
        <w:t xml:space="preserve">Functionally, these clustered proteins share the overarching role of controlling the biological activity of their respective lipophilic ligands. They are all involved in </w:t>
      </w:r>
      <w:r w:rsidDel="00000000" w:rsidR="00000000" w:rsidRPr="00000000">
        <w:rPr>
          <w:b w:val="1"/>
          <w:color w:val="1b1c1d"/>
          <w:rtl w:val="0"/>
        </w:rPr>
        <w:t xml:space="preserve">shuttling</w:t>
      </w:r>
      <w:r w:rsidDel="00000000" w:rsidR="00000000" w:rsidRPr="00000000">
        <w:rPr>
          <w:color w:val="1b1c1d"/>
          <w:rtl w:val="0"/>
        </w:rPr>
        <w:t xml:space="preserve"> or </w:t>
      </w:r>
      <w:r w:rsidDel="00000000" w:rsidR="00000000" w:rsidRPr="00000000">
        <w:rPr>
          <w:b w:val="1"/>
          <w:color w:val="1b1c1d"/>
          <w:rtl w:val="0"/>
        </w:rPr>
        <w:t xml:space="preserve">regulating the freedom</w:t>
      </w:r>
      <w:r w:rsidDel="00000000" w:rsidR="00000000" w:rsidRPr="00000000">
        <w:rPr>
          <w:color w:val="1b1c1d"/>
          <w:rtl w:val="0"/>
        </w:rPr>
        <w:t xml:space="preserve"> of the steroid molecule.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Transport and Signaling in Plants:</w:t>
      </w:r>
      <w:r w:rsidDel="00000000" w:rsidR="00000000" w:rsidRPr="00000000">
        <w:rPr>
          <w:color w:val="1b1c1d"/>
          <w:rtl w:val="0"/>
        </w:rPr>
        <w:t xml:space="preserve"> CRY acts as a sterol shuttle, sequestering sterols (both microbial and host-derived) and transporting the resulting complex to the membrane receptor system (glycoprotein/SSRK1) for signal initiation.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systemic efficacy of CRY relies on complex formation, likely involving nsLTPs, to facilitate movement through the plant vasculature.</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Systemic Transport in Mammals:</w:t>
      </w:r>
      <w:r w:rsidDel="00000000" w:rsidR="00000000" w:rsidRPr="00000000">
        <w:rPr>
          <w:color w:val="1b1c1d"/>
          <w:rtl w:val="0"/>
        </w:rPr>
        <w:t xml:space="preserve"> SHBG and CBG function as high-affinity transporters, buffering the concentration of potent hormones in the plasma.</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Their binding ensures controlled systemic delivery and regulation of hormone availability to target tissues.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both biological contexts, the protein-ligand complex dictates the regulatory outcome. The efficacy of CRY is modulated by its capacity to engage in protein-protein interactions (dimerization) driven by its charge.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Similarly, the regulatory role of SHBG and CBG involves mechanisms that control the dissociation or presentation of the steroid at target cell surfaces.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Comparative Analysis of Hydrophobic Binding Architecture and Mechanism</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160"/>
        <w:gridCol w:w="2535"/>
        <w:gridCol w:w="2055"/>
        <w:tblGridChange w:id="0">
          <w:tblGrid>
            <w:gridCol w:w="2190"/>
            <w:gridCol w:w="2160"/>
            <w:gridCol w:w="2535"/>
            <w:gridCol w:w="2055"/>
          </w:tblGrid>
        </w:tblGridChange>
      </w:tblGrid>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Beta-Elicitin Cryptogein (CRY)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Non-Specific Lipid Transfer Proteins (nsLTPs)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b w:val="1"/>
                <w:color w:val="1b1c1d"/>
                <w:rtl w:val="0"/>
              </w:rPr>
              <w:t xml:space="preserve">Mammalian Transport Globulins (SHBG/CBG)</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Binding Site 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Elongated hydrophobic tunnel, fully enclosed by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-helices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Internal hydrophobic cavity (flexible, especially Type II) </w:t>
            </w:r>
            <w:r w:rsidDel="00000000" w:rsidR="00000000" w:rsidRPr="00000000">
              <w:rPr>
                <w:color w:val="444746"/>
                <w:sz w:val="40"/>
                <w:szCs w:val="40"/>
                <w:highlight w:val="white"/>
                <w:vertAlign w:val="superscript"/>
                <w:rtl w:val="0"/>
              </w:rPr>
              <w:t xml:space="preserve">20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Specific high-affinity pocket (highly tailored for ligand) </w:t>
            </w:r>
            <w:r w:rsidDel="00000000" w:rsidR="00000000" w:rsidRPr="00000000">
              <w:rPr>
                <w:color w:val="444746"/>
                <w:sz w:val="40"/>
                <w:szCs w:val="40"/>
                <w:highlight w:val="white"/>
                <w:vertAlign w:val="superscript"/>
                <w:rtl w:val="0"/>
              </w:rPr>
              <w:t xml:space="preserve">5</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b w:val="1"/>
                <w:color w:val="1b1c1d"/>
                <w:rtl w:val="0"/>
              </w:rPr>
              <w:t xml:space="preserve">Ligand Access/Release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Requires protein-protein interaction (e.g., dimerization/LTP complex) and potential charge mediation </w:t>
            </w:r>
            <w:r w:rsidDel="00000000" w:rsidR="00000000" w:rsidRPr="00000000">
              <w:rPr>
                <w:color w:val="444746"/>
                <w:sz w:val="40"/>
                <w:szCs w:val="40"/>
                <w:highlight w:val="white"/>
                <w:vertAlign w:val="superscript"/>
                <w:rtl w:val="0"/>
              </w:rPr>
              <w:t xml:space="preserve">15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Proposed membrane insertion/transfer mechanism </w:t>
            </w:r>
            <w:r w:rsidDel="00000000" w:rsidR="00000000" w:rsidRPr="00000000">
              <w:rPr>
                <w:color w:val="444746"/>
                <w:sz w:val="40"/>
                <w:szCs w:val="40"/>
                <w:highlight w:val="white"/>
                <w:vertAlign w:val="superscript"/>
                <w:rtl w:val="0"/>
              </w:rPr>
              <w:t xml:space="preserve">20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Conformational change (e.g., proteolytic cleavage or temperature/pH change) </w:t>
            </w:r>
            <w:r w:rsidDel="00000000" w:rsidR="00000000" w:rsidRPr="00000000">
              <w:rPr>
                <w:color w:val="444746"/>
                <w:sz w:val="40"/>
                <w:szCs w:val="40"/>
                <w:highlight w:val="white"/>
                <w:vertAlign w:val="superscript"/>
                <w:rtl w:val="0"/>
              </w:rPr>
              <w:t xml:space="preserve">5</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b w:val="1"/>
                <w:color w:val="1b1c1d"/>
                <w:rtl w:val="0"/>
              </w:rPr>
              <w:t xml:space="preserve">Determinant for Systemic Efficacy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Protein net charge (Lysine content) </w:t>
            </w:r>
            <w:r w:rsidDel="00000000" w:rsidR="00000000" w:rsidRPr="00000000">
              <w:rPr>
                <w:color w:val="444746"/>
                <w:sz w:val="40"/>
                <w:szCs w:val="40"/>
                <w:highlight w:val="white"/>
                <w:vertAlign w:val="superscript"/>
                <w:rtl w:val="0"/>
              </w:rPr>
              <w:t xml:space="preserve">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Disulfide bridge topology and flexibility (Type I vs. II) </w:t>
            </w:r>
            <w:r w:rsidDel="00000000" w:rsidR="00000000" w:rsidRPr="00000000">
              <w:rPr>
                <w:color w:val="444746"/>
                <w:sz w:val="40"/>
                <w:szCs w:val="40"/>
                <w:highlight w:val="white"/>
                <w:vertAlign w:val="superscript"/>
                <w:rtl w:val="0"/>
              </w:rPr>
              <w:t xml:space="preserve">19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Hormone specificity and plasma concentration </w:t>
            </w:r>
            <w:r w:rsidDel="00000000" w:rsidR="00000000" w:rsidRPr="00000000">
              <w:rPr>
                <w:color w:val="444746"/>
                <w:sz w:val="40"/>
                <w:szCs w:val="40"/>
                <w:highlight w:val="white"/>
                <w:vertAlign w:val="superscript"/>
                <w:rtl w:val="0"/>
              </w:rPr>
              <w:t xml:space="preserve">5</w:t>
            </w:r>
          </w:p>
        </w:tc>
      </w:tr>
      <w:tr>
        <w:trPr>
          <w:cantSplit w:val="0"/>
          <w:trHeight w:val="25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PLM Cluster Significance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Highly conserved sequence defining the structural environment for sterol ring sequestration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Functional/structural analog; sequence encodes Cys-stabilized hydrophobic volume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Sequence encodes specific binding pocket chemistry for high-affinity steroid recognition</w:t>
            </w:r>
          </w:p>
        </w:tc>
      </w:tr>
    </w:tbl>
    <w:p w:rsidR="00000000" w:rsidDel="00000000" w:rsidP="00000000" w:rsidRDefault="00000000" w:rsidRPr="00000000" w14:paraId="0000006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s6suhgbmdzn" w:id="15"/>
      <w:bookmarkEnd w:id="15"/>
      <w:r w:rsidDel="00000000" w:rsidR="00000000" w:rsidRPr="00000000">
        <w:rPr>
          <w:b w:val="1"/>
          <w:color w:val="1b1c1d"/>
          <w:sz w:val="34"/>
          <w:szCs w:val="34"/>
          <w:rtl w:val="0"/>
        </w:rPr>
        <w:t xml:space="preserve">V. Conclusion and Future Directions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investigation into the protein cluster defined by PLM embeddings around Beta-elicitin cryptogein (CRY) confirms that sophisticated computational models can identify deeply conserved functional homology that eludes traditional sequence or structural methodologies.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CRY is established as a dual-function molecule: a potent oomycete PAMP driving systemic plant immunity and a critical sterol sensor essential for pathogen reproduction. Its high conservation stems from the necessity to maintain a stable, </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-helical, hydrophobic tunnel defined by six Cysteine residues for efficient sterol sequestration. The striking difference in biological activity between </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-elicitins, despite identical receptor affinity, highlights the importance of surface chemistry (net charge) in mediating critical pre-recognition steps, specifically dimerization with plant nsLTPs to facilitate systemic transport.</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CRY with mammalian steroid globulins (SHBG/CBG) and plant nsLTPs is scientifically validated by the functional convergence in hydrophobic ligand binding. All these proteins demonstrate an evolutionary commitment to stabilizing a specific chemical topology—the Steroid Interaction Surface—required to sequester planar sterols or steroids within a protected cavity. The commonality lies not in the overall Serpin or Elicitin fold, but in the highly specific sequence encoding of this local binding environment, which often involves cysteine stabilization.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Future research should focus on obtaining high-resolution structural data for the proposed CRY/nsLTP heterodimer complex to elucidate the exact mechanism by which oomycete PAMPs hijack host transport systems for systemic signaling. Furthermore, computational biology must be directed toward deconvoluting the specific sequence patterns identified by PLMs, translating these high-dimensional vector similarities back into recognizable, complex physicochemical motifs that predict the universal capacity for deep hydrophobic ligand sequestration across all kingdoms of life. This integration of computational analysis and molecular structure will continue to illuminate the conserved strategies employed by organisms to regulate the critical activity of sterol and steroid molecules.</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