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Comprehensive Reference Report on the Steroidogenic Cytochrome P450 Cluster: Structure, Function, and Pathological Intersections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 Introduction to the Cytochrome P450 Steroidogenic Cluster</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regulation of vertebrate endocrine systems relies fundamentally on the precise, sequential transformation of cholesterol into active steroid hormones. The core enzymatic machinery responsible for these conversions comprises a tightly clustered group of steroid-binding proteins belonging to the Cytochrome P450 (CYP) superfamily. While the initial annotation highlights Aromatase (CYP19A1) as a focal point, the high similarity inferred by protein language model embeddings necessitates a unified study encompassing the five principal human steroidogenic P450 enzymes: Cholesterol side-chain cleavage enzyme (CYP11A1), -hydroxylase/17,20-lyase (CYP17A1), -hydroxylase (CYP11B1), Aldosterone Synthase (CYP11B2), and Aromatase (CYP19A1).</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These enzymes define the architecture of the steroidogenesis pathway, controlling the synthesis of mineralocorticoids, glucocorticoids, and sex steroids.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1.1. Molecular Foundation and Catalytic Mechanism</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Cytochromes P450 (CYPs) are a ubiquitous superfamily of enzymes that utilize heme as a cofactor, functioning primarily as monooxygenases to catalyze diverse oxidative reactions.</w:t>
      </w:r>
      <w:r w:rsidDel="00000000" w:rsidR="00000000" w:rsidRPr="00000000">
        <w:rPr>
          <w:rFonts w:ascii="Google Sans Text" w:cs="Google Sans Text" w:eastAsia="Google Sans Text" w:hAnsi="Google Sans Text"/>
          <w:color w:val="575b5f"/>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These reactions often involve the regio- and stereospecific hydroxylation of inert C-H bonds, a process critical for converting hydrophobic precursors into biologically active, often more hydrophilic, signaling molecules.</w:t>
      </w:r>
      <w:r w:rsidDel="00000000" w:rsidR="00000000" w:rsidRPr="00000000">
        <w:rPr>
          <w:rFonts w:ascii="Google Sans Text" w:cs="Google Sans Text" w:eastAsia="Google Sans Text" w:hAnsi="Google Sans Text"/>
          <w:color w:val="575b5f"/>
          <w:sz w:val="24"/>
          <w:szCs w:val="24"/>
          <w:vertAlign w:val="superscript"/>
          <w:rtl w:val="0"/>
        </w:rPr>
        <w:t xml:space="preserve">4</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structural homology across the steroidogenic cluster is characterized by the conserved CYP fold, which contains a buried, hydrophobic active site.</w:t>
      </w:r>
      <w:r w:rsidDel="00000000" w:rsidR="00000000" w:rsidRPr="00000000">
        <w:rPr>
          <w:rFonts w:ascii="Google Sans Text" w:cs="Google Sans Text" w:eastAsia="Google Sans Text" w:hAnsi="Google Sans Text"/>
          <w:color w:val="575b5f"/>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Catalysis occurs at the heme iron center, which is axially ligated by a conserved cysteine residue.</w:t>
      </w:r>
      <w:r w:rsidDel="00000000" w:rsidR="00000000" w:rsidRPr="00000000">
        <w:rPr>
          <w:rFonts w:ascii="Google Sans Text" w:cs="Google Sans Text" w:eastAsia="Google Sans Text" w:hAnsi="Google Sans Text"/>
          <w:color w:val="575b5f"/>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The mono-oxygenation cycle requires two electrons, typically initiating the binding and activation of molecular oxygen.</w:t>
      </w:r>
      <w:r w:rsidDel="00000000" w:rsidR="00000000" w:rsidRPr="00000000">
        <w:rPr>
          <w:rFonts w:ascii="Google Sans Text" w:cs="Google Sans Text" w:eastAsia="Google Sans Text" w:hAnsi="Google Sans Text"/>
          <w:color w:val="575b5f"/>
          <w:sz w:val="24"/>
          <w:szCs w:val="24"/>
          <w:vertAlign w:val="superscript"/>
          <w:rtl w:val="0"/>
        </w:rPr>
        <w:t xml:space="preserve">3</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1.2. Electron Transfer Systems and Subcellular Compartmentalization</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A defining characteristic of the steroidogenic P450 cluster is their strict reliance on dedicated electron transfer chains determined by their subcellular localization. The requirement for these distinct architectures imposes fundamental constraints on how the enzymes are regulated and where they function within the steroidogenic pathway.</w:t>
      </w:r>
      <w:r w:rsidDel="00000000" w:rsidR="00000000" w:rsidRPr="00000000">
        <w:rPr>
          <w:rFonts w:ascii="Google Sans Text" w:cs="Google Sans Text" w:eastAsia="Google Sans Text" w:hAnsi="Google Sans Text"/>
          <w:color w:val="575b5f"/>
          <w:sz w:val="24"/>
          <w:szCs w:val="24"/>
          <w:vertAlign w:val="superscript"/>
          <w:rtl w:val="0"/>
        </w:rPr>
        <w:t xml:space="preserve">2</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1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1.2.1. Microsomal P450s (Type II System)</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CYP17A1 and CYP19A1 are anchored to the Endoplasmic Reticulum (ER) membrane.</w:t>
      </w:r>
      <w:r w:rsidDel="00000000" w:rsidR="00000000" w:rsidRPr="00000000">
        <w:rPr>
          <w:rFonts w:ascii="Google Sans Text" w:cs="Google Sans Text" w:eastAsia="Google Sans Text" w:hAnsi="Google Sans Text"/>
          <w:color w:val="575b5f"/>
          <w:sz w:val="24"/>
          <w:szCs w:val="24"/>
          <w:vertAlign w:val="superscript"/>
          <w:rtl w:val="0"/>
        </w:rPr>
        <w:t xml:space="preserve">7</w:t>
      </w:r>
      <w:r w:rsidDel="00000000" w:rsidR="00000000" w:rsidRPr="00000000">
        <w:rPr>
          <w:rFonts w:ascii="Google Sans Text" w:cs="Google Sans Text" w:eastAsia="Google Sans Text" w:hAnsi="Google Sans Text"/>
          <w:color w:val="1b1c1d"/>
          <w:rtl w:val="0"/>
        </w:rPr>
        <w:t xml:space="preserve"> These Type II P450s receive electrons directly from NADPH via a single, large redox partner: NADPH-Cytochrome P450 Reductase (POR).</w:t>
      </w:r>
      <w:r w:rsidDel="00000000" w:rsidR="00000000" w:rsidRPr="00000000">
        <w:rPr>
          <w:rFonts w:ascii="Google Sans Text" w:cs="Google Sans Text" w:eastAsia="Google Sans Text" w:hAnsi="Google Sans Text"/>
          <w:color w:val="575b5f"/>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Electrons are channeled from NADPH  FAD  FMN within POR before reaching the P450 heme iron.</w:t>
      </w:r>
      <w:r w:rsidDel="00000000" w:rsidR="00000000" w:rsidRPr="00000000">
        <w:rPr>
          <w:rFonts w:ascii="Google Sans Text" w:cs="Google Sans Text" w:eastAsia="Google Sans Text" w:hAnsi="Google Sans Text"/>
          <w:color w:val="575b5f"/>
          <w:sz w:val="24"/>
          <w:szCs w:val="24"/>
          <w:vertAlign w:val="superscript"/>
          <w:rtl w:val="0"/>
        </w:rPr>
        <w:t xml:space="preserve">9</w:t>
      </w:r>
      <w:r w:rsidDel="00000000" w:rsidR="00000000" w:rsidRPr="00000000">
        <w:rPr>
          <w:rFonts w:ascii="Google Sans Text" w:cs="Google Sans Text" w:eastAsia="Google Sans Text" w:hAnsi="Google Sans Text"/>
          <w:color w:val="1b1c1d"/>
          <w:rtl w:val="0"/>
        </w:rPr>
        <w:t xml:space="preserve"> The interaction between the P450 and POR is stabilized by electrostatic interactions; the P450 redox partner binding site often exhibits a positive surface charge (basic residues) that interacts with the negatively charged FMN domain of POR.</w:t>
      </w:r>
      <w:r w:rsidDel="00000000" w:rsidR="00000000" w:rsidRPr="00000000">
        <w:rPr>
          <w:rFonts w:ascii="Google Sans Text" w:cs="Google Sans Text" w:eastAsia="Google Sans Text" w:hAnsi="Google Sans Text"/>
          <w:color w:val="575b5f"/>
          <w:sz w:val="24"/>
          <w:szCs w:val="24"/>
          <w:vertAlign w:val="superscript"/>
          <w:rtl w:val="0"/>
        </w:rPr>
        <w:t xml:space="preserve">9</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1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1.2.2. Mitochondrial P450s (Type I System)</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CYP11A1, CYP11B1, and CYP11B2 reside on the inner mitochondrial membrane.</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These Type I P450s employ a specialized electron transport chain involving two distinct components: Adrenodoxin Reductase (ADR) and the soluble iron-sulfur cluster protein, Adrenodoxin (Adx).</w:t>
      </w:r>
      <w:r w:rsidDel="00000000" w:rsidR="00000000" w:rsidRPr="00000000">
        <w:rPr>
          <w:rFonts w:ascii="Google Sans Text" w:cs="Google Sans Text" w:eastAsia="Google Sans Text" w:hAnsi="Google Sans Text"/>
          <w:color w:val="575b5f"/>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Adx acts as an indiscriminate electron-shuttling protein, interacting with both ADR (to receive electrons from NADPH) and the P450 (to deliver the electrons).</w:t>
      </w:r>
      <w:r w:rsidDel="00000000" w:rsidR="00000000" w:rsidRPr="00000000">
        <w:rPr>
          <w:rFonts w:ascii="Google Sans Text" w:cs="Google Sans Text" w:eastAsia="Google Sans Text" w:hAnsi="Google Sans Text"/>
          <w:color w:val="575b5f"/>
          <w:sz w:val="24"/>
          <w:szCs w:val="24"/>
          <w:vertAlign w:val="superscript"/>
          <w:rtl w:val="0"/>
        </w:rPr>
        <w:t xml:space="preserve">10</w:t>
      </w:r>
      <w:r w:rsidDel="00000000" w:rsidR="00000000" w:rsidRPr="00000000">
        <w:rPr>
          <w:rFonts w:ascii="Google Sans Text" w:cs="Google Sans Text" w:eastAsia="Google Sans Text" w:hAnsi="Google Sans Text"/>
          <w:color w:val="1b1c1d"/>
          <w:rtl w:val="0"/>
        </w:rPr>
        <w:t xml:space="preserve"> This reliance on a soluble shuttle protein is necessary due to the spatial separation and high flux demands within the mitochondria, distinguishing the kinetic behavior of these enzymes from their microsomal counterparts.</w:t>
      </w:r>
      <w:r w:rsidDel="00000000" w:rsidR="00000000" w:rsidRPr="00000000">
        <w:rPr>
          <w:rFonts w:ascii="Google Sans Text" w:cs="Google Sans Text" w:eastAsia="Google Sans Text" w:hAnsi="Google Sans Text"/>
          <w:color w:val="575b5f"/>
          <w:sz w:val="24"/>
          <w:szCs w:val="24"/>
          <w:vertAlign w:val="superscript"/>
          <w:rtl w:val="0"/>
        </w:rPr>
        <w:t xml:space="preserve">2</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II. General Background: Molecular Profiles and Primary Functions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five enzymes in this cluster are sequentially arranged to execute the full synthesis of active steroids, starting from cholesterol and producing mineralocorticoids (aldosterone), glucocorticoids (cortisol), and sex steroids (androgens and estrogens).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Table 1: Essential Characteristics and Localization of Steroidogenic Cytochrome P450 Cluster Members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Enzyme (Gene)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EC Number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Subcellular Localization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Primary Function/Pathway Step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Redox Partner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CYP11A1 (P450scc)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EC 1.14.15.6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Inner Mitochondrial Membrane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Cholesterol Side-Chain Cleavage (Initiates Steroidogenesis)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Adx/AdxR </w:t>
            </w:r>
            <w:r w:rsidDel="00000000" w:rsidR="00000000" w:rsidRPr="00000000">
              <w:rPr>
                <w:rFonts w:ascii="Google Sans Text" w:cs="Google Sans Text" w:eastAsia="Google Sans Text" w:hAnsi="Google Sans Text"/>
                <w:color w:val="575b5f"/>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CYP17A1 (P450c17)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EC 1.14.14.19/14.32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Endoplasmic Reticulum (Microsomal)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17$\alpha$-Hydroxylase and 17,20-Lyase (Pathway Branching)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POR, Cytochrome b5 </w:t>
            </w:r>
            <w:r w:rsidDel="00000000" w:rsidR="00000000" w:rsidRPr="00000000">
              <w:rPr>
                <w:rFonts w:ascii="Google Sans Text" w:cs="Google Sans Text" w:eastAsia="Google Sans Text" w:hAnsi="Google Sans Text"/>
                <w:color w:val="575b5f"/>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CYP11B1 (P450c11)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EC 1.14.15.4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Inner Mitochondrial Membrane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-Hydroxylation (Glucocorticoid Synthesis)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Adx/AdxR </w:t>
            </w:r>
            <w:r w:rsidDel="00000000" w:rsidR="00000000" w:rsidRPr="00000000">
              <w:rPr>
                <w:rFonts w:ascii="Google Sans Text" w:cs="Google Sans Text" w:eastAsia="Google Sans Text" w:hAnsi="Google Sans Text"/>
                <w:color w:val="575b5f"/>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CYP11B2 (Aldosterone Synthase)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EC 1.14.15.5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Inner Mitochondrial Membrane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-Hydroxylation and 18-Hydroxylation/Oxidation (Mineralocorticoid Synthesis)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Adx/AdxR </w:t>
            </w:r>
            <w:r w:rsidDel="00000000" w:rsidR="00000000" w:rsidRPr="00000000">
              <w:rPr>
                <w:rFonts w:ascii="Google Sans Text" w:cs="Google Sans Text" w:eastAsia="Google Sans Text" w:hAnsi="Google Sans Text"/>
                <w:color w:val="575b5f"/>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CYP19A1 (Aromatase)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EC 1.14.14.14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Endoplasmic Reticulum (Microsomal)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Aromatization of Androgens (Estrogen Synthesis)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POR </w:t>
            </w:r>
            <w:r w:rsidDel="00000000" w:rsidR="00000000" w:rsidRPr="00000000">
              <w:rPr>
                <w:rFonts w:ascii="Google Sans Text" w:cs="Google Sans Text" w:eastAsia="Google Sans Text" w:hAnsi="Google Sans Text"/>
                <w:color w:val="575b5f"/>
                <w:sz w:val="24"/>
                <w:szCs w:val="24"/>
                <w:vertAlign w:val="superscript"/>
                <w:rtl w:val="0"/>
              </w:rPr>
              <w:t xml:space="preserve">15</w:t>
            </w:r>
          </w:p>
        </w:tc>
      </w:tr>
    </w:tbl>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2.1. CYP11A1: The Initiator of Steroidogenesis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Cholesterol side-chain cleavage enzyme (P450scc), encoded by the  gene, catalyzes the committed, initial step in the steroidogenic cascade.</w:t>
      </w:r>
      <w:r w:rsidDel="00000000" w:rsidR="00000000" w:rsidRPr="00000000">
        <w:rPr>
          <w:rFonts w:ascii="Google Sans Text" w:cs="Google Sans Text" w:eastAsia="Google Sans Text" w:hAnsi="Google Sans Text"/>
          <w:color w:val="575b5f"/>
          <w:sz w:val="24"/>
          <w:szCs w:val="24"/>
          <w:vertAlign w:val="superscript"/>
          <w:rtl w:val="0"/>
        </w:rPr>
        <w:t xml:space="preserve">11</w:t>
      </w:r>
      <w:r w:rsidDel="00000000" w:rsidR="00000000" w:rsidRPr="00000000">
        <w:rPr>
          <w:rFonts w:ascii="Google Sans Text" w:cs="Google Sans Text" w:eastAsia="Google Sans Text" w:hAnsi="Google Sans Text"/>
          <w:color w:val="1b1c1d"/>
          <w:rtl w:val="0"/>
        </w:rPr>
        <w:t xml:space="preserve"> It converts cholesterol into pregnenolone.</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Located in the inner mitochondrial membrane, its activity is highly regulated by the delivery of its substrate, cholesterol, a process mediated by the Steroidogenic Acute Regulatory protein (StAR).</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2.2. CYP17A1: The Pathway Branching Point</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Encoded by , this microsomal enzyme possesses a unique dual functionality, allowing it to act as both a -hydroxylase (EC 1.14.14.19) and a 17,20-lyase (EC 1.14.14.32).</w:t>
      </w:r>
      <w:r w:rsidDel="00000000" w:rsidR="00000000" w:rsidRPr="00000000">
        <w:rPr>
          <w:rFonts w:ascii="Google Sans Text" w:cs="Google Sans Text" w:eastAsia="Google Sans Text" w:hAnsi="Google Sans Text"/>
          <w:color w:val="575b5f"/>
          <w:sz w:val="24"/>
          <w:szCs w:val="24"/>
          <w:vertAlign w:val="superscript"/>
          <w:rtl w:val="0"/>
        </w:rPr>
        <w:t xml:space="preserve">12</w:t>
      </w:r>
      <w:r w:rsidDel="00000000" w:rsidR="00000000" w:rsidRPr="00000000">
        <w:rPr>
          <w:rFonts w:ascii="Google Sans Text" w:cs="Google Sans Text" w:eastAsia="Google Sans Text" w:hAnsi="Google Sans Text"/>
          <w:color w:val="1b1c1d"/>
          <w:rtl w:val="0"/>
        </w:rPr>
        <w:t xml:space="preserve"> The hydroxylase activity drives glucocorticoid synthesis, converting pregnenolone and progesterone into their -hydroxy derivatives. The lyase activity, conversely, splits the C17-C20 side chain, redirecting precursors toward androgen synthesis, leading to dehydroepiandrosterone (DHEA) and androstenedione.</w:t>
      </w:r>
      <w:r w:rsidDel="00000000" w:rsidR="00000000" w:rsidRPr="00000000">
        <w:rPr>
          <w:rFonts w:ascii="Google Sans Text" w:cs="Google Sans Text" w:eastAsia="Google Sans Text" w:hAnsi="Google Sans Text"/>
          <w:color w:val="575b5f"/>
          <w:sz w:val="24"/>
          <w:szCs w:val="24"/>
          <w:vertAlign w:val="superscript"/>
          <w:rtl w:val="0"/>
        </w:rPr>
        <w:t xml:space="preserve">12</w:t>
      </w:r>
      <w:r w:rsidDel="00000000" w:rsidR="00000000" w:rsidRPr="00000000">
        <w:rPr>
          <w:rFonts w:ascii="Google Sans Text" w:cs="Google Sans Text" w:eastAsia="Google Sans Text" w:hAnsi="Google Sans Text"/>
          <w:color w:val="1b1c1d"/>
          <w:rtl w:val="0"/>
        </w:rPr>
        <w:t xml:space="preserve"> This duality positions CYP17A1 as the critical control point determining whether the pathway yields mineralocorticoids/glucocorticoids or sex steroids.</w:t>
      </w:r>
      <w:r w:rsidDel="00000000" w:rsidR="00000000" w:rsidRPr="00000000">
        <w:rPr>
          <w:rFonts w:ascii="Google Sans Text" w:cs="Google Sans Text" w:eastAsia="Google Sans Text" w:hAnsi="Google Sans Text"/>
          <w:color w:val="575b5f"/>
          <w:sz w:val="24"/>
          <w:szCs w:val="24"/>
          <w:vertAlign w:val="superscript"/>
          <w:rtl w:val="0"/>
        </w:rPr>
        <w:t xml:space="preserve">13</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2.3. CYP11B Family: Terminal Synthesis of Adrenal Hormones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CYP11B family comprises two mitochondrial enzymes that are highly localized within the adrenal cortex.</w:t>
      </w:r>
      <w:r w:rsidDel="00000000" w:rsidR="00000000" w:rsidRPr="00000000">
        <w:rPr>
          <w:rFonts w:ascii="Google Sans Text" w:cs="Google Sans Text" w:eastAsia="Google Sans Text" w:hAnsi="Google Sans Text"/>
          <w:color w:val="575b5f"/>
          <w:sz w:val="24"/>
          <w:szCs w:val="24"/>
          <w:vertAlign w:val="superscript"/>
          <w:rtl w:val="0"/>
        </w:rPr>
        <w:t xml:space="preserve">19</w:t>
      </w:r>
      <w:r w:rsidDel="00000000" w:rsidR="00000000" w:rsidRPr="00000000">
        <w:rPr>
          <w:rFonts w:ascii="Google Sans Text" w:cs="Google Sans Text" w:eastAsia="Google Sans Text" w:hAnsi="Google Sans Text"/>
          <w:color w:val="1b1c1d"/>
          <w:rtl w:val="0"/>
        </w:rPr>
        <w:t xml:space="preserve">  encodes -hydroxylase, expressed predominantly in the zonae fasciculata and reticularis, which performs the final required step in cortisol synthesis.</w:t>
      </w:r>
      <w:r w:rsidDel="00000000" w:rsidR="00000000" w:rsidRPr="00000000">
        <w:rPr>
          <w:rFonts w:ascii="Google Sans Text" w:cs="Google Sans Text" w:eastAsia="Google Sans Text" w:hAnsi="Google Sans Text"/>
          <w:color w:val="575b5f"/>
          <w:sz w:val="24"/>
          <w:szCs w:val="24"/>
          <w:vertAlign w:val="superscript"/>
          <w:rtl w:val="0"/>
        </w:rPr>
        <w:t xml:space="preserve">14</w:t>
      </w:r>
      <w:r w:rsidDel="00000000" w:rsidR="00000000" w:rsidRPr="00000000">
        <w:rPr>
          <w:rFonts w:ascii="Google Sans Text" w:cs="Google Sans Text" w:eastAsia="Google Sans Text" w:hAnsi="Google Sans Text"/>
          <w:color w:val="1b1c1d"/>
          <w:rtl w:val="0"/>
        </w:rPr>
        <w:t xml:space="preserve"> , or Aldosterone Synthase, is restricted primarily to the zona glomerulosa and catalyzes the terminal steps in mineralocorticoid synthesis.</w:t>
      </w:r>
      <w:r w:rsidDel="00000000" w:rsidR="00000000" w:rsidRPr="00000000">
        <w:rPr>
          <w:rFonts w:ascii="Google Sans Text" w:cs="Google Sans Text" w:eastAsia="Google Sans Text" w:hAnsi="Google Sans Text"/>
          <w:color w:val="575b5f"/>
          <w:sz w:val="24"/>
          <w:szCs w:val="24"/>
          <w:vertAlign w:val="superscript"/>
          <w:rtl w:val="0"/>
        </w:rPr>
        <w:t xml:space="preserve">19</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2.4. CYP19A1: The Aromatization Engine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Aromatase, encoded by , is responsible for the crucial, irreversible conversion of C19 androgens into C18 estrogens.</w:t>
      </w:r>
      <w:r w:rsidDel="00000000" w:rsidR="00000000" w:rsidRPr="00000000">
        <w:rPr>
          <w:rFonts w:ascii="Google Sans Text" w:cs="Google Sans Text" w:eastAsia="Google Sans Text" w:hAnsi="Google Sans Text"/>
          <w:color w:val="575b5f"/>
          <w:sz w:val="24"/>
          <w:szCs w:val="24"/>
          <w:vertAlign w:val="superscript"/>
          <w:rtl w:val="0"/>
        </w:rPr>
        <w:t xml:space="preserve">16</w:t>
      </w:r>
      <w:r w:rsidDel="00000000" w:rsidR="00000000" w:rsidRPr="00000000">
        <w:rPr>
          <w:rFonts w:ascii="Google Sans Text" w:cs="Google Sans Text" w:eastAsia="Google Sans Text" w:hAnsi="Google Sans Text"/>
          <w:color w:val="1b1c1d"/>
          <w:rtl w:val="0"/>
        </w:rPr>
        <w:t xml:space="preserve"> It is found in the ER membrane </w:t>
      </w:r>
      <w:r w:rsidDel="00000000" w:rsidR="00000000" w:rsidRPr="00000000">
        <w:rPr>
          <w:rFonts w:ascii="Google Sans Text" w:cs="Google Sans Text" w:eastAsia="Google Sans Text" w:hAnsi="Google Sans Text"/>
          <w:color w:val="575b5f"/>
          <w:sz w:val="24"/>
          <w:szCs w:val="24"/>
          <w:vertAlign w:val="superscript"/>
          <w:rtl w:val="0"/>
        </w:rPr>
        <w:t xml:space="preserve">7</w:t>
      </w:r>
      <w:r w:rsidDel="00000000" w:rsidR="00000000" w:rsidRPr="00000000">
        <w:rPr>
          <w:rFonts w:ascii="Google Sans Text" w:cs="Google Sans Text" w:eastAsia="Google Sans Text" w:hAnsi="Google Sans Text"/>
          <w:color w:val="1b1c1d"/>
          <w:rtl w:val="0"/>
        </w:rPr>
        <w:t xml:space="preserve"> and is widely expressed across diverse tissues, including the ovaries (high activity in females), adipose tissue (high activity in males and postmenopausal females), placenta, bone, and brain.</w:t>
      </w:r>
      <w:r w:rsidDel="00000000" w:rsidR="00000000" w:rsidRPr="00000000">
        <w:rPr>
          <w:rFonts w:ascii="Google Sans Text" w:cs="Google Sans Text" w:eastAsia="Google Sans Text" w:hAnsi="Google Sans Text"/>
          <w:color w:val="575b5f"/>
          <w:sz w:val="24"/>
          <w:szCs w:val="24"/>
          <w:vertAlign w:val="superscript"/>
          <w:rtl w:val="0"/>
        </w:rPr>
        <w:t xml:space="preserve">15</w:t>
      </w:r>
      <w:r w:rsidDel="00000000" w:rsidR="00000000" w:rsidRPr="00000000">
        <w:rPr>
          <w:rFonts w:ascii="Google Sans Text" w:cs="Google Sans Text" w:eastAsia="Google Sans Text" w:hAnsi="Google Sans Text"/>
          <w:color w:val="1b1c1d"/>
          <w:rtl w:val="0"/>
        </w:rPr>
        <w:t xml:space="preserve"> The enzyme's output is vital not only for sexual development but also for regulating systemic functions like bone growth and glucose metabolism.</w:t>
      </w:r>
      <w:r w:rsidDel="00000000" w:rsidR="00000000" w:rsidRPr="00000000">
        <w:rPr>
          <w:rFonts w:ascii="Google Sans Text" w:cs="Google Sans Text" w:eastAsia="Google Sans Text" w:hAnsi="Google Sans Text"/>
          <w:color w:val="575b5f"/>
          <w:sz w:val="24"/>
          <w:szCs w:val="24"/>
          <w:vertAlign w:val="superscript"/>
          <w:rtl w:val="0"/>
        </w:rPr>
        <w:t xml:space="preserve">20</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III. Detailed Steroid Interactions and Mechanistic Biochemistry</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defining characteristics of these clustered proteins lie in their specific steroid substrates and the complex mechanisms by which they catalyze multi-step oxidation and cleavage reactions.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3.1. Cholesterol Cleavage by CYP11A1</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CYP11A1 catalysis involves three distinct, sequential mono-oxygenation steps on cholesterol, culminating in the cleavage of the side chain.</w:t>
      </w:r>
      <w:r w:rsidDel="00000000" w:rsidR="00000000" w:rsidRPr="00000000">
        <w:rPr>
          <w:rFonts w:ascii="Google Sans Text" w:cs="Google Sans Text" w:eastAsia="Google Sans Text" w:hAnsi="Google Sans Text"/>
          <w:color w:val="575b5f"/>
          <w:sz w:val="24"/>
          <w:szCs w:val="24"/>
          <w:vertAlign w:val="superscript"/>
          <w:rtl w:val="0"/>
        </w:rPr>
        <w:t xml:space="preserve">21</w:t>
      </w:r>
      <w:r w:rsidDel="00000000" w:rsidR="00000000" w:rsidRPr="00000000">
        <w:rPr>
          <w:rFonts w:ascii="Google Sans Text" w:cs="Google Sans Text" w:eastAsia="Google Sans Text" w:hAnsi="Google Sans Text"/>
          <w:color w:val="1b1c1d"/>
          <w:rtl w:val="0"/>
        </w:rPr>
        <w:t xml:space="preserve"> The mechanism begins with hydroxylation at the C22 position, followed by hydroxylation at C20, leading to 20,22-dihydroxycholesterol, which subsequently undergoes cleavage to form pregnenolone.</w:t>
      </w:r>
      <w:r w:rsidDel="00000000" w:rsidR="00000000" w:rsidRPr="00000000">
        <w:rPr>
          <w:rFonts w:ascii="Google Sans Text" w:cs="Google Sans Text" w:eastAsia="Google Sans Text" w:hAnsi="Google Sans Text"/>
          <w:color w:val="575b5f"/>
          <w:sz w:val="24"/>
          <w:szCs w:val="24"/>
          <w:vertAlign w:val="superscript"/>
          <w:rtl w:val="0"/>
        </w:rPr>
        <w:t xml:space="preserve">21</w:t>
      </w:r>
      <w:r w:rsidDel="00000000" w:rsidR="00000000" w:rsidRPr="00000000">
        <w:rPr>
          <w:rFonts w:ascii="Google Sans Text" w:cs="Google Sans Text" w:eastAsia="Google Sans Text" w:hAnsi="Google Sans Text"/>
          <w:color w:val="1b1c1d"/>
          <w:rtl w:val="0"/>
        </w:rPr>
        <w:t xml:space="preserve"> The enzyme demonstrates strict substrate specificity for cholesterol, and structural studies suggest a mechanism of "soft recognition" and sterol shuttling necessary for accommodating the sequential intermediates within the active site during the three-step catalysis.</w:t>
      </w:r>
      <w:r w:rsidDel="00000000" w:rsidR="00000000" w:rsidRPr="00000000">
        <w:rPr>
          <w:rFonts w:ascii="Google Sans Text" w:cs="Google Sans Text" w:eastAsia="Google Sans Text" w:hAnsi="Google Sans Text"/>
          <w:color w:val="575b5f"/>
          <w:sz w:val="24"/>
          <w:szCs w:val="24"/>
          <w:vertAlign w:val="superscript"/>
          <w:rtl w:val="0"/>
        </w:rPr>
        <w:t xml:space="preserve">21</w:t>
      </w:r>
      <w:r w:rsidDel="00000000" w:rsidR="00000000" w:rsidRPr="00000000">
        <w:rPr>
          <w:rFonts w:ascii="Google Sans Text" w:cs="Google Sans Text" w:eastAsia="Google Sans Text" w:hAnsi="Google Sans Text"/>
          <w:color w:val="1b1c1d"/>
          <w:rtl w:val="0"/>
        </w:rPr>
        <w:t xml:space="preserve"> The functional outcome of P450scc deficiency is profound, resulting in the failure of adrenal and gonadal steroidogenesis.</w:t>
      </w:r>
      <w:r w:rsidDel="00000000" w:rsidR="00000000" w:rsidRPr="00000000">
        <w:rPr>
          <w:rFonts w:ascii="Google Sans Text" w:cs="Google Sans Text" w:eastAsia="Google Sans Text" w:hAnsi="Google Sans Text"/>
          <w:color w:val="575b5f"/>
          <w:sz w:val="24"/>
          <w:szCs w:val="24"/>
          <w:vertAlign w:val="superscript"/>
          <w:rtl w:val="0"/>
        </w:rPr>
        <w:t xml:space="preserve">11</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3.2. CYP17A1: Mechanistic Control of Lyase Activity</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CYP17A1 is unique due to its dependence on regulatory co-factors that modulate its two distinct enzymatic functions.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5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3.2.1. Substrate Binding and Duality</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As a -hydroxylase, CYP17A1 converts -oxo-4-ene precursors (Pregnenolone and Progesterone) into 17-hydroxylated intermediates.</w:t>
      </w:r>
      <w:r w:rsidDel="00000000" w:rsidR="00000000" w:rsidRPr="00000000">
        <w:rPr>
          <w:rFonts w:ascii="Google Sans Text" w:cs="Google Sans Text" w:eastAsia="Google Sans Text" w:hAnsi="Google Sans Text"/>
          <w:color w:val="575b5f"/>
          <w:sz w:val="24"/>
          <w:szCs w:val="24"/>
          <w:vertAlign w:val="superscript"/>
          <w:rtl w:val="0"/>
        </w:rPr>
        <w:t xml:space="preserve">12</w:t>
      </w:r>
      <w:r w:rsidDel="00000000" w:rsidR="00000000" w:rsidRPr="00000000">
        <w:rPr>
          <w:rFonts w:ascii="Google Sans Text" w:cs="Google Sans Text" w:eastAsia="Google Sans Text" w:hAnsi="Google Sans Text"/>
          <w:color w:val="1b1c1d"/>
          <w:rtl w:val="0"/>
        </w:rPr>
        <w:t xml:space="preserve"> The 17,20-lyase activity is then required to act on these 17-hydroxylated steroids to cleave the side chain, producing C19 androgens.</w:t>
      </w:r>
      <w:r w:rsidDel="00000000" w:rsidR="00000000" w:rsidRPr="00000000">
        <w:rPr>
          <w:rFonts w:ascii="Google Sans Text" w:cs="Google Sans Text" w:eastAsia="Google Sans Text" w:hAnsi="Google Sans Text"/>
          <w:color w:val="575b5f"/>
          <w:sz w:val="24"/>
          <w:szCs w:val="24"/>
          <w:vertAlign w:val="superscript"/>
          <w:rtl w:val="0"/>
        </w:rPr>
        <w:t xml:space="preserve">12</w:t>
      </w:r>
      <w:r w:rsidDel="00000000" w:rsidR="00000000" w:rsidRPr="00000000">
        <w:rPr>
          <w:rFonts w:ascii="Google Sans Text" w:cs="Google Sans Text" w:eastAsia="Google Sans Text" w:hAnsi="Google Sans Text"/>
          <w:color w:val="1b1c1d"/>
          <w:rtl w:val="0"/>
        </w:rPr>
        <w:t xml:space="preserve"> The dependence on this lyase function for androgen production makes it a critical control point for sexual development.</w:t>
      </w:r>
      <w:r w:rsidDel="00000000" w:rsidR="00000000" w:rsidRPr="00000000">
        <w:rPr>
          <w:rFonts w:ascii="Google Sans Text" w:cs="Google Sans Text" w:eastAsia="Google Sans Text" w:hAnsi="Google Sans Text"/>
          <w:color w:val="575b5f"/>
          <w:sz w:val="24"/>
          <w:szCs w:val="24"/>
          <w:vertAlign w:val="superscript"/>
          <w:rtl w:val="0"/>
        </w:rPr>
        <w:t xml:space="preserve">13</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5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3.2.2. Allosteric and Post-Translational Regulation</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17,20-lyase activity is critically dependent on two co-factors: </w:t>
      </w:r>
      <w:r w:rsidDel="00000000" w:rsidR="00000000" w:rsidRPr="00000000">
        <w:rPr>
          <w:rFonts w:ascii="Google Sans Text" w:cs="Google Sans Text" w:eastAsia="Google Sans Text" w:hAnsi="Google Sans Text"/>
          <w:b w:val="1"/>
          <w:color w:val="1b1c1d"/>
          <w:rtl w:val="0"/>
        </w:rPr>
        <w:t xml:space="preserve">Cytochrome b5 (CYB5)</w:t>
      </w:r>
      <w:r w:rsidDel="00000000" w:rsidR="00000000" w:rsidRPr="00000000">
        <w:rPr>
          <w:rFonts w:ascii="Google Sans Text" w:cs="Google Sans Text" w:eastAsia="Google Sans Text" w:hAnsi="Google Sans Text"/>
          <w:color w:val="1b1c1d"/>
          <w:rtl w:val="0"/>
        </w:rPr>
        <w:t xml:space="preserve"> and </w:t>
      </w:r>
      <w:r w:rsidDel="00000000" w:rsidR="00000000" w:rsidRPr="00000000">
        <w:rPr>
          <w:rFonts w:ascii="Google Sans Text" w:cs="Google Sans Text" w:eastAsia="Google Sans Text" w:hAnsi="Google Sans Text"/>
          <w:b w:val="1"/>
          <w:color w:val="1b1c1d"/>
          <w:rtl w:val="0"/>
        </w:rPr>
        <w:t xml:space="preserve">phosphorylation</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CYB5 acts as a facilitator, often hypothesized to donate a second electron necessary to complete the cleavage reaction, thus significantly stimulating 17,20-lyase activity.</w:t>
      </w:r>
      <w:r w:rsidDel="00000000" w:rsidR="00000000" w:rsidRPr="00000000">
        <w:rPr>
          <w:rFonts w:ascii="Google Sans Text" w:cs="Google Sans Text" w:eastAsia="Google Sans Text" w:hAnsi="Google Sans Text"/>
          <w:color w:val="575b5f"/>
          <w:sz w:val="24"/>
          <w:szCs w:val="24"/>
          <w:vertAlign w:val="superscript"/>
          <w:rtl w:val="0"/>
        </w:rPr>
        <w:t xml:space="preserve">10</w:t>
      </w:r>
      <w:r w:rsidDel="00000000" w:rsidR="00000000" w:rsidRPr="00000000">
        <w:rPr>
          <w:rFonts w:ascii="Google Sans Text" w:cs="Google Sans Text" w:eastAsia="Google Sans Text" w:hAnsi="Google Sans Text"/>
          <w:color w:val="1b1c1d"/>
          <w:rtl w:val="0"/>
        </w:rPr>
        <w:t xml:space="preserve"> Furthermore, the enzyme's capacity to produce androgens is sharply increased by the phosphorylation of serine and threonine residues via a cAMP-dependent protein kinase, whereas dephosphorylation nearly eliminates the lyase function.</w:t>
      </w:r>
      <w:r w:rsidDel="00000000" w:rsidR="00000000" w:rsidRPr="00000000">
        <w:rPr>
          <w:rFonts w:ascii="Google Sans Text" w:cs="Google Sans Text" w:eastAsia="Google Sans Text" w:hAnsi="Google Sans Text"/>
          <w:color w:val="575b5f"/>
          <w:sz w:val="24"/>
          <w:szCs w:val="24"/>
          <w:vertAlign w:val="superscript"/>
          <w:rtl w:val="0"/>
        </w:rPr>
        <w:t xml:space="preserve">12</w:t>
      </w:r>
      <w:r w:rsidDel="00000000" w:rsidR="00000000" w:rsidRPr="00000000">
        <w:rPr>
          <w:rFonts w:ascii="Google Sans Text" w:cs="Google Sans Text" w:eastAsia="Google Sans Text" w:hAnsi="Google Sans Text"/>
          <w:color w:val="1b1c1d"/>
          <w:rtl w:val="0"/>
        </w:rPr>
        <w:t xml:space="preserve"> This demonstrates a mechanism for rapid, acute control over androgen production, complementing the slower transcriptional regulation common to steroidogenic enzymes.</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3.3. CYP11B1 and CYP11B2: Structural Basis for Functional Divergence</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Both CYP11B1 and CYP11B2 are mitochondrial P450s that perform -hydroxylation on deoxy-steroids, but their ultimate product profiles differ significantly due to subtle variations in active site geometry.</w:t>
      </w:r>
      <w:r w:rsidDel="00000000" w:rsidR="00000000" w:rsidRPr="00000000">
        <w:rPr>
          <w:rFonts w:ascii="Google Sans Text" w:cs="Google Sans Text" w:eastAsia="Google Sans Text" w:hAnsi="Google Sans Text"/>
          <w:color w:val="575b5f"/>
          <w:sz w:val="24"/>
          <w:szCs w:val="24"/>
          <w:vertAlign w:val="superscript"/>
          <w:rtl w:val="0"/>
        </w:rPr>
        <w:t xml:space="preserve">14</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6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3.3.1. Catalytic Differences</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CYP11B1 catalyzes the single step of -hydroxylation of 11-deoxycortisol to produce cortisol.</w:t>
      </w:r>
      <w:r w:rsidDel="00000000" w:rsidR="00000000" w:rsidRPr="00000000">
        <w:rPr>
          <w:rFonts w:ascii="Google Sans Text" w:cs="Google Sans Text" w:eastAsia="Google Sans Text" w:hAnsi="Google Sans Text"/>
          <w:color w:val="575b5f"/>
          <w:sz w:val="24"/>
          <w:szCs w:val="24"/>
          <w:vertAlign w:val="superscript"/>
          <w:rtl w:val="0"/>
        </w:rPr>
        <w:t xml:space="preserve">14</w:t>
      </w:r>
      <w:r w:rsidDel="00000000" w:rsidR="00000000" w:rsidRPr="00000000">
        <w:rPr>
          <w:rFonts w:ascii="Google Sans Text" w:cs="Google Sans Text" w:eastAsia="Google Sans Text" w:hAnsi="Google Sans Text"/>
          <w:color w:val="1b1c1d"/>
          <w:rtl w:val="0"/>
        </w:rPr>
        <w:t xml:space="preserve"> In contrast, CYP11B2 (Aldosterone Synthase) performs a three-step conversion: -hydroxylation, followed by two distinct 18-hydroxylations (including oxidation of the C18 methyl group), culminating in aldosterone.</w:t>
      </w:r>
      <w:r w:rsidDel="00000000" w:rsidR="00000000" w:rsidRPr="00000000">
        <w:rPr>
          <w:rFonts w:ascii="Google Sans Text" w:cs="Google Sans Text" w:eastAsia="Google Sans Text" w:hAnsi="Google Sans Text"/>
          <w:color w:val="575b5f"/>
          <w:sz w:val="24"/>
          <w:szCs w:val="24"/>
          <w:vertAlign w:val="superscript"/>
          <w:rtl w:val="0"/>
        </w:rPr>
        <w:t xml:space="preserve">14</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6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3.3.2. Active Site Geometry</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ability of CYP11B2 to execute sequential 18-hydroxylations, while CYP11B1 cannot, is linked to the structure of their substrate-binding sites.</w:t>
      </w:r>
      <w:r w:rsidDel="00000000" w:rsidR="00000000" w:rsidRPr="00000000">
        <w:rPr>
          <w:rFonts w:ascii="Google Sans Text" w:cs="Google Sans Text" w:eastAsia="Google Sans Text" w:hAnsi="Google Sans Text"/>
          <w:color w:val="575b5f"/>
          <w:sz w:val="24"/>
          <w:szCs w:val="24"/>
          <w:vertAlign w:val="superscript"/>
          <w:rtl w:val="0"/>
        </w:rPr>
        <w:t xml:space="preserve">14</w:t>
      </w:r>
      <w:r w:rsidDel="00000000" w:rsidR="00000000" w:rsidRPr="00000000">
        <w:rPr>
          <w:rFonts w:ascii="Google Sans Text" w:cs="Google Sans Text" w:eastAsia="Google Sans Text" w:hAnsi="Google Sans Text"/>
          <w:color w:val="1b1c1d"/>
          <w:rtl w:val="0"/>
        </w:rPr>
        <w:t xml:space="preserve"> X-ray crystallography and molecular dynamics studies suggest that CYP11B1 has a </w:t>
      </w:r>
      <w:r w:rsidDel="00000000" w:rsidR="00000000" w:rsidRPr="00000000">
        <w:rPr>
          <w:rFonts w:ascii="Google Sans Text" w:cs="Google Sans Text" w:eastAsia="Google Sans Text" w:hAnsi="Google Sans Text"/>
          <w:b w:val="1"/>
          <w:color w:val="1b1c1d"/>
          <w:rtl w:val="0"/>
        </w:rPr>
        <w:t xml:space="preserve">spatially restricted substrate-binding site</w:t>
      </w:r>
      <w:r w:rsidDel="00000000" w:rsidR="00000000" w:rsidRPr="00000000">
        <w:rPr>
          <w:rFonts w:ascii="Google Sans Text" w:cs="Google Sans Text" w:eastAsia="Google Sans Text" w:hAnsi="Google Sans Text"/>
          <w:color w:val="1b1c1d"/>
          <w:rtl w:val="0"/>
        </w:rPr>
        <w:t xml:space="preserve">, limiting the orientation of the steroid to favor only -hydroxylation. Conversely, CYP11B2 possesses a </w:t>
      </w:r>
      <w:r w:rsidDel="00000000" w:rsidR="00000000" w:rsidRPr="00000000">
        <w:rPr>
          <w:rFonts w:ascii="Google Sans Text" w:cs="Google Sans Text" w:eastAsia="Google Sans Text" w:hAnsi="Google Sans Text"/>
          <w:b w:val="1"/>
          <w:color w:val="1b1c1d"/>
          <w:rtl w:val="0"/>
        </w:rPr>
        <w:t xml:space="preserve">spatially extended substrate-binding site</w:t>
      </w:r>
      <w:r w:rsidDel="00000000" w:rsidR="00000000" w:rsidRPr="00000000">
        <w:rPr>
          <w:rFonts w:ascii="Google Sans Text" w:cs="Google Sans Text" w:eastAsia="Google Sans Text" w:hAnsi="Google Sans Text"/>
          <w:color w:val="1b1c1d"/>
          <w:rtl w:val="0"/>
        </w:rPr>
        <w:t xml:space="preserve">, which is necessary to accommodate the substrate in the conformations required for the additional 18-hydroxylation reactions.</w:t>
      </w:r>
      <w:r w:rsidDel="00000000" w:rsidR="00000000" w:rsidRPr="00000000">
        <w:rPr>
          <w:rFonts w:ascii="Google Sans Text" w:cs="Google Sans Text" w:eastAsia="Google Sans Text" w:hAnsi="Google Sans Text"/>
          <w:color w:val="575b5f"/>
          <w:sz w:val="24"/>
          <w:szCs w:val="24"/>
          <w:vertAlign w:val="superscript"/>
          <w:rtl w:val="0"/>
        </w:rPr>
        <w:t xml:space="preserve">14</w:t>
      </w:r>
      <w:r w:rsidDel="00000000" w:rsidR="00000000" w:rsidRPr="00000000">
        <w:rPr>
          <w:rFonts w:ascii="Google Sans Text" w:cs="Google Sans Text" w:eastAsia="Google Sans Text" w:hAnsi="Google Sans Text"/>
          <w:color w:val="1b1c1d"/>
          <w:rtl w:val="0"/>
        </w:rPr>
        <w:t xml:space="preserve"> This is a clear example of how slight structural variations within the conserved P450 scaffold can yield dramatically different multi-step catalytic outputs.</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3.4. CYP19A1: The Complex Aromatization Cycle</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Aromatase catalyzes the synthesis of estrogens (Estrone and -Estradiol) from C19 androgens (Androstenedione and Testosterone).</w:t>
      </w:r>
      <w:r w:rsidDel="00000000" w:rsidR="00000000" w:rsidRPr="00000000">
        <w:rPr>
          <w:rFonts w:ascii="Google Sans Text" w:cs="Google Sans Text" w:eastAsia="Google Sans Text" w:hAnsi="Google Sans Text"/>
          <w:color w:val="575b5f"/>
          <w:sz w:val="24"/>
          <w:szCs w:val="24"/>
          <w:vertAlign w:val="superscript"/>
          <w:rtl w:val="0"/>
        </w:rPr>
        <w:t xml:space="preserve">16</w:t>
      </w:r>
      <w:r w:rsidDel="00000000" w:rsidR="00000000" w:rsidRPr="00000000">
        <w:rPr>
          <w:rFonts w:ascii="Google Sans Text" w:cs="Google Sans Text" w:eastAsia="Google Sans Text" w:hAnsi="Google Sans Text"/>
          <w:color w:val="1b1c1d"/>
          <w:rtl w:val="0"/>
        </w:rPr>
        <w:t xml:space="preserve"> This process requires three sequential oxidative steps and the subsequent removal of the C19 methyl group as formic acid, resulting in the aromatic A-ring structure that defines estrogens.</w:t>
      </w:r>
      <w:r w:rsidDel="00000000" w:rsidR="00000000" w:rsidRPr="00000000">
        <w:rPr>
          <w:rFonts w:ascii="Google Sans Text" w:cs="Google Sans Text" w:eastAsia="Google Sans Text" w:hAnsi="Google Sans Text"/>
          <w:color w:val="575b5f"/>
          <w:sz w:val="24"/>
          <w:szCs w:val="24"/>
          <w:vertAlign w:val="superscript"/>
          <w:rtl w:val="0"/>
        </w:rPr>
        <w:t xml:space="preserve">16</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Table 2: Key Catalytic Steps and Kinetics of Aromatase (CYP19A1)</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Reaction Step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Substrate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Product/Intermediate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Enzyme Activity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Reported Kinetic Constant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Step 1 (Initiation)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Androstenedione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19-Hydroxyandrostenedione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-Hydroxylation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 (for 19-hydroxylation) </w:t>
            </w:r>
            <w:r w:rsidDel="00000000" w:rsidR="00000000" w:rsidRPr="00000000">
              <w:rPr>
                <w:rFonts w:ascii="Google Sans Text" w:cs="Google Sans Text" w:eastAsia="Google Sans Text" w:hAnsi="Google Sans Text"/>
                <w:color w:val="575b5f"/>
                <w:sz w:val="24"/>
                <w:szCs w:val="24"/>
                <w:vertAlign w:val="superscript"/>
                <w:rtl w:val="0"/>
              </w:rPr>
              <w:t xml:space="preserve">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Step 2 (Oxidation)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19-Hydroxyandrostenedione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19-Oxoandrostenedione (19-aldehyde)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Second Hydroxylation/Oxidation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 </w:t>
            </w:r>
            <w:r w:rsidDel="00000000" w:rsidR="00000000" w:rsidRPr="00000000">
              <w:rPr>
                <w:rFonts w:ascii="Google Sans Text" w:cs="Google Sans Text" w:eastAsia="Google Sans Text" w:hAnsi="Google Sans Text"/>
                <w:color w:val="575b5f"/>
                <w:sz w:val="24"/>
                <w:szCs w:val="24"/>
                <w:vertAlign w:val="superscript"/>
                <w:rtl w:val="0"/>
              </w:rPr>
              <w:t xml:space="preserve">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Step 3 (Cleavage)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19-Oxoandrostenedione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Estrone (E1) + Formate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Aromatization and C19 elimination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 (conversion of 19-oxo intermediate) </w:t>
            </w:r>
            <w:r w:rsidDel="00000000" w:rsidR="00000000" w:rsidRPr="00000000">
              <w:rPr>
                <w:rFonts w:ascii="Google Sans Text" w:cs="Google Sans Text" w:eastAsia="Google Sans Text" w:hAnsi="Google Sans Text"/>
                <w:color w:val="575b5f"/>
                <w:sz w:val="24"/>
                <w:szCs w:val="24"/>
                <w:vertAlign w:val="superscript"/>
                <w:rtl w:val="0"/>
              </w:rPr>
              <w:t xml:space="preserve">24</w:t>
            </w:r>
          </w:p>
        </w:tc>
      </w:tr>
    </w:tbl>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8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3.4.1. Processivity and Binding</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Controversy historically existed regarding whether CYP19A1 acted as a processive or distributive enzyme.</w:t>
      </w:r>
      <w:r w:rsidDel="00000000" w:rsidR="00000000" w:rsidRPr="00000000">
        <w:rPr>
          <w:rFonts w:ascii="Google Sans Text" w:cs="Google Sans Text" w:eastAsia="Google Sans Text" w:hAnsi="Google Sans Text"/>
          <w:color w:val="575b5f"/>
          <w:sz w:val="24"/>
          <w:szCs w:val="24"/>
          <w:vertAlign w:val="superscript"/>
          <w:rtl w:val="0"/>
        </w:rPr>
        <w:t xml:space="preserve">23</w:t>
      </w:r>
      <w:r w:rsidDel="00000000" w:rsidR="00000000" w:rsidRPr="00000000">
        <w:rPr>
          <w:rFonts w:ascii="Google Sans Text" w:cs="Google Sans Text" w:eastAsia="Google Sans Text" w:hAnsi="Google Sans Text"/>
          <w:color w:val="1b1c1d"/>
          <w:rtl w:val="0"/>
        </w:rPr>
        <w:t xml:space="preserve"> Current evidence, including pulse-chase and kinetic modeling, suggests that P450 19A1 is </w:t>
      </w:r>
      <w:r w:rsidDel="00000000" w:rsidR="00000000" w:rsidRPr="00000000">
        <w:rPr>
          <w:rFonts w:ascii="Google Sans Text" w:cs="Google Sans Text" w:eastAsia="Google Sans Text" w:hAnsi="Google Sans Text"/>
          <w:b w:val="1"/>
          <w:color w:val="1b1c1d"/>
          <w:rtl w:val="0"/>
        </w:rPr>
        <w:t xml:space="preserve">distributive</w:t>
      </w:r>
      <w:r w:rsidDel="00000000" w:rsidR="00000000" w:rsidRPr="00000000">
        <w:rPr>
          <w:rFonts w:ascii="Google Sans Text" w:cs="Google Sans Text" w:eastAsia="Google Sans Text" w:hAnsi="Google Sans Text"/>
          <w:color w:val="1b1c1d"/>
          <w:rtl w:val="0"/>
        </w:rPr>
        <w:t xml:space="preserve">, allowing the intermediates (19-OH andro and 19-oxo andro) to freely dissociate during the sequential reaction.</w:t>
      </w:r>
      <w:r w:rsidDel="00000000" w:rsidR="00000000" w:rsidRPr="00000000">
        <w:rPr>
          <w:rFonts w:ascii="Google Sans Text" w:cs="Google Sans Text" w:eastAsia="Google Sans Text" w:hAnsi="Google Sans Text"/>
          <w:color w:val="575b5f"/>
          <w:sz w:val="24"/>
          <w:szCs w:val="24"/>
          <w:vertAlign w:val="superscript"/>
          <w:rtl w:val="0"/>
        </w:rPr>
        <w:t xml:space="preserve">23</w:t>
      </w:r>
      <w:r w:rsidDel="00000000" w:rsidR="00000000" w:rsidRPr="00000000">
        <w:rPr>
          <w:rFonts w:ascii="Google Sans Text" w:cs="Google Sans Text" w:eastAsia="Google Sans Text" w:hAnsi="Google Sans Text"/>
          <w:color w:val="1b1c1d"/>
          <w:rtl w:val="0"/>
        </w:rPr>
        <w:t xml:space="preserve"> Crystallographic analysis of P450 19A1 bound to its substrate reinforces the existence of a single, relatively small active site well-suited to accommodate the androgen ring structure, arguing against the necessity of multiple active sites for the three steps.</w:t>
      </w:r>
      <w:r w:rsidDel="00000000" w:rsidR="00000000" w:rsidRPr="00000000">
        <w:rPr>
          <w:rFonts w:ascii="Google Sans Text" w:cs="Google Sans Text" w:eastAsia="Google Sans Text" w:hAnsi="Google Sans Text"/>
          <w:color w:val="575b5f"/>
          <w:sz w:val="24"/>
          <w:szCs w:val="24"/>
          <w:vertAlign w:val="superscript"/>
          <w:rtl w:val="0"/>
        </w:rPr>
        <w:t xml:space="preserve">23</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8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3.4.2. Acute Regulation via Phosphorylation</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Beyond classic transcriptional control, aromatase activity is subject to regulation by post-translational modifications. Human aromatase has multiple phosphorylation sites, including the active site residue S478.</w:t>
      </w:r>
      <w:r w:rsidDel="00000000" w:rsidR="00000000" w:rsidRPr="00000000">
        <w:rPr>
          <w:rFonts w:ascii="Google Sans Text" w:cs="Google Sans Text" w:eastAsia="Google Sans Text" w:hAnsi="Google Sans Text"/>
          <w:color w:val="575b5f"/>
          <w:sz w:val="24"/>
          <w:szCs w:val="24"/>
          <w:vertAlign w:val="superscript"/>
          <w:rtl w:val="0"/>
        </w:rPr>
        <w:t xml:space="preserve">25</w:t>
      </w:r>
      <w:r w:rsidDel="00000000" w:rsidR="00000000" w:rsidRPr="00000000">
        <w:rPr>
          <w:rFonts w:ascii="Google Sans Text" w:cs="Google Sans Text" w:eastAsia="Google Sans Text" w:hAnsi="Google Sans Text"/>
          <w:color w:val="1b1c1d"/>
          <w:rtl w:val="0"/>
        </w:rPr>
        <w:t xml:space="preserve"> Crucially, phosphorylation of </w:t>
      </w:r>
      <w:r w:rsidDel="00000000" w:rsidR="00000000" w:rsidRPr="00000000">
        <w:rPr>
          <w:rFonts w:ascii="Google Sans Text" w:cs="Google Sans Text" w:eastAsia="Google Sans Text" w:hAnsi="Google Sans Text"/>
          <w:b w:val="1"/>
          <w:color w:val="1b1c1d"/>
          <w:rtl w:val="0"/>
        </w:rPr>
        <w:t xml:space="preserve">Tyrosine 361 (Y361)</w:t>
      </w:r>
      <w:r w:rsidDel="00000000" w:rsidR="00000000" w:rsidRPr="00000000">
        <w:rPr>
          <w:rFonts w:ascii="Google Sans Text" w:cs="Google Sans Text" w:eastAsia="Google Sans Text" w:hAnsi="Google Sans Text"/>
          <w:color w:val="1b1c1d"/>
          <w:rtl w:val="0"/>
        </w:rPr>
        <w:t xml:space="preserve">, located at the reductase-coupling interface, has been unequivocally demonstrated to significantly elevate aromatase activity.</w:t>
      </w:r>
      <w:r w:rsidDel="00000000" w:rsidR="00000000" w:rsidRPr="00000000">
        <w:rPr>
          <w:rFonts w:ascii="Google Sans Text" w:cs="Google Sans Text" w:eastAsia="Google Sans Text" w:hAnsi="Google Sans Text"/>
          <w:color w:val="575b5f"/>
          <w:sz w:val="24"/>
          <w:szCs w:val="24"/>
          <w:vertAlign w:val="superscript"/>
          <w:rtl w:val="0"/>
        </w:rPr>
        <w:t xml:space="preserve">25</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This molecular finding is central to understanding estrogen's full physiological role. While basal estrogen synthesis is often linked to gene expression changes (driving slow, genomic effects), the rapid modulation of enzyme activity via phosphorylation at the POR interface suggests a mechanism for </w:t>
      </w:r>
      <w:r w:rsidDel="00000000" w:rsidR="00000000" w:rsidRPr="00000000">
        <w:rPr>
          <w:rFonts w:ascii="Google Sans Text" w:cs="Google Sans Text" w:eastAsia="Google Sans Text" w:hAnsi="Google Sans Text"/>
          <w:b w:val="1"/>
          <w:color w:val="1b1c1d"/>
          <w:rtl w:val="0"/>
        </w:rPr>
        <w:t xml:space="preserve">acute, rapid estrogen synthesis (RES)</w:t>
      </w:r>
      <w:r w:rsidDel="00000000" w:rsidR="00000000" w:rsidRPr="00000000">
        <w:rPr>
          <w:rFonts w:ascii="Google Sans Text" w:cs="Google Sans Text" w:eastAsia="Google Sans Text" w:hAnsi="Google Sans Text"/>
          <w:color w:val="1b1c1d"/>
          <w:rtl w:val="0"/>
        </w:rPr>
        <w:t xml:space="preserve">. This is particularly relevant in the central nervous system, where estrogens function as neurotransmitters or neuromodulators, requiring swift regulation of local E2 levels to facilitate non-genomic signaling pathways.</w:t>
      </w:r>
      <w:r w:rsidDel="00000000" w:rsidR="00000000" w:rsidRPr="00000000">
        <w:rPr>
          <w:rFonts w:ascii="Google Sans Text" w:cs="Google Sans Text" w:eastAsia="Google Sans Text" w:hAnsi="Google Sans Text"/>
          <w:color w:val="575b5f"/>
          <w:sz w:val="24"/>
          <w:szCs w:val="24"/>
          <w:vertAlign w:val="superscript"/>
          <w:rtl w:val="0"/>
        </w:rPr>
        <w:t xml:space="preserve">25</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9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IV. Clinical Relevance and Pathological Roles</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essential role of these P450 enzymes in the production of all steroid classes means that genetic or pharmacological perturbations lead to profound clinical consequences ranging from congenital adrenal disorders to hormone-dependent cancers.</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4.1. Steroidogenic Enzyme Deficiencies (Congenital Adrenal Hyperplasia)</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Deficiencies in the upstream mitochondrial P450s result in varying forms of Congenital Adrenal Hyperplasia (CAH).</w:t>
      </w:r>
    </w:p>
    <w:p w:rsidR="00000000" w:rsidDel="00000000" w:rsidP="00000000" w:rsidRDefault="00000000" w:rsidRPr="00000000" w14:paraId="00000098">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CYP11A1 Deficiency:</w:t>
      </w:r>
      <w:r w:rsidDel="00000000" w:rsidR="00000000" w:rsidRPr="00000000">
        <w:rPr>
          <w:rFonts w:ascii="Google Sans Text" w:cs="Google Sans Text" w:eastAsia="Google Sans Text" w:hAnsi="Google Sans Text"/>
          <w:color w:val="1b1c1d"/>
          <w:rtl w:val="0"/>
        </w:rPr>
        <w:t xml:space="preserve"> This condition resembles congenital lipoid adrenal hyperplasia (CLAH) and disrupts all downstream steroidogenesis.</w:t>
      </w:r>
      <w:r w:rsidDel="00000000" w:rsidR="00000000" w:rsidRPr="00000000">
        <w:rPr>
          <w:rFonts w:ascii="Google Sans Text" w:cs="Google Sans Text" w:eastAsia="Google Sans Text" w:hAnsi="Google Sans Text"/>
          <w:color w:val="575b5f"/>
          <w:sz w:val="24"/>
          <w:szCs w:val="24"/>
          <w:vertAlign w:val="superscript"/>
          <w:rtl w:val="0"/>
        </w:rPr>
        <w:t xml:space="preserve">11</w:t>
      </w:r>
      <w:r w:rsidDel="00000000" w:rsidR="00000000" w:rsidRPr="00000000">
        <w:rPr>
          <w:rFonts w:ascii="Google Sans Text" w:cs="Google Sans Text" w:eastAsia="Google Sans Text" w:hAnsi="Google Sans Text"/>
          <w:color w:val="1b1c1d"/>
          <w:rtl w:val="0"/>
        </w:rPr>
        <w:t xml:space="preserve"> Phenotypes include partial or complete adrenal insufficiency and severe disorders of sex development.</w:t>
      </w:r>
      <w:r w:rsidDel="00000000" w:rsidR="00000000" w:rsidRPr="00000000">
        <w:rPr>
          <w:rFonts w:ascii="Google Sans Text" w:cs="Google Sans Text" w:eastAsia="Google Sans Text" w:hAnsi="Google Sans Text"/>
          <w:color w:val="575b5f"/>
          <w:sz w:val="24"/>
          <w:szCs w:val="24"/>
          <w:vertAlign w:val="superscript"/>
          <w:rtl w:val="0"/>
        </w:rPr>
        <w:t xml:space="preserve">26</w:t>
      </w:r>
    </w:p>
    <w:p w:rsidR="00000000" w:rsidDel="00000000" w:rsidP="00000000" w:rsidRDefault="00000000" w:rsidRPr="00000000" w14:paraId="0000009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CYP17A1 Deficiency:</w:t>
      </w:r>
      <w:r w:rsidDel="00000000" w:rsidR="00000000" w:rsidRPr="00000000">
        <w:rPr>
          <w:rFonts w:ascii="Google Sans Text" w:cs="Google Sans Text" w:eastAsia="Google Sans Text" w:hAnsi="Google Sans Text"/>
          <w:color w:val="1b1c1d"/>
          <w:rtl w:val="0"/>
        </w:rPr>
        <w:t xml:space="preserve"> This rare form of CAH (approximately 1% of cases) involves the combined loss of -hydroxylase and 17,20-lyase activities.</w:t>
      </w:r>
      <w:r w:rsidDel="00000000" w:rsidR="00000000" w:rsidRPr="00000000">
        <w:rPr>
          <w:rFonts w:ascii="Google Sans Text" w:cs="Google Sans Text" w:eastAsia="Google Sans Text" w:hAnsi="Google Sans Text"/>
          <w:color w:val="575b5f"/>
          <w:sz w:val="24"/>
          <w:szCs w:val="24"/>
          <w:vertAlign w:val="superscript"/>
          <w:rtl w:val="0"/>
        </w:rPr>
        <w:t xml:space="preserve">27</w:t>
      </w:r>
      <w:r w:rsidDel="00000000" w:rsidR="00000000" w:rsidRPr="00000000">
        <w:rPr>
          <w:rFonts w:ascii="Google Sans Text" w:cs="Google Sans Text" w:eastAsia="Google Sans Text" w:hAnsi="Google Sans Text"/>
          <w:color w:val="1b1c1d"/>
          <w:rtl w:val="0"/>
        </w:rPr>
        <w:t xml:space="preserve"> The resultant lack of -hydroxylation impairs cortisol synthesis, leading to a compensatory shunting of precursors down the mineralocorticoid pathway.</w:t>
      </w:r>
      <w:r w:rsidDel="00000000" w:rsidR="00000000" w:rsidRPr="00000000">
        <w:rPr>
          <w:rFonts w:ascii="Google Sans Text" w:cs="Google Sans Text" w:eastAsia="Google Sans Text" w:hAnsi="Google Sans Text"/>
          <w:color w:val="575b5f"/>
          <w:sz w:val="24"/>
          <w:szCs w:val="24"/>
          <w:vertAlign w:val="superscript"/>
          <w:rtl w:val="0"/>
        </w:rPr>
        <w:t xml:space="preserve">28</w:t>
      </w:r>
      <w:r w:rsidDel="00000000" w:rsidR="00000000" w:rsidRPr="00000000">
        <w:rPr>
          <w:rFonts w:ascii="Google Sans Text" w:cs="Google Sans Text" w:eastAsia="Google Sans Text" w:hAnsi="Google Sans Text"/>
          <w:color w:val="1b1c1d"/>
          <w:rtl w:val="0"/>
        </w:rPr>
        <w:t xml:space="preserve"> This shunt results in the excess production of salt-regulating hormones, such as 11-deoxycorticosterone (DOC), clinically manifesting as </w:t>
      </w:r>
      <w:r w:rsidDel="00000000" w:rsidR="00000000" w:rsidRPr="00000000">
        <w:rPr>
          <w:rFonts w:ascii="Google Sans Text" w:cs="Google Sans Text" w:eastAsia="Google Sans Text" w:hAnsi="Google Sans Text"/>
          <w:b w:val="1"/>
          <w:color w:val="1b1c1d"/>
          <w:rtl w:val="0"/>
        </w:rPr>
        <w:t xml:space="preserve">hypertension and hypokalemia</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z w:val="24"/>
          <w:szCs w:val="24"/>
          <w:vertAlign w:val="superscript"/>
          <w:rtl w:val="0"/>
        </w:rPr>
        <w:t xml:space="preserve">13</w:t>
      </w:r>
      <w:r w:rsidDel="00000000" w:rsidR="00000000" w:rsidRPr="00000000">
        <w:rPr>
          <w:rFonts w:ascii="Google Sans Text" w:cs="Google Sans Text" w:eastAsia="Google Sans Text" w:hAnsi="Google Sans Text"/>
          <w:color w:val="1b1c1d"/>
          <w:rtl w:val="0"/>
        </w:rPr>
        <w:t xml:space="preserve"> Concurrently, the loss of 17,20-lyase activity impairs sex hormone production, causing lack of pubertal development in both sexes and undervirilization in 46,XY males.</w:t>
      </w:r>
      <w:r w:rsidDel="00000000" w:rsidR="00000000" w:rsidRPr="00000000">
        <w:rPr>
          <w:rFonts w:ascii="Google Sans Text" w:cs="Google Sans Text" w:eastAsia="Google Sans Text" w:hAnsi="Google Sans Text"/>
          <w:color w:val="575b5f"/>
          <w:sz w:val="24"/>
          <w:szCs w:val="24"/>
          <w:vertAlign w:val="superscript"/>
          <w:rtl w:val="0"/>
        </w:rPr>
        <w:t xml:space="preserve">29</w:t>
      </w:r>
    </w:p>
    <w:p w:rsidR="00000000" w:rsidDel="00000000" w:rsidP="00000000" w:rsidRDefault="00000000" w:rsidRPr="00000000" w14:paraId="0000009A">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CYP19A1 Deficiency (Aromatase Deficiency):</w:t>
      </w:r>
      <w:r w:rsidDel="00000000" w:rsidR="00000000" w:rsidRPr="00000000">
        <w:rPr>
          <w:rFonts w:ascii="Google Sans Text" w:cs="Google Sans Text" w:eastAsia="Google Sans Text" w:hAnsi="Google Sans Text"/>
          <w:color w:val="1b1c1d"/>
          <w:rtl w:val="0"/>
        </w:rPr>
        <w:t xml:space="preserve"> Caused by mutations in the  gene, this condition prevents the conversion of androgens to estrogens. In developing female fetuses, this lack of placental estrogen prevents androgens from being neutralized, which can lead to masculinization.</w:t>
      </w:r>
      <w:r w:rsidDel="00000000" w:rsidR="00000000" w:rsidRPr="00000000">
        <w:rPr>
          <w:rFonts w:ascii="Google Sans Text" w:cs="Google Sans Text" w:eastAsia="Google Sans Text" w:hAnsi="Google Sans Text"/>
          <w:color w:val="575b5f"/>
          <w:sz w:val="24"/>
          <w:szCs w:val="24"/>
          <w:vertAlign w:val="superscript"/>
          <w:rtl w:val="0"/>
        </w:rPr>
        <w:t xml:space="preserve">15</w:t>
      </w:r>
      <w:r w:rsidDel="00000000" w:rsidR="00000000" w:rsidRPr="00000000">
        <w:rPr>
          <w:rFonts w:ascii="Google Sans Text" w:cs="Google Sans Text" w:eastAsia="Google Sans Text" w:hAnsi="Google Sans Text"/>
          <w:color w:val="1b1c1d"/>
          <w:rtl w:val="0"/>
        </w:rPr>
        <w:t xml:space="preserve"> Postnatally, the deficiency impairs crucial estrogen-dependent roles in bone growth and blood sugar regulation in both sexes.</w:t>
      </w:r>
      <w:r w:rsidDel="00000000" w:rsidR="00000000" w:rsidRPr="00000000">
        <w:rPr>
          <w:rFonts w:ascii="Google Sans Text" w:cs="Google Sans Text" w:eastAsia="Google Sans Text" w:hAnsi="Google Sans Text"/>
          <w:color w:val="575b5f"/>
          <w:sz w:val="24"/>
          <w:szCs w:val="24"/>
          <w:vertAlign w:val="superscript"/>
          <w:rtl w:val="0"/>
        </w:rPr>
        <w:t xml:space="preserve">20</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9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4.2. CYP19A1 in Hormone-Dependent Cancer</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Aromatase activity is a critical factor in the progression of Estrogen Receptor-Positive (ER+) breast cancer, particularly in postmenopausal women.</w:t>
      </w:r>
      <w:r w:rsidDel="00000000" w:rsidR="00000000" w:rsidRPr="00000000">
        <w:rPr>
          <w:rFonts w:ascii="Google Sans Text" w:cs="Google Sans Text" w:eastAsia="Google Sans Text" w:hAnsi="Google Sans Text"/>
          <w:color w:val="575b5f"/>
          <w:sz w:val="24"/>
          <w:szCs w:val="24"/>
          <w:vertAlign w:val="superscript"/>
          <w:rtl w:val="0"/>
        </w:rPr>
        <w:t xml:space="preserve">30</w:t>
      </w:r>
      <w:r w:rsidDel="00000000" w:rsidR="00000000" w:rsidRPr="00000000">
        <w:rPr>
          <w:rFonts w:ascii="Google Sans Text" w:cs="Google Sans Text" w:eastAsia="Google Sans Text" w:hAnsi="Google Sans Text"/>
          <w:color w:val="1b1c1d"/>
          <w:rtl w:val="0"/>
        </w:rPr>
        <w:t xml:space="preserve"> After menopause, the ovaries cease to be the primary estrogen source, and local estrogen production by the tumor cells and surrounding adipose stroma becomes the dominant factor sustaining tumor cell proliferation.</w:t>
      </w:r>
      <w:r w:rsidDel="00000000" w:rsidR="00000000" w:rsidRPr="00000000">
        <w:rPr>
          <w:rFonts w:ascii="Google Sans Text" w:cs="Google Sans Text" w:eastAsia="Google Sans Text" w:hAnsi="Google Sans Text"/>
          <w:color w:val="575b5f"/>
          <w:sz w:val="24"/>
          <w:szCs w:val="24"/>
          <w:vertAlign w:val="superscript"/>
          <w:rtl w:val="0"/>
        </w:rPr>
        <w:t xml:space="preserve">30</w:t>
      </w:r>
      <w:r w:rsidDel="00000000" w:rsidR="00000000" w:rsidRPr="00000000">
        <w:rPr>
          <w:rFonts w:ascii="Google Sans Text" w:cs="Google Sans Text" w:eastAsia="Google Sans Text" w:hAnsi="Google Sans Text"/>
          <w:color w:val="1b1c1d"/>
          <w:rtl w:val="0"/>
        </w:rPr>
        <w:t xml:space="preserve"> Studies show that high  gene expression within the tumor is strongly and significantly associated with poor overall, disease-free, and metastasis-free survival in ER+ patients.</w:t>
      </w:r>
      <w:r w:rsidDel="00000000" w:rsidR="00000000" w:rsidRPr="00000000">
        <w:rPr>
          <w:rFonts w:ascii="Google Sans Text" w:cs="Google Sans Text" w:eastAsia="Google Sans Text" w:hAnsi="Google Sans Text"/>
          <w:color w:val="575b5f"/>
          <w:sz w:val="24"/>
          <w:szCs w:val="24"/>
          <w:vertAlign w:val="superscript"/>
          <w:rtl w:val="0"/>
        </w:rPr>
        <w:t xml:space="preserve">30</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A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4.3. Pharmacological Targeting of Steroidogenic P450s</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essential roles of CYP17A1 and CYP19A1 have made them highly successful pharmacological targets for treating hormone-sensitive cancers.</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A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4.3.1. Aromatase Inhibitors (AIs)</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Aromatase inhibitors are grouped into two distinct classes based on their mechanism of action </w:t>
      </w:r>
      <w:r w:rsidDel="00000000" w:rsidR="00000000" w:rsidRPr="00000000">
        <w:rPr>
          <w:rFonts w:ascii="Google Sans Text" w:cs="Google Sans Text" w:eastAsia="Google Sans Text" w:hAnsi="Google Sans Text"/>
          <w:color w:val="575b5f"/>
          <w:sz w:val="24"/>
          <w:szCs w:val="24"/>
          <w:vertAlign w:val="superscript"/>
          <w:rtl w:val="0"/>
        </w:rPr>
        <w:t xml:space="preserve">31</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A7">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Type I AIs (Steroidal, Irreversible):</w:t>
      </w:r>
      <w:r w:rsidDel="00000000" w:rsidR="00000000" w:rsidRPr="00000000">
        <w:rPr>
          <w:rFonts w:ascii="Google Sans Text" w:cs="Google Sans Text" w:eastAsia="Google Sans Text" w:hAnsi="Google Sans Text"/>
          <w:color w:val="1b1c1d"/>
          <w:rtl w:val="0"/>
        </w:rPr>
        <w:t xml:space="preserve"> These are mechanism-based inhibitors, or "aromatase inactivators," such as Exemestane and Formestane.</w:t>
      </w:r>
      <w:r w:rsidDel="00000000" w:rsidR="00000000" w:rsidRPr="00000000">
        <w:rPr>
          <w:rFonts w:ascii="Google Sans Text" w:cs="Google Sans Text" w:eastAsia="Google Sans Text" w:hAnsi="Google Sans Text"/>
          <w:color w:val="575b5f"/>
          <w:sz w:val="24"/>
          <w:szCs w:val="24"/>
          <w:vertAlign w:val="superscript"/>
          <w:rtl w:val="0"/>
        </w:rPr>
        <w:t xml:space="preserve">31</w:t>
      </w:r>
      <w:r w:rsidDel="00000000" w:rsidR="00000000" w:rsidRPr="00000000">
        <w:rPr>
          <w:rFonts w:ascii="Google Sans Text" w:cs="Google Sans Text" w:eastAsia="Google Sans Text" w:hAnsi="Google Sans Text"/>
          <w:color w:val="1b1c1d"/>
          <w:rtl w:val="0"/>
        </w:rPr>
        <w:t xml:space="preserve"> They are structurally analogous to the natural androgen substrates (e.g., androstenedione derivatives) and bind irreversibly to the active site, resulting in permanent enzyme inactivation.</w:t>
      </w:r>
      <w:r w:rsidDel="00000000" w:rsidR="00000000" w:rsidRPr="00000000">
        <w:rPr>
          <w:rFonts w:ascii="Google Sans Text" w:cs="Google Sans Text" w:eastAsia="Google Sans Text" w:hAnsi="Google Sans Text"/>
          <w:color w:val="575b5f"/>
          <w:sz w:val="24"/>
          <w:szCs w:val="24"/>
          <w:vertAlign w:val="superscript"/>
          <w:rtl w:val="0"/>
        </w:rPr>
        <w:t xml:space="preserve">22</w:t>
      </w:r>
    </w:p>
    <w:p w:rsidR="00000000" w:rsidDel="00000000" w:rsidP="00000000" w:rsidRDefault="00000000" w:rsidRPr="00000000" w14:paraId="000000A8">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Type II AIs (Nonsteroidal, Reversible):</w:t>
      </w:r>
      <w:r w:rsidDel="00000000" w:rsidR="00000000" w:rsidRPr="00000000">
        <w:rPr>
          <w:rFonts w:ascii="Google Sans Text" w:cs="Google Sans Text" w:eastAsia="Google Sans Text" w:hAnsi="Google Sans Text"/>
          <w:color w:val="1b1c1d"/>
          <w:rtl w:val="0"/>
        </w:rPr>
        <w:t xml:space="preserve"> These agents, including Anastrozole and Letrozole, are triazole derivatives.</w:t>
      </w:r>
      <w:r w:rsidDel="00000000" w:rsidR="00000000" w:rsidRPr="00000000">
        <w:rPr>
          <w:rFonts w:ascii="Google Sans Text" w:cs="Google Sans Text" w:eastAsia="Google Sans Text" w:hAnsi="Google Sans Text"/>
          <w:color w:val="575b5f"/>
          <w:sz w:val="24"/>
          <w:szCs w:val="24"/>
          <w:vertAlign w:val="superscript"/>
          <w:rtl w:val="0"/>
        </w:rPr>
        <w:t xml:space="preserve">31</w:t>
      </w:r>
      <w:r w:rsidDel="00000000" w:rsidR="00000000" w:rsidRPr="00000000">
        <w:rPr>
          <w:rFonts w:ascii="Google Sans Text" w:cs="Google Sans Text" w:eastAsia="Google Sans Text" w:hAnsi="Google Sans Text"/>
          <w:color w:val="1b1c1d"/>
          <w:rtl w:val="0"/>
        </w:rPr>
        <w:t xml:space="preserve"> They bind reversibly within the substrate binding pocket, with the triazole nitrogen atom coordinating directly to the heme iron of the P450 enzyme.</w:t>
      </w:r>
      <w:r w:rsidDel="00000000" w:rsidR="00000000" w:rsidRPr="00000000">
        <w:rPr>
          <w:rFonts w:ascii="Google Sans Text" w:cs="Google Sans Text" w:eastAsia="Google Sans Text" w:hAnsi="Google Sans Text"/>
          <w:color w:val="575b5f"/>
          <w:sz w:val="24"/>
          <w:szCs w:val="24"/>
          <w:vertAlign w:val="superscript"/>
          <w:rtl w:val="0"/>
        </w:rPr>
        <w:t xml:space="preserve">31</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development of third-generation Type II AIs achieved immense potency and specificity by optimizing the structural fit to maximize the tight coordination with the heme group, thus minimizing off-target blockade of other essential P450 enzymes (a problem historically associated with early inhibitors like aminoglutethimide).</w:t>
      </w:r>
      <w:r w:rsidDel="00000000" w:rsidR="00000000" w:rsidRPr="00000000">
        <w:rPr>
          <w:rFonts w:ascii="Google Sans Text" w:cs="Google Sans Text" w:eastAsia="Google Sans Text" w:hAnsi="Google Sans Text"/>
          <w:color w:val="575b5f"/>
          <w:sz w:val="24"/>
          <w:szCs w:val="24"/>
          <w:vertAlign w:val="superscript"/>
          <w:rtl w:val="0"/>
        </w:rPr>
        <w:t xml:space="preserve">31</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A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4.3.2. CYP17A1 Inhibitors</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Abiraterone acetate represents a crucial pharmacological tool that specifically targets CYP17A1. This drug functions as a potent, irreversible inhibitor of both -hydroxylase and 17,20-lyase activities, primarily utilized in treating prostate cancer by suppressing adrenal androgen synthesis.</w:t>
      </w:r>
      <w:r w:rsidDel="00000000" w:rsidR="00000000" w:rsidRPr="00000000">
        <w:rPr>
          <w:rFonts w:ascii="Google Sans Text" w:cs="Google Sans Text" w:eastAsia="Google Sans Text" w:hAnsi="Google Sans Text"/>
          <w:color w:val="575b5f"/>
          <w:sz w:val="24"/>
          <w:szCs w:val="24"/>
          <w:vertAlign w:val="superscript"/>
          <w:rtl w:val="0"/>
        </w:rPr>
        <w:t xml:space="preserve">13</w:t>
      </w:r>
      <w:r w:rsidDel="00000000" w:rsidR="00000000" w:rsidRPr="00000000">
        <w:rPr>
          <w:rFonts w:ascii="Google Sans Text" w:cs="Google Sans Text" w:eastAsia="Google Sans Text" w:hAnsi="Google Sans Text"/>
          <w:color w:val="1b1c1d"/>
          <w:rtl w:val="0"/>
        </w:rPr>
        <w:t xml:space="preserve"> Pharmacological inhibition of CYP17A1 mimics the congenital deficiency, often causing a transient state of pharmacologic 17-hydroxylase deficiency characterized by elevated mineralocorticoid precursors, sometimes requiring prophylactic treatment for resulting hypertension.</w:t>
      </w:r>
      <w:r w:rsidDel="00000000" w:rsidR="00000000" w:rsidRPr="00000000">
        <w:rPr>
          <w:rFonts w:ascii="Google Sans Text" w:cs="Google Sans Text" w:eastAsia="Google Sans Text" w:hAnsi="Google Sans Text"/>
          <w:color w:val="575b5f"/>
          <w:sz w:val="24"/>
          <w:szCs w:val="24"/>
          <w:vertAlign w:val="superscript"/>
          <w:rtl w:val="0"/>
        </w:rPr>
        <w:t xml:space="preserve">13</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Table 3: Steroidogenic P450 Pathology and Pharmacology</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Enzyme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Primary Steroid Product(s)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Key Pathological Condition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Therapeutic Relevance/Targeted Drug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Mechanism of Action (Drug)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CYP11A1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Pregnenolone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Congenital Lipoid Adrenal Hyperplasia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N/A (Initial step, no specific drug target)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CYP17A1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Androgens, Cortisol precursors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17$\alpha$-Hydroxylase Deficiency (CAH)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Abiraterone acetate (Inhibitor)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Irreversible inhibition of 17$\alpha$-Hydroxylase and 17,20-Lyase </w:t>
            </w:r>
            <w:r w:rsidDel="00000000" w:rsidR="00000000" w:rsidRPr="00000000">
              <w:rPr>
                <w:rFonts w:ascii="Google Sans Text" w:cs="Google Sans Text" w:eastAsia="Google Sans Text" w:hAnsi="Google Sans Text"/>
                <w:color w:val="575b5f"/>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CYP11B1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Cortisol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-Hydroxylase Deficiency (CAH)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Metyrapone (Inhibitor)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Inhibition of -hydroxylation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CYP19A1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Estrone, Estradiol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ER+ Breast Cancer, Aromatase Deficiency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Type I (Exemestane) &amp; Type II (Letrozole) AIs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Type I: Irreversible substrate analog; Type II: Reversible heme coordination </w:t>
            </w:r>
            <w:r w:rsidDel="00000000" w:rsidR="00000000" w:rsidRPr="00000000">
              <w:rPr>
                <w:rFonts w:ascii="Google Sans Text" w:cs="Google Sans Text" w:eastAsia="Google Sans Text" w:hAnsi="Google Sans Text"/>
                <w:color w:val="575b5f"/>
                <w:sz w:val="24"/>
                <w:szCs w:val="24"/>
                <w:vertAlign w:val="superscript"/>
                <w:rtl w:val="0"/>
              </w:rPr>
              <w:t xml:space="preserve">31</w:t>
            </w:r>
          </w:p>
        </w:tc>
      </w:tr>
    </w:tbl>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C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V. Cross-Cutting Overview and Integrated Themes</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structural and functional analysis of this P450 cluster reveals several deep-seated commonalities alongside mechanistic innovations that dictate specialized endocrine roles.</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C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5.1. Shared Structural Motif and Active Site Divergence</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All members share the fundamental P450 structural domain.</w:t>
      </w:r>
      <w:r w:rsidDel="00000000" w:rsidR="00000000" w:rsidRPr="00000000">
        <w:rPr>
          <w:rFonts w:ascii="Google Sans Text" w:cs="Google Sans Text" w:eastAsia="Google Sans Text" w:hAnsi="Google Sans Text"/>
          <w:color w:val="575b5f"/>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However, the specificity of their catalytic activity is achieved through fine-tuning the size and shape of the substrate access channel and the active site cavity.</w:t>
      </w:r>
      <w:r w:rsidDel="00000000" w:rsidR="00000000" w:rsidRPr="00000000">
        <w:rPr>
          <w:rFonts w:ascii="Google Sans Text" w:cs="Google Sans Text" w:eastAsia="Google Sans Text" w:hAnsi="Google Sans Text"/>
          <w:color w:val="575b5f"/>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The subtle differences in active site geometry explain complex functional divergence: for example, the ability of CYP11B2 to perform three sequential hydroxylation steps, compared to the single -hydroxylation performed by CYP11B1, is entirely due to the relative restriction or extension of the substrate-binding site.</w:t>
      </w:r>
      <w:r w:rsidDel="00000000" w:rsidR="00000000" w:rsidRPr="00000000">
        <w:rPr>
          <w:rFonts w:ascii="Google Sans Text" w:cs="Google Sans Text" w:eastAsia="Google Sans Text" w:hAnsi="Google Sans Text"/>
          <w:color w:val="575b5f"/>
          <w:sz w:val="24"/>
          <w:szCs w:val="24"/>
          <w:vertAlign w:val="superscript"/>
          <w:rtl w:val="0"/>
        </w:rPr>
        <w:t xml:space="preserve">14</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D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5.2. Convergent Regulatory Mechanisms</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While transcriptional control is widespread, the requirement for rapid biological responses in tissues like the brain or during acute signaling events has driven the evolution of sophisticated post-translational modulation mechanisms common across the microsomal cluster.</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requirement for phosphorylation to dramatically enhance the 17,20-lyase activity of CYP17A1 </w:t>
      </w:r>
      <w:r w:rsidDel="00000000" w:rsidR="00000000" w:rsidRPr="00000000">
        <w:rPr>
          <w:rFonts w:ascii="Google Sans Text" w:cs="Google Sans Text" w:eastAsia="Google Sans Text" w:hAnsi="Google Sans Text"/>
          <w:color w:val="575b5f"/>
          <w:sz w:val="24"/>
          <w:szCs w:val="24"/>
          <w:vertAlign w:val="superscript"/>
          <w:rtl w:val="0"/>
        </w:rPr>
        <w:t xml:space="preserve">12</w:t>
      </w:r>
      <w:r w:rsidDel="00000000" w:rsidR="00000000" w:rsidRPr="00000000">
        <w:rPr>
          <w:rFonts w:ascii="Google Sans Text" w:cs="Google Sans Text" w:eastAsia="Google Sans Text" w:hAnsi="Google Sans Text"/>
          <w:color w:val="1b1c1d"/>
          <w:rtl w:val="0"/>
        </w:rPr>
        <w:t xml:space="preserve"> and the demonstration that phosphorylation of Y361 elevates CYP19A1 activity by modulating its coupling with POR </w:t>
      </w:r>
      <w:r w:rsidDel="00000000" w:rsidR="00000000" w:rsidRPr="00000000">
        <w:rPr>
          <w:rFonts w:ascii="Google Sans Text" w:cs="Google Sans Text" w:eastAsia="Google Sans Text" w:hAnsi="Google Sans Text"/>
          <w:color w:val="575b5f"/>
          <w:sz w:val="24"/>
          <w:szCs w:val="24"/>
          <w:vertAlign w:val="superscript"/>
          <w:rtl w:val="0"/>
        </w:rPr>
        <w:t xml:space="preserve">25</w:t>
      </w:r>
      <w:r w:rsidDel="00000000" w:rsidR="00000000" w:rsidRPr="00000000">
        <w:rPr>
          <w:rFonts w:ascii="Google Sans Text" w:cs="Google Sans Text" w:eastAsia="Google Sans Text" w:hAnsi="Google Sans Text"/>
          <w:color w:val="1b1c1d"/>
          <w:rtl w:val="0"/>
        </w:rPr>
        <w:t xml:space="preserve"> indicates a convergent theme: PTMs are used to rapidly control enzyme kinetics by regulating the electron flux across the P450/reductase interface. This acute regulation provides a layer of control vital for non-genomic and rapid signaling roles that genomic regulation cannot provide.</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Furthermore, the necessity of an allosteric protein, Cytochrome b5, to promote the androgen-producing lyase activity of CYP17A1 </w:t>
      </w:r>
      <w:r w:rsidDel="00000000" w:rsidR="00000000" w:rsidRPr="00000000">
        <w:rPr>
          <w:rFonts w:ascii="Google Sans Text" w:cs="Google Sans Text" w:eastAsia="Google Sans Text" w:hAnsi="Google Sans Text"/>
          <w:color w:val="575b5f"/>
          <w:sz w:val="24"/>
          <w:szCs w:val="24"/>
          <w:vertAlign w:val="superscript"/>
          <w:rtl w:val="0"/>
        </w:rPr>
        <w:t xml:space="preserve">10</w:t>
      </w:r>
      <w:r w:rsidDel="00000000" w:rsidR="00000000" w:rsidRPr="00000000">
        <w:rPr>
          <w:rFonts w:ascii="Google Sans Text" w:cs="Google Sans Text" w:eastAsia="Google Sans Text" w:hAnsi="Google Sans Text"/>
          <w:color w:val="1b1c1d"/>
          <w:rtl w:val="0"/>
        </w:rPr>
        <w:t xml:space="preserve"> demonstrates that pathway flux is often regulated not just by electron transfer chain components (POR/Adx) but also by ancillary proteins that stabilize active conformations or potentially donate required second electrons.</w:t>
      </w:r>
      <w:r w:rsidDel="00000000" w:rsidR="00000000" w:rsidRPr="00000000">
        <w:rPr>
          <w:rFonts w:ascii="Google Sans Text" w:cs="Google Sans Text" w:eastAsia="Google Sans Text" w:hAnsi="Google Sans Text"/>
          <w:color w:val="575b5f"/>
          <w:sz w:val="24"/>
          <w:szCs w:val="24"/>
          <w:vertAlign w:val="superscript"/>
          <w:rtl w:val="0"/>
        </w:rPr>
        <w:t xml:space="preserve">12</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D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5.3. Pathway Integration and Polygenic Disease</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steroidogenic pathway is inherently hierarchical. Disruptions in single enzymes, such as those causing CAH, lead to classic, severe monogenic phenotypes (e.g., mineralocorticoid excess/hypertension in CYP17A1 deficiency).</w:t>
      </w:r>
      <w:r w:rsidDel="00000000" w:rsidR="00000000" w:rsidRPr="00000000">
        <w:rPr>
          <w:rFonts w:ascii="Google Sans Text" w:cs="Google Sans Text" w:eastAsia="Google Sans Text" w:hAnsi="Google Sans Text"/>
          <w:color w:val="575b5f"/>
          <w:sz w:val="24"/>
          <w:szCs w:val="24"/>
          <w:vertAlign w:val="superscript"/>
          <w:rtl w:val="0"/>
        </w:rPr>
        <w:t xml:space="preserve">28</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However, the clustering of genetic susceptibility across multiple P450 genes reveals a polygenic mechanism for complex diseases. Polycystic Ovary Syndrome (PCOS), a common multifactorial endocrine disorder associated with hyperandrogenism </w:t>
      </w:r>
      <w:r w:rsidDel="00000000" w:rsidR="00000000" w:rsidRPr="00000000">
        <w:rPr>
          <w:rFonts w:ascii="Google Sans Text" w:cs="Google Sans Text" w:eastAsia="Google Sans Text" w:hAnsi="Google Sans Text"/>
          <w:color w:val="575b5f"/>
          <w:sz w:val="24"/>
          <w:szCs w:val="24"/>
          <w:vertAlign w:val="superscript"/>
          <w:rtl w:val="0"/>
        </w:rPr>
        <w:t xml:space="preserve">36</w:t>
      </w:r>
      <w:r w:rsidDel="00000000" w:rsidR="00000000" w:rsidRPr="00000000">
        <w:rPr>
          <w:rFonts w:ascii="Google Sans Text" w:cs="Google Sans Text" w:eastAsia="Google Sans Text" w:hAnsi="Google Sans Text"/>
          <w:color w:val="1b1c1d"/>
          <w:rtl w:val="0"/>
        </w:rPr>
        <w:t xml:space="preserve">, involves polymorphisms across CYP11A1 (initiation), CYP17A1 (branching), and CYP19A1 (termination/clearance).</w:t>
      </w:r>
      <w:r w:rsidDel="00000000" w:rsidR="00000000" w:rsidRPr="00000000">
        <w:rPr>
          <w:rFonts w:ascii="Google Sans Text" w:cs="Google Sans Text" w:eastAsia="Google Sans Text" w:hAnsi="Google Sans Text"/>
          <w:color w:val="575b5f"/>
          <w:sz w:val="24"/>
          <w:szCs w:val="24"/>
          <w:vertAlign w:val="superscript"/>
          <w:rtl w:val="0"/>
        </w:rPr>
        <w:t xml:space="preserve">37</w:t>
      </w:r>
      <w:r w:rsidDel="00000000" w:rsidR="00000000" w:rsidRPr="00000000">
        <w:rPr>
          <w:rFonts w:ascii="Google Sans Text" w:cs="Google Sans Text" w:eastAsia="Google Sans Text" w:hAnsi="Google Sans Text"/>
          <w:color w:val="1b1c1d"/>
          <w:rtl w:val="0"/>
        </w:rPr>
        <w:t xml:space="preserve"> For instance, certain  polymorphisms reduce aromatase activity.</w:t>
      </w:r>
      <w:r w:rsidDel="00000000" w:rsidR="00000000" w:rsidRPr="00000000">
        <w:rPr>
          <w:rFonts w:ascii="Google Sans Text" w:cs="Google Sans Text" w:eastAsia="Google Sans Text" w:hAnsi="Google Sans Text"/>
          <w:color w:val="575b5f"/>
          <w:sz w:val="24"/>
          <w:szCs w:val="24"/>
          <w:vertAlign w:val="superscript"/>
          <w:rtl w:val="0"/>
        </w:rPr>
        <w:t xml:space="preserve">38</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presence of variants in genes controlling initiation, branching, and clearance suggests that complex conditions like PCOS are not caused by the near-total blockade of a single enzyme, but rather by subtle, cumulative shifts in the overall </w:t>
      </w:r>
      <w:r w:rsidDel="00000000" w:rsidR="00000000" w:rsidRPr="00000000">
        <w:rPr>
          <w:rFonts w:ascii="Google Sans Text" w:cs="Google Sans Text" w:eastAsia="Google Sans Text" w:hAnsi="Google Sans Text"/>
          <w:i w:val="1"/>
          <w:color w:val="1b1c1d"/>
          <w:rtl w:val="0"/>
        </w:rPr>
        <w:t xml:space="preserve">flux</w:t>
      </w:r>
      <w:r w:rsidDel="00000000" w:rsidR="00000000" w:rsidRPr="00000000">
        <w:rPr>
          <w:rFonts w:ascii="Google Sans Text" w:cs="Google Sans Text" w:eastAsia="Google Sans Text" w:hAnsi="Google Sans Text"/>
          <w:color w:val="1b1c1d"/>
          <w:rtl w:val="0"/>
        </w:rPr>
        <w:t xml:space="preserve"> of the entire steroidogenic cascade. A slight reduction in CYP19A1 activity, for example, would slow androgen clearance, contributing to the systemic hyperandrogenism characteristic of the disease.</w:t>
      </w:r>
      <w:r w:rsidDel="00000000" w:rsidR="00000000" w:rsidRPr="00000000">
        <w:rPr>
          <w:rFonts w:ascii="Google Sans Text" w:cs="Google Sans Text" w:eastAsia="Google Sans Text" w:hAnsi="Google Sans Text"/>
          <w:color w:val="575b5f"/>
          <w:sz w:val="24"/>
          <w:szCs w:val="24"/>
          <w:vertAlign w:val="superscript"/>
          <w:rtl w:val="0"/>
        </w:rPr>
        <w:t xml:space="preserve">38</w:t>
      </w:r>
      <w:r w:rsidDel="00000000" w:rsidR="00000000" w:rsidRPr="00000000">
        <w:rPr>
          <w:rFonts w:ascii="Google Sans Text" w:cs="Google Sans Text" w:eastAsia="Google Sans Text" w:hAnsi="Google Sans Text"/>
          <w:color w:val="1b1c1d"/>
          <w:rtl w:val="0"/>
        </w:rPr>
        <w:t xml:space="preserve"> This highlights the utility of analyzing this protein cluster as a cohesive, flux-dependent system.</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D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VI. Conclusion and Future Directions</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clustered steroidogenic P450 enzymes—CYP11A1, CYP17A1, CYP11B1, CYP11B2, and CYP19A1—represent highly evolved, structurally related monooxygenases that collectively define the human steroidome. Their functional diversity, ranging from side-chain cleavage (CYP11A1) and dual-activity branching (CYP17A1) to sequential multi-step oxidation (CYP11B2) and critical aromatization (CYP19A1), is achieved through the adaptation of a conserved heme-containing fold, often regulated acutely via PTMs at the reductase interface.</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translational significance of this cluster is immense, spanning congenital disorders caused by loss-of-function mutations and the management of hormone-dependent malignancies, where precise pharmacological inhibition of CYP19A1 and CYP17A1 is routine. Moving forward, the most impactful research will center on resolving the atomic structures of these P450s in complex with their electron transfer partners (e.g., phosphorylated CYP19A1-POR) to provide templates for developing allosteric modulators that can fine-tune activity, offering superior therapeutic control over current simple inhibitors.</w:t>
      </w:r>
      <w:r w:rsidDel="00000000" w:rsidR="00000000" w:rsidRPr="00000000">
        <w:rPr>
          <w:rFonts w:ascii="Google Sans Text" w:cs="Google Sans Text" w:eastAsia="Google Sans Text" w:hAnsi="Google Sans Text"/>
          <w:color w:val="575b5f"/>
          <w:sz w:val="24"/>
          <w:szCs w:val="24"/>
          <w:vertAlign w:val="superscript"/>
          <w:rtl w:val="0"/>
        </w:rPr>
        <w:t xml:space="preserve">25</w:t>
      </w:r>
      <w:r w:rsidDel="00000000" w:rsidR="00000000" w:rsidRPr="00000000">
        <w:rPr>
          <w:rFonts w:ascii="Google Sans Text" w:cs="Google Sans Text" w:eastAsia="Google Sans Text" w:hAnsi="Google Sans Text"/>
          <w:color w:val="1b1c1d"/>
          <w:rtl w:val="0"/>
        </w:rPr>
        <w:t xml:space="preserve"> Furthermore, integrating high-throughput genotyping of the cluster's members will be essential for developing personalized medicine approaches to predict disease risk and optimize endocrine therapy response, particularly in complex, polygenic conditions like PCOS and ER+ breast cancer.</w:t>
      </w:r>
      <w:r w:rsidDel="00000000" w:rsidR="00000000" w:rsidRPr="00000000">
        <w:rPr>
          <w:rFonts w:ascii="Google Sans Text" w:cs="Google Sans Text" w:eastAsia="Google Sans Text" w:hAnsi="Google Sans Text"/>
          <w:color w:val="575b5f"/>
          <w:sz w:val="24"/>
          <w:szCs w:val="24"/>
          <w:vertAlign w:val="superscript"/>
          <w:rtl w:val="0"/>
        </w:rPr>
        <w:t xml:space="preserve">30</w:t>
      </w:r>
    </w:p>
    <w:p w:rsidR="00000000" w:rsidDel="00000000" w:rsidP="00000000" w:rsidRDefault="00000000" w:rsidRPr="00000000" w14:paraId="000000E2">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E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Review on CYP11A1, CYP17A1, and CYP19A1 Polymorphism Studies: Candidate Susceptibility Genes for Polycystic Ovary Syndrome (PCOS) and Infertility - MDPI, accessed October 10, 2025, </w:t>
      </w:r>
      <w:hyperlink r:id="rId6">
        <w:r w:rsidDel="00000000" w:rsidR="00000000" w:rsidRPr="00000000">
          <w:rPr>
            <w:rFonts w:ascii="Google Sans" w:cs="Google Sans" w:eastAsia="Google Sans" w:hAnsi="Google Sans"/>
            <w:color w:val="0000ee"/>
            <w:sz w:val="24"/>
            <w:szCs w:val="24"/>
            <w:u w:val="single"/>
            <w:rtl w:val="0"/>
          </w:rPr>
          <w:t xml:space="preserve">https://www.mdpi.com/2073-4425/13/2/302</w:t>
        </w:r>
      </w:hyperlink>
      <w:r w:rsidDel="00000000" w:rsidR="00000000" w:rsidRPr="00000000">
        <w:rPr>
          <w:rtl w:val="0"/>
        </w:rPr>
      </w:r>
    </w:p>
    <w:p w:rsidR="00000000" w:rsidDel="00000000" w:rsidP="00000000" w:rsidRDefault="00000000" w:rsidRPr="00000000" w14:paraId="000000E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Disordered Electron Transfer: New Forms of Defective Steroidogenesis and Mitochondriopathy | The Journal of Clinical Endocrinology &amp; Metabolism | Oxford Academic, accessed October 10, 2025, </w:t>
      </w:r>
      <w:hyperlink r:id="rId7">
        <w:r w:rsidDel="00000000" w:rsidR="00000000" w:rsidRPr="00000000">
          <w:rPr>
            <w:rFonts w:ascii="Google Sans" w:cs="Google Sans" w:eastAsia="Google Sans" w:hAnsi="Google Sans"/>
            <w:color w:val="0000ee"/>
            <w:sz w:val="24"/>
            <w:szCs w:val="24"/>
            <w:u w:val="single"/>
            <w:rtl w:val="0"/>
          </w:rPr>
          <w:t xml:space="preserve">https://academic.oup.com/jcem/article/110/3/e574/7906731</w:t>
        </w:r>
      </w:hyperlink>
      <w:r w:rsidDel="00000000" w:rsidR="00000000" w:rsidRPr="00000000">
        <w:rPr>
          <w:rtl w:val="0"/>
        </w:rPr>
      </w:r>
    </w:p>
    <w:p w:rsidR="00000000" w:rsidDel="00000000" w:rsidP="00000000" w:rsidRDefault="00000000" w:rsidRPr="00000000" w14:paraId="000000E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Cytochrome P450 - Wikipedia, accessed October 10, 2025, </w:t>
      </w:r>
      <w:hyperlink r:id="rId8">
        <w:r w:rsidDel="00000000" w:rsidR="00000000" w:rsidRPr="00000000">
          <w:rPr>
            <w:rFonts w:ascii="Google Sans" w:cs="Google Sans" w:eastAsia="Google Sans" w:hAnsi="Google Sans"/>
            <w:color w:val="0000ee"/>
            <w:sz w:val="24"/>
            <w:szCs w:val="24"/>
            <w:u w:val="single"/>
            <w:rtl w:val="0"/>
          </w:rPr>
          <w:t xml:space="preserve">https://en.wikipedia.org/wiki/Cytochrome_P450</w:t>
        </w:r>
      </w:hyperlink>
      <w:r w:rsidDel="00000000" w:rsidR="00000000" w:rsidRPr="00000000">
        <w:rPr>
          <w:rtl w:val="0"/>
        </w:rPr>
      </w:r>
    </w:p>
    <w:p w:rsidR="00000000" w:rsidDel="00000000" w:rsidP="00000000" w:rsidRDefault="00000000" w:rsidRPr="00000000" w14:paraId="000000E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Structure–Function Analysis of the Steroid-Hydroxylating Cytochrome P450 109 (CYP109) Enzyme Family - MDPI, accessed October 10, 2025, </w:t>
      </w:r>
      <w:hyperlink r:id="rId9">
        <w:r w:rsidDel="00000000" w:rsidR="00000000" w:rsidRPr="00000000">
          <w:rPr>
            <w:rFonts w:ascii="Google Sans" w:cs="Google Sans" w:eastAsia="Google Sans" w:hAnsi="Google Sans"/>
            <w:color w:val="0000ee"/>
            <w:sz w:val="24"/>
            <w:szCs w:val="24"/>
            <w:u w:val="single"/>
            <w:rtl w:val="0"/>
          </w:rPr>
          <w:t xml:space="preserve">https://www.mdpi.com/1422-0067/26/13/6219</w:t>
        </w:r>
      </w:hyperlink>
      <w:r w:rsidDel="00000000" w:rsidR="00000000" w:rsidRPr="00000000">
        <w:rPr>
          <w:rtl w:val="0"/>
        </w:rPr>
      </w:r>
    </w:p>
    <w:p w:rsidR="00000000" w:rsidDel="00000000" w:rsidP="00000000" w:rsidRDefault="00000000" w:rsidRPr="00000000" w14:paraId="000000E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cytochrome P450 family 19, subfamily A, polypeptide 1 (cd20616) - CDD entry - InterPro, accessed October 10, 2025, </w:t>
      </w:r>
      <w:hyperlink r:id="rId10">
        <w:r w:rsidDel="00000000" w:rsidR="00000000" w:rsidRPr="00000000">
          <w:rPr>
            <w:rFonts w:ascii="Google Sans" w:cs="Google Sans" w:eastAsia="Google Sans" w:hAnsi="Google Sans"/>
            <w:color w:val="0000ee"/>
            <w:sz w:val="24"/>
            <w:szCs w:val="24"/>
            <w:u w:val="single"/>
            <w:rtl w:val="0"/>
          </w:rPr>
          <w:t xml:space="preserve">https://www.ebi.ac.uk/interpro/entry/cdd/cd20616</w:t>
        </w:r>
      </w:hyperlink>
      <w:r w:rsidDel="00000000" w:rsidR="00000000" w:rsidRPr="00000000">
        <w:rPr>
          <w:rtl w:val="0"/>
        </w:rPr>
      </w:r>
    </w:p>
    <w:p w:rsidR="00000000" w:rsidDel="00000000" w:rsidP="00000000" w:rsidRDefault="00000000" w:rsidRPr="00000000" w14:paraId="000000E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diverse chemistry of cytochrome P450 17A1 (P450c17, CYP17A1) - PMC, accessed October 10, 2025, </w:t>
      </w:r>
      <w:hyperlink r:id="rId11">
        <w:r w:rsidDel="00000000" w:rsidR="00000000" w:rsidRPr="00000000">
          <w:rPr>
            <w:rFonts w:ascii="Google Sans" w:cs="Google Sans" w:eastAsia="Google Sans" w:hAnsi="Google Sans"/>
            <w:color w:val="0000ee"/>
            <w:sz w:val="24"/>
            <w:szCs w:val="24"/>
            <w:u w:val="single"/>
            <w:rtl w:val="0"/>
          </w:rPr>
          <w:t xml:space="preserve">https://pmc.ncbi.nlm.nih.gov/articles/PMC4456341/</w:t>
        </w:r>
      </w:hyperlink>
      <w:r w:rsidDel="00000000" w:rsidR="00000000" w:rsidRPr="00000000">
        <w:rPr>
          <w:rtl w:val="0"/>
        </w:rPr>
      </w:r>
    </w:p>
    <w:p w:rsidR="00000000" w:rsidDel="00000000" w:rsidP="00000000" w:rsidRDefault="00000000" w:rsidRPr="00000000" w14:paraId="000000E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CYP19A1 cytochrome P450 family 19 subfamily A member 1 [ (human)] - NCBI, accessed October 10, 2025, </w:t>
      </w:r>
      <w:hyperlink r:id="rId12">
        <w:r w:rsidDel="00000000" w:rsidR="00000000" w:rsidRPr="00000000">
          <w:rPr>
            <w:rFonts w:ascii="Google Sans" w:cs="Google Sans" w:eastAsia="Google Sans" w:hAnsi="Google Sans"/>
            <w:color w:val="0000ee"/>
            <w:sz w:val="24"/>
            <w:szCs w:val="24"/>
            <w:u w:val="single"/>
            <w:rtl w:val="0"/>
          </w:rPr>
          <w:t xml:space="preserve">https://www.ncbi.nlm.nih.gov/gene/1588</w:t>
        </w:r>
      </w:hyperlink>
      <w:r w:rsidDel="00000000" w:rsidR="00000000" w:rsidRPr="00000000">
        <w:rPr>
          <w:rtl w:val="0"/>
        </w:rPr>
      </w:r>
    </w:p>
    <w:p w:rsidR="00000000" w:rsidDel="00000000" w:rsidP="00000000" w:rsidRDefault="00000000" w:rsidRPr="00000000" w14:paraId="000000E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Catalytic Mechanism of Steroidogenic Cytochromes P450 from All-Atom Simulations: Entwinement with Membrane Environment, Redox Partners, and Post-Transcriptional Regulation - MDPI, accessed October 10, 2025, </w:t>
      </w:r>
      <w:hyperlink r:id="rId13">
        <w:r w:rsidDel="00000000" w:rsidR="00000000" w:rsidRPr="00000000">
          <w:rPr>
            <w:rFonts w:ascii="Google Sans" w:cs="Google Sans" w:eastAsia="Google Sans" w:hAnsi="Google Sans"/>
            <w:color w:val="0000ee"/>
            <w:sz w:val="24"/>
            <w:szCs w:val="24"/>
            <w:u w:val="single"/>
            <w:rtl w:val="0"/>
          </w:rPr>
          <w:t xml:space="preserve">https://www.mdpi.com/2073-4344/9/1/81</w:t>
        </w:r>
      </w:hyperlink>
      <w:r w:rsidDel="00000000" w:rsidR="00000000" w:rsidRPr="00000000">
        <w:rPr>
          <w:rtl w:val="0"/>
        </w:rPr>
      </w:r>
    </w:p>
    <w:p w:rsidR="00000000" w:rsidDel="00000000" w:rsidP="00000000" w:rsidRDefault="00000000" w:rsidRPr="00000000" w14:paraId="000000E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Minireview: Regulation of Steroidogenesis by Electron Transfer - Oxford Academic, accessed October 10, 2025, </w:t>
      </w:r>
      <w:hyperlink r:id="rId14">
        <w:r w:rsidDel="00000000" w:rsidR="00000000" w:rsidRPr="00000000">
          <w:rPr>
            <w:rFonts w:ascii="Google Sans" w:cs="Google Sans" w:eastAsia="Google Sans" w:hAnsi="Google Sans"/>
            <w:color w:val="0000ee"/>
            <w:sz w:val="24"/>
            <w:szCs w:val="24"/>
            <w:u w:val="single"/>
            <w:rtl w:val="0"/>
          </w:rPr>
          <w:t xml:space="preserve">https://academic.oup.com/endo/article/146/6/2544/2499892</w:t>
        </w:r>
      </w:hyperlink>
      <w:r w:rsidDel="00000000" w:rsidR="00000000" w:rsidRPr="00000000">
        <w:rPr>
          <w:rtl w:val="0"/>
        </w:rPr>
      </w:r>
    </w:p>
    <w:p w:rsidR="00000000" w:rsidDel="00000000" w:rsidP="00000000" w:rsidRDefault="00000000" w:rsidRPr="00000000" w14:paraId="000000E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Steroidogenic electron-transfer factors and their diseases - PMC - PubMed Central, accessed October 10, 2025, </w:t>
      </w:r>
      <w:hyperlink r:id="rId15">
        <w:r w:rsidDel="00000000" w:rsidR="00000000" w:rsidRPr="00000000">
          <w:rPr>
            <w:rFonts w:ascii="Google Sans" w:cs="Google Sans" w:eastAsia="Google Sans" w:hAnsi="Google Sans"/>
            <w:color w:val="0000ee"/>
            <w:sz w:val="24"/>
            <w:szCs w:val="24"/>
            <w:u w:val="single"/>
            <w:rtl w:val="0"/>
          </w:rPr>
          <w:t xml:space="preserve">https://pmc.ncbi.nlm.nih.gov/articles/PMC8505039/</w:t>
        </w:r>
      </w:hyperlink>
      <w:r w:rsidDel="00000000" w:rsidR="00000000" w:rsidRPr="00000000">
        <w:rPr>
          <w:rtl w:val="0"/>
        </w:rPr>
      </w:r>
    </w:p>
    <w:p w:rsidR="00000000" w:rsidDel="00000000" w:rsidP="00000000" w:rsidRDefault="00000000" w:rsidRPr="00000000" w14:paraId="000000E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Varied Clinical Presentations of Seven Patients With Mutations in CYP11A1 Encoding the Cholesterol Side-Chain Cleavage Enzyme, P450scc - PMC, accessed October 10, 2025, </w:t>
      </w:r>
      <w:hyperlink r:id="rId16">
        <w:r w:rsidDel="00000000" w:rsidR="00000000" w:rsidRPr="00000000">
          <w:rPr>
            <w:rFonts w:ascii="Google Sans" w:cs="Google Sans" w:eastAsia="Google Sans" w:hAnsi="Google Sans"/>
            <w:color w:val="0000ee"/>
            <w:sz w:val="24"/>
            <w:szCs w:val="24"/>
            <w:u w:val="single"/>
            <w:rtl w:val="0"/>
          </w:rPr>
          <w:t xml:space="preserve">https://pmc.ncbi.nlm.nih.gov/articles/PMC3565115/</w:t>
        </w:r>
      </w:hyperlink>
      <w:r w:rsidDel="00000000" w:rsidR="00000000" w:rsidRPr="00000000">
        <w:rPr>
          <w:rtl w:val="0"/>
        </w:rPr>
      </w:r>
    </w:p>
    <w:p w:rsidR="00000000" w:rsidDel="00000000" w:rsidP="00000000" w:rsidRDefault="00000000" w:rsidRPr="00000000" w14:paraId="000000E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CYP17A1 - Wikipedia, accessed October 10, 2025, </w:t>
      </w:r>
      <w:hyperlink r:id="rId17">
        <w:r w:rsidDel="00000000" w:rsidR="00000000" w:rsidRPr="00000000">
          <w:rPr>
            <w:rFonts w:ascii="Google Sans" w:cs="Google Sans" w:eastAsia="Google Sans" w:hAnsi="Google Sans"/>
            <w:color w:val="0000ee"/>
            <w:sz w:val="24"/>
            <w:szCs w:val="24"/>
            <w:u w:val="single"/>
            <w:rtl w:val="0"/>
          </w:rPr>
          <w:t xml:space="preserve">https://en.wikipedia.org/wiki/CYP17A1</w:t>
        </w:r>
      </w:hyperlink>
      <w:r w:rsidDel="00000000" w:rsidR="00000000" w:rsidRPr="00000000">
        <w:rPr>
          <w:rtl w:val="0"/>
        </w:rPr>
      </w:r>
    </w:p>
    <w:p w:rsidR="00000000" w:rsidDel="00000000" w:rsidP="00000000" w:rsidRDefault="00000000" w:rsidRPr="00000000" w14:paraId="000000E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Steroid 17-Hydroxylase and 17,20-Lyase Deficiencies, Genetic and Pharmacologic - PMC, accessed October 10, 2025, </w:t>
      </w:r>
      <w:hyperlink r:id="rId18">
        <w:r w:rsidDel="00000000" w:rsidR="00000000" w:rsidRPr="00000000">
          <w:rPr>
            <w:rFonts w:ascii="Google Sans" w:cs="Google Sans" w:eastAsia="Google Sans" w:hAnsi="Google Sans"/>
            <w:color w:val="0000ee"/>
            <w:sz w:val="24"/>
            <w:szCs w:val="24"/>
            <w:u w:val="single"/>
            <w:rtl w:val="0"/>
          </w:rPr>
          <w:t xml:space="preserve">https://pmc.ncbi.nlm.nih.gov/articles/PMC4976049/</w:t>
        </w:r>
      </w:hyperlink>
      <w:r w:rsidDel="00000000" w:rsidR="00000000" w:rsidRPr="00000000">
        <w:rPr>
          <w:rtl w:val="0"/>
        </w:rPr>
      </w:r>
    </w:p>
    <w:p w:rsidR="00000000" w:rsidDel="00000000" w:rsidP="00000000" w:rsidRDefault="00000000" w:rsidRPr="00000000" w14:paraId="000000F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Spatially restricted substrate-binding site of cortisol-synthesizing CYP11B1 limits multiple hydroxylations and hinders aldosterone synthesis, accessed October 10, 2025, </w:t>
      </w:r>
      <w:hyperlink r:id="rId19">
        <w:r w:rsidDel="00000000" w:rsidR="00000000" w:rsidRPr="00000000">
          <w:rPr>
            <w:rFonts w:ascii="Google Sans" w:cs="Google Sans" w:eastAsia="Google Sans" w:hAnsi="Google Sans"/>
            <w:color w:val="0000ee"/>
            <w:sz w:val="24"/>
            <w:szCs w:val="24"/>
            <w:u w:val="single"/>
            <w:rtl w:val="0"/>
          </w:rPr>
          <w:t xml:space="preserve">https://pmc.ncbi.nlm.nih.gov/articles/PMC8408562/</w:t>
        </w:r>
      </w:hyperlink>
      <w:r w:rsidDel="00000000" w:rsidR="00000000" w:rsidRPr="00000000">
        <w:rPr>
          <w:rtl w:val="0"/>
        </w:rPr>
      </w:r>
    </w:p>
    <w:p w:rsidR="00000000" w:rsidDel="00000000" w:rsidP="00000000" w:rsidRDefault="00000000" w:rsidRPr="00000000" w14:paraId="000000F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CYP19A1 gene - MedlinePlus, accessed October 10, 2025, </w:t>
      </w:r>
      <w:hyperlink r:id="rId20">
        <w:r w:rsidDel="00000000" w:rsidR="00000000" w:rsidRPr="00000000">
          <w:rPr>
            <w:rFonts w:ascii="Google Sans" w:cs="Google Sans" w:eastAsia="Google Sans" w:hAnsi="Google Sans"/>
            <w:color w:val="0000ee"/>
            <w:sz w:val="24"/>
            <w:szCs w:val="24"/>
            <w:u w:val="single"/>
            <w:rtl w:val="0"/>
          </w:rPr>
          <w:t xml:space="preserve">https://medlineplus.gov/download/genetics/gene/cyp19a1.pdf</w:t>
        </w:r>
      </w:hyperlink>
      <w:r w:rsidDel="00000000" w:rsidR="00000000" w:rsidRPr="00000000">
        <w:rPr>
          <w:rtl w:val="0"/>
        </w:rPr>
      </w:r>
    </w:p>
    <w:p w:rsidR="00000000" w:rsidDel="00000000" w:rsidP="00000000" w:rsidRDefault="00000000" w:rsidRPr="00000000" w14:paraId="000000F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Aromatase - Wikipedia, accessed October 10, 2025, </w:t>
      </w:r>
      <w:hyperlink r:id="rId21">
        <w:r w:rsidDel="00000000" w:rsidR="00000000" w:rsidRPr="00000000">
          <w:rPr>
            <w:rFonts w:ascii="Google Sans" w:cs="Google Sans" w:eastAsia="Google Sans" w:hAnsi="Google Sans"/>
            <w:color w:val="0000ee"/>
            <w:sz w:val="24"/>
            <w:szCs w:val="24"/>
            <w:u w:val="single"/>
            <w:rtl w:val="0"/>
          </w:rPr>
          <w:t xml:space="preserve">https://en.wikipedia.org/wiki/Aromatase</w:t>
        </w:r>
      </w:hyperlink>
      <w:r w:rsidDel="00000000" w:rsidR="00000000" w:rsidRPr="00000000">
        <w:rPr>
          <w:rtl w:val="0"/>
        </w:rPr>
      </w:r>
    </w:p>
    <w:p w:rsidR="00000000" w:rsidDel="00000000" w:rsidP="00000000" w:rsidRDefault="00000000" w:rsidRPr="00000000" w14:paraId="000000F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Partial Defect in the Cholesterol Side-Chain Cleavage Enzyme P450scc (CYP11A1) Resembling Nonclassic Congenital Lipoid Adrenal Hyperplasia | The Journal of Clinical Endocrinology &amp; Metabolism | Oxford Academic, accessed October 10, 2025, </w:t>
      </w:r>
      <w:hyperlink r:id="rId22">
        <w:r w:rsidDel="00000000" w:rsidR="00000000" w:rsidRPr="00000000">
          <w:rPr>
            <w:rFonts w:ascii="Google Sans" w:cs="Google Sans" w:eastAsia="Google Sans" w:hAnsi="Google Sans"/>
            <w:color w:val="0000ee"/>
            <w:sz w:val="24"/>
            <w:szCs w:val="24"/>
            <w:u w:val="single"/>
            <w:rtl w:val="0"/>
          </w:rPr>
          <w:t xml:space="preserve">https://academic.oup.com/jcem/article/96/3/792/2596908</w:t>
        </w:r>
      </w:hyperlink>
      <w:r w:rsidDel="00000000" w:rsidR="00000000" w:rsidRPr="00000000">
        <w:rPr>
          <w:rtl w:val="0"/>
        </w:rPr>
      </w:r>
    </w:p>
    <w:p w:rsidR="00000000" w:rsidDel="00000000" w:rsidP="00000000" w:rsidRDefault="00000000" w:rsidRPr="00000000" w14:paraId="000000F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Visualization of the interaction between aromatase and CPR (open... - ResearchGate, accessed October 10, 2025, </w:t>
      </w:r>
      <w:hyperlink r:id="rId23">
        <w:r w:rsidDel="00000000" w:rsidR="00000000" w:rsidRPr="00000000">
          <w:rPr>
            <w:rFonts w:ascii="Google Sans" w:cs="Google Sans" w:eastAsia="Google Sans" w:hAnsi="Google Sans"/>
            <w:color w:val="0000ee"/>
            <w:sz w:val="24"/>
            <w:szCs w:val="24"/>
            <w:u w:val="single"/>
            <w:rtl w:val="0"/>
          </w:rPr>
          <w:t xml:space="preserve">https://www.researchgate.net/figure/Visualization-of-the-interaction-between-aromatase-and-CPR-open-confirmation-adapted_fig3_377666923</w:t>
        </w:r>
      </w:hyperlink>
      <w:r w:rsidDel="00000000" w:rsidR="00000000" w:rsidRPr="00000000">
        <w:rPr>
          <w:rtl w:val="0"/>
        </w:rPr>
      </w:r>
    </w:p>
    <w:p w:rsidR="00000000" w:rsidDel="00000000" w:rsidP="00000000" w:rsidRDefault="00000000" w:rsidRPr="00000000" w14:paraId="000000F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Adrenocortical Zonation in Humans under Normal and Pathological Conditions | The Journal of Clinical Endocrinology &amp; Metabolism | Oxford Academic, accessed October 10, 2025, </w:t>
      </w:r>
      <w:hyperlink r:id="rId24">
        <w:r w:rsidDel="00000000" w:rsidR="00000000" w:rsidRPr="00000000">
          <w:rPr>
            <w:rFonts w:ascii="Google Sans" w:cs="Google Sans" w:eastAsia="Google Sans" w:hAnsi="Google Sans"/>
            <w:color w:val="0000ee"/>
            <w:sz w:val="24"/>
            <w:szCs w:val="24"/>
            <w:u w:val="single"/>
            <w:rtl w:val="0"/>
          </w:rPr>
          <w:t xml:space="preserve">https://academic.oup.com/jcem/article/95/5/2296/2597132</w:t>
        </w:r>
      </w:hyperlink>
      <w:r w:rsidDel="00000000" w:rsidR="00000000" w:rsidRPr="00000000">
        <w:rPr>
          <w:rtl w:val="0"/>
        </w:rPr>
      </w:r>
    </w:p>
    <w:p w:rsidR="00000000" w:rsidDel="00000000" w:rsidP="00000000" w:rsidRDefault="00000000" w:rsidRPr="00000000" w14:paraId="000000F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CYP19A1 gene: MedlinePlus Genetics, accessed October 10, 2025, </w:t>
      </w:r>
      <w:hyperlink r:id="rId25">
        <w:r w:rsidDel="00000000" w:rsidR="00000000" w:rsidRPr="00000000">
          <w:rPr>
            <w:rFonts w:ascii="Google Sans" w:cs="Google Sans" w:eastAsia="Google Sans" w:hAnsi="Google Sans"/>
            <w:color w:val="0000ee"/>
            <w:sz w:val="24"/>
            <w:szCs w:val="24"/>
            <w:u w:val="single"/>
            <w:rtl w:val="0"/>
          </w:rPr>
          <w:t xml:space="preserve">https://medlineplus.gov/genetics/gene/cyp19a1/</w:t>
        </w:r>
      </w:hyperlink>
      <w:r w:rsidDel="00000000" w:rsidR="00000000" w:rsidRPr="00000000">
        <w:rPr>
          <w:rtl w:val="0"/>
        </w:rPr>
      </w:r>
    </w:p>
    <w:p w:rsidR="00000000" w:rsidDel="00000000" w:rsidP="00000000" w:rsidRDefault="00000000" w:rsidRPr="00000000" w14:paraId="000000F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Structural Basis for Three-step Sequential Catalysis by the Cholesterol Side Chain Cleavage Enzyme CYP11A1, accessed October 10, 2025, </w:t>
      </w:r>
      <w:hyperlink r:id="rId26">
        <w:r w:rsidDel="00000000" w:rsidR="00000000" w:rsidRPr="00000000">
          <w:rPr>
            <w:rFonts w:ascii="Google Sans" w:cs="Google Sans" w:eastAsia="Google Sans" w:hAnsi="Google Sans"/>
            <w:color w:val="0000ee"/>
            <w:sz w:val="24"/>
            <w:szCs w:val="24"/>
            <w:u w:val="single"/>
            <w:rtl w:val="0"/>
          </w:rPr>
          <w:t xml:space="preserve">https://pmc.ncbi.nlm.nih.gov/articles/PMC3037674/</w:t>
        </w:r>
      </w:hyperlink>
      <w:r w:rsidDel="00000000" w:rsidR="00000000" w:rsidRPr="00000000">
        <w:rPr>
          <w:rtl w:val="0"/>
        </w:rPr>
      </w:r>
    </w:p>
    <w:p w:rsidR="00000000" w:rsidDel="00000000" w:rsidP="00000000" w:rsidRDefault="00000000" w:rsidRPr="00000000" w14:paraId="000000F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Aromatase: Contributions to Physiology and Disease in Women and Men, accessed October 10, 2025, </w:t>
      </w:r>
      <w:hyperlink r:id="rId27">
        <w:r w:rsidDel="00000000" w:rsidR="00000000" w:rsidRPr="00000000">
          <w:rPr>
            <w:rFonts w:ascii="Google Sans" w:cs="Google Sans" w:eastAsia="Google Sans" w:hAnsi="Google Sans"/>
            <w:color w:val="0000ee"/>
            <w:sz w:val="24"/>
            <w:szCs w:val="24"/>
            <w:u w:val="single"/>
            <w:rtl w:val="0"/>
          </w:rPr>
          <w:t xml:space="preserve">https://journals.physiology.org/doi/full/10.1152/physiol.00054.2015</w:t>
        </w:r>
      </w:hyperlink>
      <w:r w:rsidDel="00000000" w:rsidR="00000000" w:rsidRPr="00000000">
        <w:rPr>
          <w:rtl w:val="0"/>
        </w:rPr>
      </w:r>
    </w:p>
    <w:p w:rsidR="00000000" w:rsidDel="00000000" w:rsidP="00000000" w:rsidRDefault="00000000" w:rsidRPr="00000000" w14:paraId="000000F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Kinetic Analysis of the Three-step Steroid Aromatase Reaction of Human Cytochrome P450 19A1 - PMC, accessed October 10, 2025, </w:t>
      </w:r>
      <w:hyperlink r:id="rId28">
        <w:r w:rsidDel="00000000" w:rsidR="00000000" w:rsidRPr="00000000">
          <w:rPr>
            <w:rFonts w:ascii="Google Sans" w:cs="Google Sans" w:eastAsia="Google Sans" w:hAnsi="Google Sans"/>
            <w:color w:val="0000ee"/>
            <w:sz w:val="24"/>
            <w:szCs w:val="24"/>
            <w:u w:val="single"/>
            <w:rtl w:val="0"/>
          </w:rPr>
          <w:t xml:space="preserve">https://pmc.ncbi.nlm.nih.gov/articles/PMC2878537/</w:t>
        </w:r>
      </w:hyperlink>
      <w:r w:rsidDel="00000000" w:rsidR="00000000" w:rsidRPr="00000000">
        <w:rPr>
          <w:rtl w:val="0"/>
        </w:rPr>
      </w:r>
    </w:p>
    <w:p w:rsidR="00000000" w:rsidDel="00000000" w:rsidP="00000000" w:rsidRDefault="00000000" w:rsidRPr="00000000" w14:paraId="000000F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CYP19A1 - Aromatase - Homo sapiens (Human) | UniProtKB | UniProt, accessed October 10, 2025, </w:t>
      </w:r>
      <w:hyperlink r:id="rId29">
        <w:r w:rsidDel="00000000" w:rsidR="00000000" w:rsidRPr="00000000">
          <w:rPr>
            <w:rFonts w:ascii="Google Sans" w:cs="Google Sans" w:eastAsia="Google Sans" w:hAnsi="Google Sans"/>
            <w:color w:val="0000ee"/>
            <w:sz w:val="24"/>
            <w:szCs w:val="24"/>
            <w:u w:val="single"/>
            <w:rtl w:val="0"/>
          </w:rPr>
          <w:t xml:space="preserve">https://www.uniprot.org/uniprotkb/P11511/entry</w:t>
        </w:r>
      </w:hyperlink>
      <w:r w:rsidDel="00000000" w:rsidR="00000000" w:rsidRPr="00000000">
        <w:rPr>
          <w:rtl w:val="0"/>
        </w:rPr>
      </w:r>
    </w:p>
    <w:p w:rsidR="00000000" w:rsidDel="00000000" w:rsidP="00000000" w:rsidRDefault="00000000" w:rsidRPr="00000000" w14:paraId="000000F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Phosphorylation of human placental aromatase CYP19A1 - PMC - PubMed Central, accessed October 10, 2025, </w:t>
      </w:r>
      <w:hyperlink r:id="rId30">
        <w:r w:rsidDel="00000000" w:rsidR="00000000" w:rsidRPr="00000000">
          <w:rPr>
            <w:rFonts w:ascii="Google Sans" w:cs="Google Sans" w:eastAsia="Google Sans" w:hAnsi="Google Sans"/>
            <w:color w:val="0000ee"/>
            <w:sz w:val="24"/>
            <w:szCs w:val="24"/>
            <w:u w:val="single"/>
            <w:rtl w:val="0"/>
          </w:rPr>
          <w:t xml:space="preserve">https://pmc.ncbi.nlm.nih.gov/articles/PMC7069221/</w:t>
        </w:r>
      </w:hyperlink>
      <w:r w:rsidDel="00000000" w:rsidR="00000000" w:rsidRPr="00000000">
        <w:rPr>
          <w:rtl w:val="0"/>
        </w:rPr>
      </w:r>
    </w:p>
    <w:p w:rsidR="00000000" w:rsidDel="00000000" w:rsidP="00000000" w:rsidRDefault="00000000" w:rsidRPr="00000000" w14:paraId="000000F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Homozygous Mutation of P450 Side-Chain Cleavage Enzyme Gene (CYP11A1) in 46, XY Patient with Adrenal Insufficiency, Complete Sex Reversal, and Agenesis of Corpus Callosum - Oxford Academic, accessed October 10, 2025, </w:t>
      </w:r>
      <w:hyperlink r:id="rId31">
        <w:r w:rsidDel="00000000" w:rsidR="00000000" w:rsidRPr="00000000">
          <w:rPr>
            <w:rFonts w:ascii="Google Sans" w:cs="Google Sans" w:eastAsia="Google Sans" w:hAnsi="Google Sans"/>
            <w:color w:val="0000ee"/>
            <w:sz w:val="24"/>
            <w:szCs w:val="24"/>
            <w:u w:val="single"/>
            <w:rtl w:val="0"/>
          </w:rPr>
          <w:t xml:space="preserve">https://academic.oup.com/jcem/article/91/8/2821/2656243</w:t>
        </w:r>
      </w:hyperlink>
      <w:r w:rsidDel="00000000" w:rsidR="00000000" w:rsidRPr="00000000">
        <w:rPr>
          <w:rtl w:val="0"/>
        </w:rPr>
      </w:r>
    </w:p>
    <w:p w:rsidR="00000000" w:rsidDel="00000000" w:rsidP="00000000" w:rsidRDefault="00000000" w:rsidRPr="00000000" w14:paraId="000000F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17-Hydroxylase Deficiency - StatPearls - NCBI Bookshelf, accessed October 10, 2025, </w:t>
      </w:r>
      <w:hyperlink r:id="rId32">
        <w:r w:rsidDel="00000000" w:rsidR="00000000" w:rsidRPr="00000000">
          <w:rPr>
            <w:rFonts w:ascii="Google Sans" w:cs="Google Sans" w:eastAsia="Google Sans" w:hAnsi="Google Sans"/>
            <w:color w:val="0000ee"/>
            <w:sz w:val="24"/>
            <w:szCs w:val="24"/>
            <w:u w:val="single"/>
            <w:rtl w:val="0"/>
          </w:rPr>
          <w:t xml:space="preserve">https://www.ncbi.nlm.nih.gov/books/NBK546644/</w:t>
        </w:r>
      </w:hyperlink>
      <w:r w:rsidDel="00000000" w:rsidR="00000000" w:rsidRPr="00000000">
        <w:rPr>
          <w:rtl w:val="0"/>
        </w:rPr>
      </w:r>
    </w:p>
    <w:p w:rsidR="00000000" w:rsidDel="00000000" w:rsidP="00000000" w:rsidRDefault="00000000" w:rsidRPr="00000000" w14:paraId="000000F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17 alpha-hydroxylase/17,20-lyase deficiency: MedlinePlus Genetics, accessed October 10, 2025, </w:t>
      </w:r>
      <w:hyperlink r:id="rId33">
        <w:r w:rsidDel="00000000" w:rsidR="00000000" w:rsidRPr="00000000">
          <w:rPr>
            <w:rFonts w:ascii="Google Sans" w:cs="Google Sans" w:eastAsia="Google Sans" w:hAnsi="Google Sans"/>
            <w:color w:val="0000ee"/>
            <w:sz w:val="24"/>
            <w:szCs w:val="24"/>
            <w:u w:val="single"/>
            <w:rtl w:val="0"/>
          </w:rPr>
          <w:t xml:space="preserve">https://medlineplus.gov/genetics/condition/17-alpha-hydroxylase-17-20-lyase-deficiency/</w:t>
        </w:r>
      </w:hyperlink>
      <w:r w:rsidDel="00000000" w:rsidR="00000000" w:rsidRPr="00000000">
        <w:rPr>
          <w:rtl w:val="0"/>
        </w:rPr>
      </w:r>
    </w:p>
    <w:p w:rsidR="00000000" w:rsidDel="00000000" w:rsidP="00000000" w:rsidRDefault="00000000" w:rsidRPr="00000000" w14:paraId="000000F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Congenital adrenal hyperplasia due to 17-alpha-hydroxylase deficiency - Orphanet, accessed October 10, 2025, </w:t>
      </w:r>
      <w:hyperlink r:id="rId34">
        <w:r w:rsidDel="00000000" w:rsidR="00000000" w:rsidRPr="00000000">
          <w:rPr>
            <w:rFonts w:ascii="Google Sans" w:cs="Google Sans" w:eastAsia="Google Sans" w:hAnsi="Google Sans"/>
            <w:color w:val="0000ee"/>
            <w:sz w:val="24"/>
            <w:szCs w:val="24"/>
            <w:u w:val="single"/>
            <w:rtl w:val="0"/>
          </w:rPr>
          <w:t xml:space="preserve">https://www.orpha.net/en/disease/detail/90793</w:t>
        </w:r>
      </w:hyperlink>
      <w:r w:rsidDel="00000000" w:rsidR="00000000" w:rsidRPr="00000000">
        <w:rPr>
          <w:rtl w:val="0"/>
        </w:rPr>
      </w:r>
    </w:p>
    <w:p w:rsidR="00000000" w:rsidDel="00000000" w:rsidP="00000000" w:rsidRDefault="00000000" w:rsidRPr="00000000" w14:paraId="0000010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Elevated Aromatase (CYP19A1) Expression Is Associated with a Poor Survival of Patients with Estrogen Receptor Positive Breast Cancer - PMC, accessed October 10, 2025, </w:t>
      </w:r>
      <w:hyperlink r:id="rId35">
        <w:r w:rsidDel="00000000" w:rsidR="00000000" w:rsidRPr="00000000">
          <w:rPr>
            <w:rFonts w:ascii="Google Sans" w:cs="Google Sans" w:eastAsia="Google Sans" w:hAnsi="Google Sans"/>
            <w:color w:val="0000ee"/>
            <w:sz w:val="24"/>
            <w:szCs w:val="24"/>
            <w:u w:val="single"/>
            <w:rtl w:val="0"/>
          </w:rPr>
          <w:t xml:space="preserve">https://pmc.ncbi.nlm.nih.gov/articles/PMC5862917/</w:t>
        </w:r>
      </w:hyperlink>
      <w:r w:rsidDel="00000000" w:rsidR="00000000" w:rsidRPr="00000000">
        <w:rPr>
          <w:rtl w:val="0"/>
        </w:rPr>
      </w:r>
    </w:p>
    <w:p w:rsidR="00000000" w:rsidDel="00000000" w:rsidP="00000000" w:rsidRDefault="00000000" w:rsidRPr="00000000" w14:paraId="0000010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Aromatase inhibitors: mechanism of action and role in the treatment of breast cancer - PubMed, accessed October 10, 2025, </w:t>
      </w:r>
      <w:hyperlink r:id="rId36">
        <w:r w:rsidDel="00000000" w:rsidR="00000000" w:rsidRPr="00000000">
          <w:rPr>
            <w:rFonts w:ascii="Google Sans" w:cs="Google Sans" w:eastAsia="Google Sans" w:hAnsi="Google Sans"/>
            <w:color w:val="0000ee"/>
            <w:sz w:val="24"/>
            <w:szCs w:val="24"/>
            <w:u w:val="single"/>
            <w:rtl w:val="0"/>
          </w:rPr>
          <w:t xml:space="preserve">https://pubmed.ncbi.nlm.nih.gov/14513432/</w:t>
        </w:r>
      </w:hyperlink>
      <w:r w:rsidDel="00000000" w:rsidR="00000000" w:rsidRPr="00000000">
        <w:rPr>
          <w:rtl w:val="0"/>
        </w:rPr>
      </w:r>
    </w:p>
    <w:p w:rsidR="00000000" w:rsidDel="00000000" w:rsidP="00000000" w:rsidRDefault="00000000" w:rsidRPr="00000000" w14:paraId="0000010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Aromatase expression and regulation in breast and endometrial cancer in - Journal of Molecular Endocrinology, accessed October 10, 2025, </w:t>
      </w:r>
      <w:hyperlink r:id="rId37">
        <w:r w:rsidDel="00000000" w:rsidR="00000000" w:rsidRPr="00000000">
          <w:rPr>
            <w:rFonts w:ascii="Google Sans" w:cs="Google Sans" w:eastAsia="Google Sans" w:hAnsi="Google Sans"/>
            <w:color w:val="0000ee"/>
            <w:sz w:val="24"/>
            <w:szCs w:val="24"/>
            <w:u w:val="single"/>
            <w:rtl w:val="0"/>
          </w:rPr>
          <w:t xml:space="preserve">https://jme.bioscientifica.com/view/journals/jme/57/1/R19.xml</w:t>
        </w:r>
      </w:hyperlink>
      <w:r w:rsidDel="00000000" w:rsidR="00000000" w:rsidRPr="00000000">
        <w:rPr>
          <w:rtl w:val="0"/>
        </w:rPr>
      </w:r>
    </w:p>
    <w:p w:rsidR="00000000" w:rsidDel="00000000" w:rsidP="00000000" w:rsidRDefault="00000000" w:rsidRPr="00000000" w14:paraId="0000010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Influence of CYP19A1 gene expression levels in women with breast cancer: a systematic review of the literature | Clinics - Elsevier, accessed October 10, 2025, </w:t>
      </w:r>
      <w:hyperlink r:id="rId38">
        <w:r w:rsidDel="00000000" w:rsidR="00000000" w:rsidRPr="00000000">
          <w:rPr>
            <w:rFonts w:ascii="Google Sans" w:cs="Google Sans" w:eastAsia="Google Sans" w:hAnsi="Google Sans"/>
            <w:color w:val="0000ee"/>
            <w:sz w:val="24"/>
            <w:szCs w:val="24"/>
            <w:u w:val="single"/>
            <w:rtl w:val="0"/>
          </w:rPr>
          <w:t xml:space="preserve">https://www.elsevier.es/es-revista-clinics-22-articulo-influence-cyp19a1-gene-expression-levels-S1807593222001739</w:t>
        </w:r>
      </w:hyperlink>
      <w:r w:rsidDel="00000000" w:rsidR="00000000" w:rsidRPr="00000000">
        <w:rPr>
          <w:rtl w:val="0"/>
        </w:rPr>
      </w:r>
    </w:p>
    <w:p w:rsidR="00000000" w:rsidDel="00000000" w:rsidP="00000000" w:rsidRDefault="00000000" w:rsidRPr="00000000" w14:paraId="0000010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Pharmacology and Pharmacokinetics of the Newer Generation Aromatase Inhibitors 1 - AACR Journals, accessed October 10, 2025, </w:t>
      </w:r>
      <w:hyperlink r:id="rId39">
        <w:r w:rsidDel="00000000" w:rsidR="00000000" w:rsidRPr="00000000">
          <w:rPr>
            <w:rFonts w:ascii="Google Sans" w:cs="Google Sans" w:eastAsia="Google Sans" w:hAnsi="Google Sans"/>
            <w:color w:val="0000ee"/>
            <w:sz w:val="24"/>
            <w:szCs w:val="24"/>
            <w:u w:val="single"/>
            <w:rtl w:val="0"/>
          </w:rPr>
          <w:t xml:space="preserve">https://aacrjournals.org/clincancerres/article/9/1/468s/289362/Pharmacology-and-Pharmacokinetics-of-the-Newer</w:t>
        </w:r>
      </w:hyperlink>
      <w:r w:rsidDel="00000000" w:rsidR="00000000" w:rsidRPr="00000000">
        <w:rPr>
          <w:rtl w:val="0"/>
        </w:rPr>
      </w:r>
    </w:p>
    <w:p w:rsidR="00000000" w:rsidDel="00000000" w:rsidP="00000000" w:rsidRDefault="00000000" w:rsidRPr="00000000" w14:paraId="0000010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Classification - Holland-Frei Cancer Medicine - NCBI Bookshelf, accessed October 10, 2025, </w:t>
      </w:r>
      <w:hyperlink r:id="rId40">
        <w:r w:rsidDel="00000000" w:rsidR="00000000" w:rsidRPr="00000000">
          <w:rPr>
            <w:rFonts w:ascii="Google Sans" w:cs="Google Sans" w:eastAsia="Google Sans" w:hAnsi="Google Sans"/>
            <w:color w:val="0000ee"/>
            <w:sz w:val="24"/>
            <w:szCs w:val="24"/>
            <w:u w:val="single"/>
            <w:rtl w:val="0"/>
          </w:rPr>
          <w:t xml:space="preserve">https://www.ncbi.nlm.nih.gov/books/NBK12706/</w:t>
        </w:r>
      </w:hyperlink>
      <w:r w:rsidDel="00000000" w:rsidR="00000000" w:rsidRPr="00000000">
        <w:rPr>
          <w:rtl w:val="0"/>
        </w:rPr>
      </w:r>
    </w:p>
    <w:p w:rsidR="00000000" w:rsidDel="00000000" w:rsidP="00000000" w:rsidRDefault="00000000" w:rsidRPr="00000000" w14:paraId="0000010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Review on CYP11A1, CYP17A1, and CYP19A1 Polymorphism Studies: Candidate Susceptibility Genes for Polycystic Ovary Syndrome (PCOS) and Infertility - PubMed, accessed October 10, 2025, </w:t>
      </w:r>
      <w:hyperlink r:id="rId41">
        <w:r w:rsidDel="00000000" w:rsidR="00000000" w:rsidRPr="00000000">
          <w:rPr>
            <w:rFonts w:ascii="Google Sans" w:cs="Google Sans" w:eastAsia="Google Sans" w:hAnsi="Google Sans"/>
            <w:color w:val="0000ee"/>
            <w:sz w:val="24"/>
            <w:szCs w:val="24"/>
            <w:u w:val="single"/>
            <w:rtl w:val="0"/>
          </w:rPr>
          <w:t xml:space="preserve">https://pubmed.ncbi.nlm.nih.gov/35205347/</w:t>
        </w:r>
      </w:hyperlink>
      <w:r w:rsidDel="00000000" w:rsidR="00000000" w:rsidRPr="00000000">
        <w:rPr>
          <w:rtl w:val="0"/>
        </w:rPr>
      </w:r>
    </w:p>
    <w:p w:rsidR="00000000" w:rsidDel="00000000" w:rsidP="00000000" w:rsidRDefault="00000000" w:rsidRPr="00000000" w14:paraId="0000010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A Review on CYP11A1, CYP17A1, and CYP19A1 Polymorphism Studies: Candidate Susceptibility Genes for Polycystic Ovary Syndrome (PCOS) and Infertility - ResearchGate, accessed October 10, 2025, </w:t>
      </w:r>
      <w:hyperlink r:id="rId42">
        <w:r w:rsidDel="00000000" w:rsidR="00000000" w:rsidRPr="00000000">
          <w:rPr>
            <w:rFonts w:ascii="Google Sans" w:cs="Google Sans" w:eastAsia="Google Sans" w:hAnsi="Google Sans"/>
            <w:color w:val="0000ee"/>
            <w:sz w:val="24"/>
            <w:szCs w:val="24"/>
            <w:u w:val="single"/>
            <w:rtl w:val="0"/>
          </w:rPr>
          <w:t xml:space="preserve">https://www.researchgate.net/publication/358409662_A_Review_on_CYP11A1_CYP17A1_and_CYP19A1_Polymorphism_Studies_Candidate_Susceptibility_Genes_for_Polycystic_Ovary_Syndrome_PCOS_and_Infertility</w:t>
        </w:r>
      </w:hyperlink>
      <w:r w:rsidDel="00000000" w:rsidR="00000000" w:rsidRPr="00000000">
        <w:rPr>
          <w:rtl w:val="0"/>
        </w:rPr>
      </w:r>
    </w:p>
    <w:p w:rsidR="00000000" w:rsidDel="00000000" w:rsidP="00000000" w:rsidRDefault="00000000" w:rsidRPr="00000000" w14:paraId="0000010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Polymorphism of the CYP11A1, CYP17A1, and CYP19A1 genes in reproductive-aged women with polycystic ovary syndrome - Obstetrics and Gynecology, accessed October 10, 2025, </w:t>
      </w:r>
      <w:hyperlink r:id="rId43">
        <w:r w:rsidDel="00000000" w:rsidR="00000000" w:rsidRPr="00000000">
          <w:rPr>
            <w:rFonts w:ascii="Google Sans" w:cs="Google Sans" w:eastAsia="Google Sans" w:hAnsi="Google Sans"/>
            <w:color w:val="0000ee"/>
            <w:sz w:val="24"/>
            <w:szCs w:val="24"/>
            <w:u w:val="single"/>
            <w:rtl w:val="0"/>
          </w:rPr>
          <w:t xml:space="preserve">https://en.aig-journal.ru/articles/Polimorfizm-genov-CYP11a1-CYP17-CYP19-u-jenshin-reproduktivnogo-vozrasta-s-sindromom-polikistoznyh-yaichnikov.html</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ncbi.nlm.nih.gov/books/NBK12706/" TargetMode="External"/><Relationship Id="rId20" Type="http://schemas.openxmlformats.org/officeDocument/2006/relationships/hyperlink" Target="https://medlineplus.gov/download/genetics/gene/cyp19a1.pdf" TargetMode="External"/><Relationship Id="rId42" Type="http://schemas.openxmlformats.org/officeDocument/2006/relationships/hyperlink" Target="https://www.researchgate.net/publication/358409662_A_Review_on_CYP11A1_CYP17A1_and_CYP19A1_Polymorphism_Studies_Candidate_Susceptibility_Genes_for_Polycystic_Ovary_Syndrome_PCOS_and_Infertility" TargetMode="External"/><Relationship Id="rId41" Type="http://schemas.openxmlformats.org/officeDocument/2006/relationships/hyperlink" Target="https://pubmed.ncbi.nlm.nih.gov/35205347/" TargetMode="External"/><Relationship Id="rId22" Type="http://schemas.openxmlformats.org/officeDocument/2006/relationships/hyperlink" Target="https://academic.oup.com/jcem/article/96/3/792/2596908" TargetMode="External"/><Relationship Id="rId21" Type="http://schemas.openxmlformats.org/officeDocument/2006/relationships/hyperlink" Target="https://en.wikipedia.org/wiki/Aromatase" TargetMode="External"/><Relationship Id="rId43" Type="http://schemas.openxmlformats.org/officeDocument/2006/relationships/hyperlink" Target="https://en.aig-journal.ru/articles/Polimorfizm-genov-CYP11a1-CYP17-CYP19-u-jenshin-reproduktivnogo-vozrasta-s-sindromom-polikistoznyh-yaichnikov.html" TargetMode="External"/><Relationship Id="rId24" Type="http://schemas.openxmlformats.org/officeDocument/2006/relationships/hyperlink" Target="https://academic.oup.com/jcem/article/95/5/2296/2597132" TargetMode="External"/><Relationship Id="rId23" Type="http://schemas.openxmlformats.org/officeDocument/2006/relationships/hyperlink" Target="https://www.researchgate.net/figure/Visualization-of-the-interaction-between-aromatase-and-CPR-open-confirmation-adapted_fig3_37766692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mdpi.com/1422-0067/26/13/6219" TargetMode="External"/><Relationship Id="rId26" Type="http://schemas.openxmlformats.org/officeDocument/2006/relationships/hyperlink" Target="https://pmc.ncbi.nlm.nih.gov/articles/PMC3037674/" TargetMode="External"/><Relationship Id="rId25" Type="http://schemas.openxmlformats.org/officeDocument/2006/relationships/hyperlink" Target="https://medlineplus.gov/genetics/gene/cyp19a1/" TargetMode="External"/><Relationship Id="rId28" Type="http://schemas.openxmlformats.org/officeDocument/2006/relationships/hyperlink" Target="https://pmc.ncbi.nlm.nih.gov/articles/PMC2878537/" TargetMode="External"/><Relationship Id="rId27" Type="http://schemas.openxmlformats.org/officeDocument/2006/relationships/hyperlink" Target="https://journals.physiology.org/doi/full/10.1152/physiol.00054.2015" TargetMode="External"/><Relationship Id="rId5" Type="http://schemas.openxmlformats.org/officeDocument/2006/relationships/styles" Target="styles.xml"/><Relationship Id="rId6" Type="http://schemas.openxmlformats.org/officeDocument/2006/relationships/hyperlink" Target="https://www.mdpi.com/2073-4425/13/2/302" TargetMode="External"/><Relationship Id="rId29" Type="http://schemas.openxmlformats.org/officeDocument/2006/relationships/hyperlink" Target="https://www.uniprot.org/uniprotkb/P11511/entry" TargetMode="External"/><Relationship Id="rId7" Type="http://schemas.openxmlformats.org/officeDocument/2006/relationships/hyperlink" Target="https://academic.oup.com/jcem/article/110/3/e574/7906731" TargetMode="External"/><Relationship Id="rId8" Type="http://schemas.openxmlformats.org/officeDocument/2006/relationships/hyperlink" Target="https://en.wikipedia.org/wiki/Cytochrome_P450" TargetMode="External"/><Relationship Id="rId31" Type="http://schemas.openxmlformats.org/officeDocument/2006/relationships/hyperlink" Target="https://academic.oup.com/jcem/article/91/8/2821/2656243" TargetMode="External"/><Relationship Id="rId30" Type="http://schemas.openxmlformats.org/officeDocument/2006/relationships/hyperlink" Target="https://pmc.ncbi.nlm.nih.gov/articles/PMC7069221/" TargetMode="External"/><Relationship Id="rId11" Type="http://schemas.openxmlformats.org/officeDocument/2006/relationships/hyperlink" Target="https://pmc.ncbi.nlm.nih.gov/articles/PMC4456341/" TargetMode="External"/><Relationship Id="rId33" Type="http://schemas.openxmlformats.org/officeDocument/2006/relationships/hyperlink" Target="https://medlineplus.gov/genetics/condition/17-alpha-hydroxylase-17-20-lyase-deficiency/" TargetMode="External"/><Relationship Id="rId10" Type="http://schemas.openxmlformats.org/officeDocument/2006/relationships/hyperlink" Target="https://www.ebi.ac.uk/interpro/entry/cdd/cd20616" TargetMode="External"/><Relationship Id="rId32" Type="http://schemas.openxmlformats.org/officeDocument/2006/relationships/hyperlink" Target="https://www.ncbi.nlm.nih.gov/books/NBK546644/" TargetMode="External"/><Relationship Id="rId13" Type="http://schemas.openxmlformats.org/officeDocument/2006/relationships/hyperlink" Target="https://www.mdpi.com/2073-4344/9/1/81" TargetMode="External"/><Relationship Id="rId35" Type="http://schemas.openxmlformats.org/officeDocument/2006/relationships/hyperlink" Target="https://pmc.ncbi.nlm.nih.gov/articles/PMC5862917/" TargetMode="External"/><Relationship Id="rId12" Type="http://schemas.openxmlformats.org/officeDocument/2006/relationships/hyperlink" Target="https://www.ncbi.nlm.nih.gov/gene/1588" TargetMode="External"/><Relationship Id="rId34" Type="http://schemas.openxmlformats.org/officeDocument/2006/relationships/hyperlink" Target="https://www.orpha.net/en/disease/detail/90793" TargetMode="External"/><Relationship Id="rId15" Type="http://schemas.openxmlformats.org/officeDocument/2006/relationships/hyperlink" Target="https://pmc.ncbi.nlm.nih.gov/articles/PMC8505039/" TargetMode="External"/><Relationship Id="rId37" Type="http://schemas.openxmlformats.org/officeDocument/2006/relationships/hyperlink" Target="https://jme.bioscientifica.com/view/journals/jme/57/1/R19.xml" TargetMode="External"/><Relationship Id="rId14" Type="http://schemas.openxmlformats.org/officeDocument/2006/relationships/hyperlink" Target="https://academic.oup.com/endo/article/146/6/2544/2499892" TargetMode="External"/><Relationship Id="rId36" Type="http://schemas.openxmlformats.org/officeDocument/2006/relationships/hyperlink" Target="https://pubmed.ncbi.nlm.nih.gov/14513432/" TargetMode="External"/><Relationship Id="rId17" Type="http://schemas.openxmlformats.org/officeDocument/2006/relationships/hyperlink" Target="https://en.wikipedia.org/wiki/CYP17A1" TargetMode="External"/><Relationship Id="rId39" Type="http://schemas.openxmlformats.org/officeDocument/2006/relationships/hyperlink" Target="https://aacrjournals.org/clincancerres/article/9/1/468s/289362/Pharmacology-and-Pharmacokinetics-of-the-Newer" TargetMode="External"/><Relationship Id="rId16" Type="http://schemas.openxmlformats.org/officeDocument/2006/relationships/hyperlink" Target="https://pmc.ncbi.nlm.nih.gov/articles/PMC3565115/" TargetMode="External"/><Relationship Id="rId38" Type="http://schemas.openxmlformats.org/officeDocument/2006/relationships/hyperlink" Target="https://www.elsevier.es/es-revista-clinics-22-articulo-influence-cyp19a1-gene-expression-levels-S1807593222001739" TargetMode="External"/><Relationship Id="rId19" Type="http://schemas.openxmlformats.org/officeDocument/2006/relationships/hyperlink" Target="https://pmc.ncbi.nlm.nih.gov/articles/PMC8408562/" TargetMode="External"/><Relationship Id="rId18" Type="http://schemas.openxmlformats.org/officeDocument/2006/relationships/hyperlink" Target="https://pmc.ncbi.nlm.nih.gov/articles/PMC497604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