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3q43xr84y92f" w:id="0"/>
      <w:bookmarkEnd w:id="0"/>
      <w:r w:rsidDel="00000000" w:rsidR="00000000" w:rsidRPr="00000000">
        <w:rPr>
          <w:b w:val="1"/>
          <w:color w:val="1b1c1d"/>
          <w:sz w:val="46"/>
          <w:szCs w:val="46"/>
          <w:rtl w:val="0"/>
        </w:rPr>
        <w:t xml:space="preserve">Comprehensive Reference Report: Conjugated Bile Acid Hydrolase (BSH) Protein Cluster (EC 3.5.1.-)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cn3id6l0769" w:id="1"/>
      <w:bookmarkEnd w:id="1"/>
      <w:r w:rsidDel="00000000" w:rsidR="00000000" w:rsidRPr="00000000">
        <w:rPr>
          <w:b w:val="1"/>
          <w:color w:val="1b1c1d"/>
          <w:sz w:val="34"/>
          <w:szCs w:val="34"/>
          <w:rtl w:val="0"/>
        </w:rPr>
        <w:t xml:space="preserve">I. General Background: Molecular Classification and Enzymatic Core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2hn18er42qj" w:id="2"/>
      <w:bookmarkEnd w:id="2"/>
      <w:r w:rsidDel="00000000" w:rsidR="00000000" w:rsidRPr="00000000">
        <w:rPr>
          <w:b w:val="1"/>
          <w:color w:val="1b1c1d"/>
          <w:sz w:val="26"/>
          <w:szCs w:val="26"/>
          <w:rtl w:val="0"/>
        </w:rPr>
        <w:t xml:space="preserve">I.A. Definition, Nomenclature, and Classification within the Ntn-Hydrolase Superfamily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clustered as Conjugated Bile Acid Hydrolases (BSHs) constitute a vital component of the gut microbiome's interaction with host physiology. BSHs catalyze the hydrolytic cleavage of the amide bond linking an amino acid (glycine or taurine) to the steroid core of conjugated bile acids (BAs), a reaction recognized as the "gateway reaction" in the broader pathway of microbial BA modification.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nomenclature for this group is varied, reflecting the diverse species and historical context of their discovery. Common synonyms include Bile Salt Hydrolase (BSH), Conjugated Bile Acid Hydrolase (CBAH), and Cholylglycine Hydrolase (CGH).</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enzymes are generally classified under the Enzyme Commission (EC) designation EC 3.5.1.-, indicating a hydrolase acting on carbon-nitrogen bonds other than peptide bonds, specifically in linear amides.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Specific EC numbers delineate functional preferences within the cluster. </w:t>
      </w:r>
      <w:r w:rsidDel="00000000" w:rsidR="00000000" w:rsidRPr="00000000">
        <w:rPr>
          <w:b w:val="1"/>
          <w:color w:val="1b1c1d"/>
          <w:rtl w:val="0"/>
        </w:rPr>
        <w:t xml:space="preserve">EC 3.5.1.24</w:t>
      </w:r>
      <w:r w:rsidDel="00000000" w:rsidR="00000000" w:rsidRPr="00000000">
        <w:rPr>
          <w:color w:val="1b1c1d"/>
          <w:rtl w:val="0"/>
        </w:rPr>
        <w:t xml:space="preserve">, defined as Choloylglycine Hydrolase, systematically represents the amidohydrolase activity specific to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-trihydroxy-</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-cholan-24-oylglycine (Glycocholic acid), yielding cholic acid and glycine.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 contrast, </w:t>
      </w:r>
      <w:r w:rsidDel="00000000" w:rsidR="00000000" w:rsidRPr="00000000">
        <w:rPr>
          <w:b w:val="1"/>
          <w:color w:val="1b1c1d"/>
          <w:rtl w:val="0"/>
        </w:rPr>
        <w:t xml:space="preserve">EC 3.5.1.74</w:t>
      </w:r>
      <w:r w:rsidDel="00000000" w:rsidR="00000000" w:rsidRPr="00000000">
        <w:rPr>
          <w:color w:val="1b1c1d"/>
          <w:rtl w:val="0"/>
        </w:rPr>
        <w:t xml:space="preserve">, Chenodeoxycholoyltaurine Hydrolase, is defined by its reaction with chenodeoxycholoyltaurine to produce chenodeoxycholate and taurine.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A crucial functional distinction for EC 3.5.1.74 is its noted specificity for taurine conjugates, typically excluding glycine conjugates of bile acids.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Structurally, BSHs are unified as members of the </w:t>
      </w:r>
      <w:r w:rsidDel="00000000" w:rsidR="00000000" w:rsidRPr="00000000">
        <w:rPr>
          <w:b w:val="1"/>
          <w:color w:val="1b1c1d"/>
          <w:rtl w:val="0"/>
        </w:rPr>
        <w:t xml:space="preserve">N-terminal nucleophile (Ntn) hydrolase superfamily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classification is shared with other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-acyl amidohydrolases, such as Penicillin V Acylase (PVA), and dictates their common mechanism of amide bond cleavage.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1fws8jir7ax" w:id="3"/>
      <w:bookmarkEnd w:id="3"/>
      <w:r w:rsidDel="00000000" w:rsidR="00000000" w:rsidRPr="00000000">
        <w:rPr>
          <w:b w:val="1"/>
          <w:color w:val="1b1c1d"/>
          <w:sz w:val="26"/>
          <w:szCs w:val="26"/>
          <w:rtl w:val="0"/>
        </w:rPr>
        <w:t xml:space="preserve">I.B. Structural Architecture and Conserved Catalytic Mechanism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structure of BSH enzymes is characterized by the distinctive Ntn-hydrolase fold, which consists of a highly conserved four-layered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-core.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functional enzyme typically exists as a multimer. For example, BSH from </w:t>
      </w:r>
      <w:r w:rsidDel="00000000" w:rsidR="00000000" w:rsidRPr="00000000">
        <w:rPr>
          <w:i w:val="1"/>
          <w:color w:val="1b1c1d"/>
          <w:rtl w:val="0"/>
        </w:rPr>
        <w:t xml:space="preserve">Bifidobacterium longum</w:t>
      </w:r>
      <w:r w:rsidDel="00000000" w:rsidR="00000000" w:rsidRPr="00000000">
        <w:rPr>
          <w:color w:val="1b1c1d"/>
          <w:rtl w:val="0"/>
        </w:rPr>
        <w:t xml:space="preserve"> is a native tetramer with a subunit molecular weight of 35,024, although many crystal structures reveal the basic functional unit to be a dimer, as observed in the </w:t>
      </w:r>
      <w:r w:rsidDel="00000000" w:rsidR="00000000" w:rsidRPr="00000000">
        <w:rPr>
          <w:i w:val="1"/>
          <w:color w:val="1b1c1d"/>
          <w:rtl w:val="0"/>
        </w:rPr>
        <w:t xml:space="preserve">Lactobacillus salivarius</w:t>
      </w:r>
      <w:r w:rsidDel="00000000" w:rsidR="00000000" w:rsidRPr="00000000">
        <w:rPr>
          <w:color w:val="1b1c1d"/>
          <w:rtl w:val="0"/>
        </w:rPr>
        <w:t xml:space="preserve"> BSH structure (PDB entry 5hke).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conserved catalytic mechanism of BSH is defined by the Ntn superfamily, which relies on an N-terminal residue as the active site nucleophile. BSHs are specifically </w:t>
      </w:r>
      <w:r w:rsidDel="00000000" w:rsidR="00000000" w:rsidRPr="00000000">
        <w:rPr>
          <w:b w:val="1"/>
          <w:color w:val="1b1c1d"/>
          <w:rtl w:val="0"/>
        </w:rPr>
        <w:t xml:space="preserve">cysteine Ntn-hydrolases</w:t>
      </w:r>
      <w:r w:rsidDel="00000000" w:rsidR="00000000" w:rsidRPr="00000000">
        <w:rPr>
          <w:color w:val="1b1c1d"/>
          <w:rtl w:val="0"/>
        </w:rPr>
        <w:t xml:space="preserve">, utilizing an exposed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-terminal Cysteine residue, typically Cys2, as the catalytic site.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enzyme becomes catalytically competent following an autocatalytic cleavage event that exposes this N-terminal Cys.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hydrolytic reaction proceeds through two consecutive steps of amide bond cleavage. First, the N-terminal Cys nucleophile attacks the substrate's amide carbonyl carbon, leading to the formation of a negatively charged tetrahedral intermediate.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intermediate is critically stabilized by an oxyanion hole formed by conserved residues such as the peptide NH of Asn82 and </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of Asn173.</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-amino group of the catalytic residue protonates the nitrogen of the scissile amide bond, resulting in the expulsion of the amino acid (glycine or taurine) and the formation of an acyl-enzyme intermediate.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Second, the acyl-enzyme intermediate undergoes hydrolysis by water, regenerating the catalytically active enzyme.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Key residues integral to the mechanism include Arg18, which stabilizes the negative charge on the sulfhydryl group of Cys2, and Asp21, which, along with Cys2, forms the Ntn-diad.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Mutagenesis studies provide definitive proof of this mechanism, showing that an exchange of Cys1 to Ala in </w:t>
      </w:r>
      <w:r w:rsidDel="00000000" w:rsidR="00000000" w:rsidRPr="00000000">
        <w:rPr>
          <w:i w:val="1"/>
          <w:color w:val="1b1c1d"/>
          <w:rtl w:val="0"/>
        </w:rPr>
        <w:t xml:space="preserve">B. longum</w:t>
      </w:r>
      <w:r w:rsidDel="00000000" w:rsidR="00000000" w:rsidRPr="00000000">
        <w:rPr>
          <w:color w:val="1b1c1d"/>
          <w:rtl w:val="0"/>
        </w:rPr>
        <w:t xml:space="preserve"> BSH completely inactivates the protein.</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BSH Cluster Nomenclature and Core Enzymatic Properties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560603144586"/>
        <w:gridCol w:w="824.8608031328708"/>
        <w:gridCol w:w="2052.560603144586"/>
        <w:gridCol w:w="2062.1520078321773"/>
        <w:gridCol w:w="978.3232781343352"/>
        <w:gridCol w:w="1055.0545156350674"/>
        <w:tblGridChange w:id="0">
          <w:tblGrid>
            <w:gridCol w:w="2052.560603144586"/>
            <w:gridCol w:w="824.8608031328708"/>
            <w:gridCol w:w="2052.560603144586"/>
            <w:gridCol w:w="2062.1520078321773"/>
            <w:gridCol w:w="978.3232781343352"/>
            <w:gridCol w:w="1055.054515635067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Enzyme Class/Synonym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Systematic Reaction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Catalytic Nucleophile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Structural Family</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Conjugated Bile Acid Hydrolase (CBAH)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EC 3.5.1.-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Hydrolysis of amide bond in conjugated BAs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N-terminal Cysteine (Cys2)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General amidase activity on steroids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Ntn Hydrolase Superfamily</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Choloylglycine Hydrolase (CGH)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EC 3.5.1.24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Glycocholic acid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Cholic acid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Glycine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Cysteine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Glycine-conjugate cleavage preference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CGH Group</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Chenodeoxycholoyltaurine Hydrolase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EC 3.5.1.74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Chenodeoxycholoyltaurine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Chenodeoxycholate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Taurine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Cysteine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Taurine-conjugate cleavage preference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CGH Group</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Penicillin V Acylase (PVA)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EC 3.5.1.11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Penicillin V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6-APA and phenoxyacetic acid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Cysteine/Serine/Threonine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Non-steroid amidase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Ntn Hydrolase Superfamily</w:t>
            </w:r>
          </w:p>
        </w:tc>
      </w:tr>
    </w:tbl>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w295phwk41q" w:id="4"/>
      <w:bookmarkEnd w:id="4"/>
      <w:r w:rsidDel="00000000" w:rsidR="00000000" w:rsidRPr="00000000">
        <w:rPr>
          <w:b w:val="1"/>
          <w:color w:val="1b1c1d"/>
          <w:sz w:val="34"/>
          <w:szCs w:val="34"/>
          <w:rtl w:val="0"/>
        </w:rPr>
        <w:t xml:space="preserve">II. Steroid Interactions: Substrate Specificity, Binding Mechanisms, and Metabolic Roles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dle69st9ygh" w:id="5"/>
      <w:bookmarkEnd w:id="5"/>
      <w:r w:rsidDel="00000000" w:rsidR="00000000" w:rsidRPr="00000000">
        <w:rPr>
          <w:b w:val="1"/>
          <w:color w:val="1b1c1d"/>
          <w:sz w:val="26"/>
          <w:szCs w:val="26"/>
          <w:rtl w:val="0"/>
        </w:rPr>
        <w:t xml:space="preserve">II.A. Substrate Range and Determinants of Specificity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substrates of BSHs are the conjugated primary bile acids synthesized by the host liver, such as glycocholic acid (GCA), taurocholic acid (TCA), glycochenodeoxycholic acid (GCDCA), and taurochenodeoxycholic acid (TCDCA).</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BSH action yields unconjugated primary bile acids (UCBAs) and the free amino acid.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UCBAs (cholic acid, chenodeoxycholic acid) are then available for further modification by other bacterial enzymes (e.g.,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-dehydroxylase), leading to the formation of secondary bile acids like deoxycholic acid (DCA) and lithocholic acid (LCA).</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feature of the BSH cluster is the substantial variation in substrate preference observed across different microbial species and strains.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BSHs are typically categorized based on whether they preferentially hydrolyze glycine-conjugated (GC), taurine-conjugated (TC), or exhibit equal activity (TC/GC).</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For instance, many BSHs from </w:t>
      </w:r>
      <w:r w:rsidDel="00000000" w:rsidR="00000000" w:rsidRPr="00000000">
        <w:rPr>
          <w:i w:val="1"/>
          <w:color w:val="1b1c1d"/>
          <w:rtl w:val="0"/>
        </w:rPr>
        <w:t xml:space="preserve">Bifidobacterium</w:t>
      </w:r>
      <w:r w:rsidDel="00000000" w:rsidR="00000000" w:rsidRPr="00000000">
        <w:rPr>
          <w:color w:val="1b1c1d"/>
          <w:rtl w:val="0"/>
        </w:rPr>
        <w:t xml:space="preserve"> and specific </w:t>
      </w:r>
      <w:r w:rsidDel="00000000" w:rsidR="00000000" w:rsidRPr="00000000">
        <w:rPr>
          <w:i w:val="1"/>
          <w:color w:val="1b1c1d"/>
          <w:rtl w:val="0"/>
        </w:rPr>
        <w:t xml:space="preserve">Lactobacillus</w:t>
      </w:r>
      <w:r w:rsidDel="00000000" w:rsidR="00000000" w:rsidRPr="00000000">
        <w:rPr>
          <w:color w:val="1b1c1d"/>
          <w:rtl w:val="0"/>
        </w:rPr>
        <w:t xml:space="preserve"> species, such as </w:t>
      </w:r>
      <w:r w:rsidDel="00000000" w:rsidR="00000000" w:rsidRPr="00000000">
        <w:rPr>
          <w:i w:val="1"/>
          <w:color w:val="1b1c1d"/>
          <w:rtl w:val="0"/>
        </w:rPr>
        <w:t xml:space="preserve">Lactobacillus gasseri</w:t>
      </w:r>
      <w:r w:rsidDel="00000000" w:rsidR="00000000" w:rsidRPr="00000000">
        <w:rPr>
          <w:color w:val="1b1c1d"/>
          <w:rtl w:val="0"/>
        </w:rPr>
        <w:t xml:space="preserve"> (LgBSH), exhibit a preference for glycine-conjugated BAs.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preference is hypothesized to be an adaptive response, as glyco-conjugated BAs are often more toxic to bacteria, especially under acidic conditions.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Conversely, certain strains, notably within the </w:t>
      </w:r>
      <w:r w:rsidDel="00000000" w:rsidR="00000000" w:rsidRPr="00000000">
        <w:rPr>
          <w:i w:val="1"/>
          <w:color w:val="1b1c1d"/>
          <w:rtl w:val="0"/>
        </w:rPr>
        <w:t xml:space="preserve">Bacteroides</w:t>
      </w:r>
      <w:r w:rsidDel="00000000" w:rsidR="00000000" w:rsidRPr="00000000">
        <w:rPr>
          <w:color w:val="1b1c1d"/>
          <w:rtl w:val="0"/>
        </w:rPr>
        <w:t xml:space="preserve"> phylum (e.g., </w:t>
      </w:r>
      <w:r w:rsidDel="00000000" w:rsidR="00000000" w:rsidRPr="00000000">
        <w:rPr>
          <w:i w:val="1"/>
          <w:color w:val="1b1c1d"/>
          <w:rtl w:val="0"/>
        </w:rPr>
        <w:t xml:space="preserve">B. thetaiotaomicron</w:t>
      </w:r>
      <w:r w:rsidDel="00000000" w:rsidR="00000000" w:rsidRPr="00000000">
        <w:rPr>
          <w:color w:val="1b1c1d"/>
          <w:rtl w:val="0"/>
        </w:rPr>
        <w:t xml:space="preserve">), demonstrate a preference for taurine-conjugated BAs.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BSH enzymes display functional versatility beyond simple hydrolysis. Some BSHs possess a dual role as an amine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-acyltransferase, enabling them to conjugate various amino acids back onto bile acids. This process generates bacterial bile acid amidates (BBAAs) or microbially conjugated bile acids (MCBAs).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-acyltransferase activity introduces novel chemical species into the BA pool, potentially mediating unique signaling between the microbiota and the host through the activation of human ligand-activated transcription factors.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hydrolase activity of BSH is subject to competitive inhibition by its deconjugated products, such as cholate and deoxycholate.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s6os341z53w" w:id="6"/>
      <w:bookmarkEnd w:id="6"/>
      <w:r w:rsidDel="00000000" w:rsidR="00000000" w:rsidRPr="00000000">
        <w:rPr>
          <w:b w:val="1"/>
          <w:color w:val="1b1c1d"/>
          <w:sz w:val="26"/>
          <w:szCs w:val="26"/>
          <w:rtl w:val="0"/>
        </w:rPr>
        <w:t xml:space="preserve">II.B. Molecular Mechanisms of Steroid Binding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between BSH and its bile acid substrate relies fundamentally on two factors: the precise orientation of the scissile amide bond toward the catalytic nucleophile, and robust non-covalent interactions with the bulky, hydrophobic steroid core.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analyses, including co-crystal structures (e.g., </w:t>
      </w:r>
      <w:r w:rsidDel="00000000" w:rsidR="00000000" w:rsidRPr="00000000">
        <w:rPr>
          <w:i w:val="1"/>
          <w:color w:val="1b1c1d"/>
          <w:rtl w:val="0"/>
        </w:rPr>
        <w:t xml:space="preserve">Clostridium perfringens</w:t>
      </w:r>
      <w:r w:rsidDel="00000000" w:rsidR="00000000" w:rsidRPr="00000000">
        <w:rPr>
          <w:color w:val="1b1c1d"/>
          <w:rtl w:val="0"/>
        </w:rPr>
        <w:t xml:space="preserve"> BSH bound to taurodeoxycholic acid), confirm that substrate recognition involves significant </w:t>
      </w:r>
      <w:r w:rsidDel="00000000" w:rsidR="00000000" w:rsidRPr="00000000">
        <w:rPr>
          <w:b w:val="1"/>
          <w:color w:val="1b1c1d"/>
          <w:rtl w:val="0"/>
        </w:rPr>
        <w:t xml:space="preserve">hydrophobic interactions</w:t>
      </w:r>
      <w:r w:rsidDel="00000000" w:rsidR="00000000" w:rsidRPr="00000000">
        <w:rPr>
          <w:color w:val="1b1c1d"/>
          <w:rtl w:val="0"/>
        </w:rPr>
        <w:t xml:space="preserve"> between the enzyme's binding pocket and the steroid moiety.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interactions anchor the bile acid core within the active site, positioning the amide bond correctly for cleavage by Cys2.</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precise structure of the bile acid core, particularly substitutions at C12, significantly influences substrate binding affinity and inhibitory effectiveness.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Substrate specificity, particularly the distinction between glycine- and taurine-conjugates, is controlled by key molecular determinants known as Substrate-Preference Determining Residues (SDRs).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residues shape the geometry of the active site cavity. In </w:t>
      </w:r>
      <w:r w:rsidDel="00000000" w:rsidR="00000000" w:rsidRPr="00000000">
        <w:rPr>
          <w:i w:val="1"/>
          <w:color w:val="1b1c1d"/>
          <w:rtl w:val="0"/>
        </w:rPr>
        <w:t xml:space="preserve">C. perfringens</w:t>
      </w:r>
      <w:r w:rsidDel="00000000" w:rsidR="00000000" w:rsidRPr="00000000">
        <w:rPr>
          <w:color w:val="1b1c1d"/>
          <w:rtl w:val="0"/>
        </w:rPr>
        <w:t xml:space="preserve"> BSH, residues like Met20, Phe26, Phe61, Ala68, and Ile137 have been identified through structural and computational studies (molecular docking) as potentially critical for recognition.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Molecular docking of LgBSH, for instance, revealed specific residues (Asn12, Ile8, Leu6, Lys88, and Asp126) interacting with Taurocholic acid and Glycocholic acid.</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Phylogenetically, conserved motifs, such as the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motif found in some Bacteroidota and Bacillota species, are associated with specific deconjugation preferences.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sulfur atom present in taurine conjugates is also hypothesized to introduce steric hindrance, contributing to the generally lower affinity most BSHs exhibit for TC substrates compared to GC substrates.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widespread distribution of BSH activity across diverse gut phyla and even Archaea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reflects its status as an evolutionarily conserved function necessary for survival within the mammalian gastrointestinal tract. The enzyme's ability to deconjugate BAs provides detoxification against the potent antimicrobial effects of conjugated BAs, which can otherwise disrupt bacterial cell membranes due to their amphipathic nature.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detoxifying capability directly links BSH activity to enhanced microbial survival and colonization </w:t>
      </w:r>
      <w:r w:rsidDel="00000000" w:rsidR="00000000" w:rsidRPr="00000000">
        <w:rPr>
          <w:i w:val="1"/>
          <w:color w:val="1b1c1d"/>
          <w:rtl w:val="0"/>
        </w:rPr>
        <w:t xml:space="preserve">in vivo</w:t>
      </w:r>
      <w:r w:rsidDel="00000000" w:rsidR="00000000" w:rsidRPr="00000000">
        <w:rPr>
          <w:color w:val="1b1c1d"/>
          <w:rtl w:val="0"/>
        </w:rPr>
        <w:t xml:space="preserve">, establishing it as a fundamental mechanism of adaptation to the bile-rich gut environment.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Substrate Preference and Structural Determinants in BSH Isoforms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5441095340793"/>
        <w:gridCol w:w="1868.3384322182658"/>
        <w:gridCol w:w="1782.1074276543459"/>
        <w:gridCol w:w="1738.9919253723858"/>
        <w:gridCol w:w="1566.5299162445458"/>
        <w:tblGridChange w:id="0">
          <w:tblGrid>
            <w:gridCol w:w="2069.5441095340793"/>
            <w:gridCol w:w="1868.3384322182658"/>
            <w:gridCol w:w="1782.1074276543459"/>
            <w:gridCol w:w="1738.9919253723858"/>
            <w:gridCol w:w="1566.5299162445458"/>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BSH Source Organism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b w:val="1"/>
                <w:color w:val="1b1c1d"/>
                <w:rtl w:val="0"/>
              </w:rPr>
              <w:t xml:space="preserve">Observed Substrate Preference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Key Active Site Residues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Steroid Recognition Residues (SDRs)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Oligomeric State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i w:val="1"/>
                <w:color w:val="1b1c1d"/>
                <w:rtl w:val="0"/>
              </w:rPr>
              <w:t xml:space="preserve">Bifidobacterium longum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Slight preference for Glycine conjugates (GCA)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Cys1/Cys2 (Nucleophile), Asn82 (Oxyanion)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Not specified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Tetramer </w:t>
            </w:r>
            <w:r w:rsidDel="00000000" w:rsidR="00000000" w:rsidRPr="00000000">
              <w:rPr>
                <w:color w:val="444746"/>
                <w:sz w:val="40"/>
                <w:szCs w:val="40"/>
                <w:highlight w:val="white"/>
                <w:vertAlign w:val="superscript"/>
                <w:rtl w:val="0"/>
              </w:rPr>
              <w:t xml:space="preserve">13</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i w:val="1"/>
                <w:color w:val="1b1c1d"/>
                <w:rtl w:val="0"/>
              </w:rPr>
              <w:t xml:space="preserve">Lactobacillus gasseri</w:t>
            </w:r>
            <w:r w:rsidDel="00000000" w:rsidR="00000000" w:rsidRPr="00000000">
              <w:rPr>
                <w:color w:val="1b1c1d"/>
                <w:rtl w:val="0"/>
              </w:rPr>
              <w:t xml:space="preserve"> (LgBSH)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Greater hydrolysis toward Glyco-conjugates (GCA, GDCA)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Cys2 (Nucleophile)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Position 68, Asn12, Ile8, Leu6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Dimer </w:t>
            </w:r>
            <w:r w:rsidDel="00000000" w:rsidR="00000000" w:rsidRPr="00000000">
              <w:rPr>
                <w:color w:val="444746"/>
                <w:sz w:val="40"/>
                <w:szCs w:val="40"/>
                <w:highlight w:val="white"/>
                <w:vertAlign w:val="superscript"/>
                <w:rtl w:val="0"/>
              </w:rPr>
              <w:t xml:space="preserve">19</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i w:val="1"/>
                <w:color w:val="1b1c1d"/>
                <w:rtl w:val="0"/>
              </w:rPr>
              <w:t xml:space="preserve">Clostridium perfringens</w:t>
            </w:r>
            <w:r w:rsidDel="00000000" w:rsidR="00000000" w:rsidRPr="00000000">
              <w:rPr>
                <w:color w:val="1b1c1d"/>
                <w:rtl w:val="0"/>
              </w:rPr>
              <w:t xml:space="preserve"> (CpBSH)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Broad/Variable specificity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Cys2, Asp21, Asn82, Asn173, Arg226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Met20, Phe26, Phe61, Ile137 (Hydrophobic pocket)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Dimer </w:t>
            </w:r>
            <w:r w:rsidDel="00000000" w:rsidR="00000000" w:rsidRPr="00000000">
              <w:rPr>
                <w:color w:val="444746"/>
                <w:sz w:val="40"/>
                <w:szCs w:val="40"/>
                <w:highlight w:val="white"/>
                <w:vertAlign w:val="superscript"/>
                <w:rtl w:val="0"/>
              </w:rPr>
              <w:t xml:space="preserve">22</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i w:val="1"/>
                <w:color w:val="1b1c1d"/>
                <w:rtl w:val="0"/>
              </w:rPr>
              <w:t xml:space="preserve">Bacteroides thetaiotaomicron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Preference for Taurine-conjugates (TUDCA) </w:t>
            </w:r>
            <w:r w:rsidDel="00000000" w:rsidR="00000000" w:rsidRPr="00000000">
              <w:rPr>
                <w:color w:val="444746"/>
                <w:sz w:val="40"/>
                <w:szCs w:val="40"/>
                <w:highlight w:val="white"/>
                <w:vertAlign w:val="superscript"/>
                <w:rtl w:val="0"/>
              </w:rPr>
              <w:t xml:space="preserve">22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Cys2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motif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Dimer </w:t>
            </w:r>
            <w:r w:rsidDel="00000000" w:rsidR="00000000" w:rsidRPr="00000000">
              <w:rPr>
                <w:color w:val="444746"/>
                <w:sz w:val="40"/>
                <w:szCs w:val="40"/>
                <w:highlight w:val="white"/>
                <w:vertAlign w:val="superscript"/>
                <w:rtl w:val="0"/>
              </w:rPr>
              <w:t xml:space="preserve">27</w:t>
            </w:r>
          </w:p>
        </w:tc>
      </w:tr>
    </w:tbl>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fy1mef1h3g9" w:id="7"/>
      <w:bookmarkEnd w:id="7"/>
      <w:r w:rsidDel="00000000" w:rsidR="00000000" w:rsidRPr="00000000">
        <w:rPr>
          <w:b w:val="1"/>
          <w:color w:val="1b1c1d"/>
          <w:sz w:val="26"/>
          <w:szCs w:val="26"/>
          <w:rtl w:val="0"/>
        </w:rPr>
        <w:t xml:space="preserve">II.C. Physiological and Pathological Roles of Steroid Deconjugation in the Host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consequences of BSH activity extend far beyond the bacterial cell, critically modulating host physiology by altering the composition and signaling capacity of the bile acid pool.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initial impact is on lipid digestion. Conjugated bile acids are highly amphipathic, making them efficient biological detergents necessary for emulsifying dietary fats and cholesterol and facilitating their absorption into the bloodstream through micelle formation.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BSH-mediated deconjugation transforms these efficient detergents into less soluble, unconjugated bile acids.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reduction in solubility and amphipathicity disrupts micelle formation and subsequent lipid and cholesterol absorption in the small intestine.</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This disruption is a key mechanism explaining why elevated BSH activity can lead to lipid malabsorption, reduced fat mass, and weight loss in the host.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observation provides the mechanistic basis for the inverse correlation between BSH activity and the growth-promoting effects of antibiotics used in food animals.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profound systemic effect of BSH activity is its ability to modulate host steroid signaling pathways. Unconjugated and secondary bile acids produced downstream of BSH are potent signaling ligands for host nuclear receptors, primarily the </w:t>
      </w:r>
      <w:r w:rsidDel="00000000" w:rsidR="00000000" w:rsidRPr="00000000">
        <w:rPr>
          <w:b w:val="1"/>
          <w:color w:val="1b1c1d"/>
          <w:rtl w:val="0"/>
        </w:rPr>
        <w:t xml:space="preserve">Farnesoid X Receptor (FXR)</w:t>
      </w:r>
      <w:r w:rsidDel="00000000" w:rsidR="00000000" w:rsidRPr="00000000">
        <w:rPr>
          <w:color w:val="1b1c1d"/>
          <w:rtl w:val="0"/>
        </w:rPr>
        <w:t xml:space="preserve">, and the membrane receptor, </w:t>
      </w:r>
      <w:r w:rsidDel="00000000" w:rsidR="00000000" w:rsidRPr="00000000">
        <w:rPr>
          <w:b w:val="1"/>
          <w:color w:val="1b1c1d"/>
          <w:rtl w:val="0"/>
        </w:rPr>
        <w:t xml:space="preserve">Takeda G protein-coupled receptor 5 (TGR5)</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These receptors are metabolic integrators that regulate lipid, glucose, and energy metabolism.</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By changing the BA pool signature—shifting it towards UCBAs, which have different receptor affinities than conjugated BAs </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—microbial BSH activity acts as a crucial endocrine switch.</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Regarding cholesterol homeostasis, elevated BSH activity has been linked to significant cholesterol-lowering effects.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mechanism is thought to involve the alteration of FXR signaling, as reduced FXR activity promotes the downregulation of the small heterodimer partner (SHP).</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Consequently, this regulatory cascade leads to elevated Liver X Receptor (LXR) expression, which increases the expression of hepatic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facilitating cholesterol excretion into the bile.</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This process ultimately reduces circulating serum cholesterol (TC, LDL-C, and HDL-C) and liver triglyceride levels.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metabolic shift induced by BSH is also relevant in disease states. Inhibition of gut bacterial BSH has been shown to prevent the breakdown of conjugated BAs, thereby mitigating the development of intestinal permeability and liver steatosis in models of early non-alcoholic steatohepatitis (NASH), now often referred to as Metabolic dysfunction-associated steatohepatitis (MASH).</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Furthermore, BSH activity is linked to intestinal immunity and inflammation, as BSH-derived UCBAs modulate intestinal effectors such as antimicrobial peptide </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dendritic cell differentiation.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alteration of the conjugated-to-unconjugated BA ratio by BSH effectively transforms these molecules from simple digestive aids into true steroid signaling ligands. This microbial enzymatic step is therefore a pivotal regulatory node in the gut-liver axis, governing systemic metabolic processes, adiposity, and epithelial homeostasis.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nh494bjitgv" w:id="8"/>
      <w:bookmarkEnd w:id="8"/>
      <w:r w:rsidDel="00000000" w:rsidR="00000000" w:rsidRPr="00000000">
        <w:rPr>
          <w:b w:val="1"/>
          <w:color w:val="1b1c1d"/>
          <w:sz w:val="34"/>
          <w:szCs w:val="34"/>
          <w:rtl w:val="0"/>
        </w:rPr>
        <w:t xml:space="preserve">III. Cross-Cutting Overview and Therapeutic Potential</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j48a1gd0iuw" w:id="9"/>
      <w:bookmarkEnd w:id="9"/>
      <w:r w:rsidDel="00000000" w:rsidR="00000000" w:rsidRPr="00000000">
        <w:rPr>
          <w:b w:val="1"/>
          <w:color w:val="1b1c1d"/>
          <w:sz w:val="26"/>
          <w:szCs w:val="26"/>
          <w:rtl w:val="0"/>
        </w:rPr>
        <w:t xml:space="preserve">III.A. Phylogenetic Context and Evolutionary Divergence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BSH activity is not restricted to a single taxonomic group but represents a widely distributed, functionally conserved adaptation found across major bacterial phyla, including Firmicutes, Bacteroidetes, and Actinobacteria, and even in certain Archaea within the gut microbiome.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Phylogenetic analysis suggests that the intense selective pressure imposed by host conjugated bile acids has driven the evolution of the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family of proteins specifically toward BSH activity in gut-associated species.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profound evolutionary connection exists between BSH and </w:t>
      </w:r>
      <w:r w:rsidDel="00000000" w:rsidR="00000000" w:rsidRPr="00000000">
        <w:rPr>
          <w:b w:val="1"/>
          <w:color w:val="1b1c1d"/>
          <w:rtl w:val="0"/>
        </w:rPr>
        <w:t xml:space="preserve">Penicillin V Acylase (PVA)</w:t>
      </w:r>
      <w:r w:rsidDel="00000000" w:rsidR="00000000" w:rsidRPr="00000000">
        <w:rPr>
          <w:color w:val="1b1c1d"/>
          <w:rtl w:val="0"/>
        </w:rPr>
        <w:t xml:space="preserve"> (EC 3.5.1.11). Both BSH and PVA are classified within the Choloylglycine Hydrolase (CGH) group of the Ntn-hydrolase superfamily and exhibit high sequence similarity.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Despite this homology, their preferred substrates are chemically disparate: BSH cleaves the amide bond of a steroid derivative, while PVA cleaves the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-lactam ring derivative (Penicillin V).</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similarity indicates a shared evolutionary history and common mechanism for catalysis and substrate binding.</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ability of BSH to sometimes exhibit weak activity toward penicillin V (and vice versa) </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highlights the structural versatility of the core Ntn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-scaffold. The functional divergence—specialization for either the bulky, hydrophobic steroid core or the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-lactam structure—is attributed to subtle, localized changes in the Substrate-Preference Determining Residues (SDRs) that define the binding pocket geometry.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structural adaptability allows the conserved enzymatic core to be repurposed for entirely different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-acyl compounds.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k2fk6sjcsxy" w:id="10"/>
      <w:bookmarkEnd w:id="10"/>
      <w:r w:rsidDel="00000000" w:rsidR="00000000" w:rsidRPr="00000000">
        <w:rPr>
          <w:b w:val="1"/>
          <w:color w:val="1b1c1d"/>
          <w:sz w:val="26"/>
          <w:szCs w:val="26"/>
          <w:rtl w:val="0"/>
        </w:rPr>
        <w:t xml:space="preserve">III.B. Non-Canonical Ligand Interactions and Extended Steroid Metabolism</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modification of the BA pool by BSH has cascading effects that suggest broader interactions with the host steroidome. While BSH is primarily an amidase for BAs, the resulting change in the chemical balance of the enterohepatic circulation influences systems regulated by other steroid hormones. For instance, the impact of BA deconjugation on micelle formation and subsequent lipid absorption may contribute to sex-specific alterations in lipid metabolism, suggesting a potential link to </w:t>
      </w:r>
      <w:r w:rsidDel="00000000" w:rsidR="00000000" w:rsidRPr="00000000">
        <w:rPr>
          <w:b w:val="1"/>
          <w:color w:val="1b1c1d"/>
          <w:rtl w:val="0"/>
        </w:rPr>
        <w:t xml:space="preserve">estrogen and androgen signaling</w:t>
      </w:r>
      <w:r w:rsidDel="00000000" w:rsidR="00000000" w:rsidRPr="00000000">
        <w:rPr>
          <w:color w:val="1b1c1d"/>
          <w:rtl w:val="0"/>
        </w:rPr>
        <w:t xml:space="preserve"> pathways.</w:t>
      </w:r>
      <w:r w:rsidDel="00000000" w:rsidR="00000000" w:rsidRPr="00000000">
        <w:rPr>
          <w:color w:val="444746"/>
          <w:sz w:val="40"/>
          <w:szCs w:val="40"/>
          <w:highlight w:val="white"/>
          <w:vertAlign w:val="superscript"/>
          <w:rtl w:val="0"/>
        </w:rPr>
        <w:t xml:space="preserve">40</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gut microbiota, which harbors BSH activity, is collectively involved in systemic steroid metabolism. Microbial modification has been shown to impact circulating levels of therapeutic steroids, such as </w:t>
      </w:r>
      <w:r w:rsidDel="00000000" w:rsidR="00000000" w:rsidRPr="00000000">
        <w:rPr>
          <w:b w:val="1"/>
          <w:color w:val="1b1c1d"/>
          <w:rtl w:val="0"/>
        </w:rPr>
        <w:t xml:space="preserve">glucocorticoids</w:t>
      </w:r>
      <w:r w:rsidDel="00000000" w:rsidR="00000000" w:rsidRPr="00000000">
        <w:rPr>
          <w:color w:val="1b1c1d"/>
          <w:rtl w:val="0"/>
        </w:rPr>
        <w:t xml:space="preserve"> (e.g., prednisolone), by reducing their serum concentration.</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While this broad metabolic shift is a community-level function, the altered BA profile resulting from BSH activity likely influences the expression or activity of host nuclear receptors (such as PXR or CAR) that are also involved in metabolizing other steroid hormones.</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central role in metabolism positions BSH as an extremely attractive therapeutic target for intervention strategies against hypercholesterolemia, obesity, and metabolic syndrome.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Rational drug design of BSH inhibitors is heavily informed by structural data. Inhibitors utilize the bile acid steroid core, often chenodeoxycholic acid, tethered to electrophilic warheads (such as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-FMK) designed to covalently target the catalytic Cys2 nucleophile.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Alternatively, BSH-active bacteria are utilized as probiotics, deliberately selected based on their specific substrate preferences to modulate the BA pool and maximize desired effects, such as cholesterol reduction or immune modulation.</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The ability to specifically enhance or inhibit BSH activity offers a targeted means of manipulating the entire steroid signaling axis communicated through the gut-liver-axis.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BSH-Mediated Steroid Signaling Cascade and Host Outcomes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4.1836953160314"/>
        <w:gridCol w:w="1990.520731736328"/>
        <w:gridCol w:w="1608.7770297594977"/>
        <w:gridCol w:w="1813.2825843899423"/>
        <w:gridCol w:w="1758.7477698218236"/>
        <w:tblGridChange w:id="0">
          <w:tblGrid>
            <w:gridCol w:w="1854.1836953160314"/>
            <w:gridCol w:w="1990.520731736328"/>
            <w:gridCol w:w="1608.7770297594977"/>
            <w:gridCol w:w="1813.2825843899423"/>
            <w:gridCol w:w="1758.7477698218236"/>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BSH 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Resultant Ligands (Steroids)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Host Receptor Modulated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Effect on Host Pathway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Physiological Outcome</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Deconjugation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Unconjugated BAs (UCBAs: CA, CDCA, DCA, LCA)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FXR (Nuclear Receptor) </w:t>
            </w:r>
            <w:r w:rsidDel="00000000" w:rsidR="00000000" w:rsidRPr="00000000">
              <w:rPr>
                <w:color w:val="444746"/>
                <w:sz w:val="40"/>
                <w:szCs w:val="40"/>
                <w:highlight w:val="white"/>
                <w:vertAlign w:val="superscript"/>
                <w:rtl w:val="0"/>
              </w:rPr>
              <w:t xml:space="preserve">31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Reduced FXR activity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SHP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Weight gain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Serum Cholesterol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(TC, LDL-C) </w:t>
            </w:r>
            <w:r w:rsidDel="00000000" w:rsidR="00000000" w:rsidRPr="00000000">
              <w:rPr>
                <w:color w:val="444746"/>
                <w:sz w:val="40"/>
                <w:szCs w:val="40"/>
                <w:highlight w:val="white"/>
                <w:vertAlign w:val="superscript"/>
                <w:rtl w:val="0"/>
              </w:rPr>
              <w:t xml:space="preserve">4</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Deconjugation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UCBAs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LXR (Nuclear Receptor) </w:t>
            </w:r>
            <w:r w:rsidDel="00000000" w:rsidR="00000000" w:rsidRPr="00000000">
              <w:rPr>
                <w:color w:val="444746"/>
                <w:sz w:val="40"/>
                <w:szCs w:val="40"/>
                <w:highlight w:val="white"/>
                <w:vertAlign w:val="superscript"/>
                <w:rtl w:val="0"/>
              </w:rPr>
              <w:t xml:space="preserve">34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LXR activation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ABCG5/8 expression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Enhanced cholesterol excretion, systemic cholesterol lowering </w:t>
            </w:r>
            <w:r w:rsidDel="00000000" w:rsidR="00000000" w:rsidRPr="00000000">
              <w:rPr>
                <w:color w:val="444746"/>
                <w:sz w:val="40"/>
                <w:szCs w:val="40"/>
                <w:highlight w:val="white"/>
                <w:vertAlign w:val="superscript"/>
                <w:rtl w:val="0"/>
              </w:rPr>
              <w:t xml:space="preserve">29</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Deconjugation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26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UCBAs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TGR5 (Membrane Receptor) </w:t>
            </w:r>
            <w:r w:rsidDel="00000000" w:rsidR="00000000" w:rsidRPr="00000000">
              <w:rPr>
                <w:color w:val="444746"/>
                <w:sz w:val="40"/>
                <w:szCs w:val="40"/>
                <w:highlight w:val="white"/>
                <w:vertAlign w:val="superscript"/>
                <w:rtl w:val="0"/>
              </w:rPr>
              <w:t xml:space="preserve">31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Energy expenditure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potential anti-inflammatory effects </w:t>
            </w:r>
            <w:r w:rsidDel="00000000" w:rsidR="00000000" w:rsidRPr="00000000">
              <w:rPr>
                <w:color w:val="444746"/>
                <w:sz w:val="40"/>
                <w:szCs w:val="40"/>
                <w:highlight w:val="white"/>
                <w:vertAlign w:val="superscript"/>
                <w:rtl w:val="0"/>
              </w:rPr>
              <w:t xml:space="preserve">43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Modulation of circadian rhythm and immune homeostasis </w:t>
            </w:r>
            <w:r w:rsidDel="00000000" w:rsidR="00000000" w:rsidRPr="00000000">
              <w:rPr>
                <w:color w:val="444746"/>
                <w:sz w:val="40"/>
                <w:szCs w:val="40"/>
                <w:highlight w:val="white"/>
                <w:vertAlign w:val="superscript"/>
                <w:rtl w:val="0"/>
              </w:rPr>
              <w:t xml:space="preserve">2</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Dual N-Acyltransferase Function </w:t>
            </w:r>
            <w:r w:rsidDel="00000000" w:rsidR="00000000" w:rsidRPr="00000000">
              <w:rPr>
                <w:color w:val="444746"/>
                <w:sz w:val="40"/>
                <w:szCs w:val="40"/>
                <w:highlight w:val="white"/>
                <w:vertAlign w:val="superscript"/>
                <w:rtl w:val="0"/>
              </w:rPr>
              <w:t xml:space="preserve">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Bacterial Bile Acid Amidates (BBAAs/MCBAs)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Unknown Human Ligand-Activated Transcription Factors </w:t>
            </w:r>
            <w:r w:rsidDel="00000000" w:rsidR="00000000" w:rsidRPr="00000000">
              <w:rPr>
                <w:color w:val="444746"/>
                <w:sz w:val="40"/>
                <w:szCs w:val="40"/>
                <w:highlight w:val="white"/>
                <w:vertAlign w:val="superscript"/>
                <w:rtl w:val="0"/>
              </w:rPr>
              <w:t xml:space="preserve">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Facilitates communication between microbiota and host </w:t>
            </w:r>
            <w:r w:rsidDel="00000000" w:rsidR="00000000" w:rsidRPr="00000000">
              <w:rPr>
                <w:color w:val="444746"/>
                <w:sz w:val="40"/>
                <w:szCs w:val="40"/>
                <w:highlight w:val="white"/>
                <w:vertAlign w:val="superscript"/>
                <w:rtl w:val="0"/>
              </w:rPr>
              <w:t xml:space="preserve">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Potentially novel metabolic or immune signaling </w:t>
            </w:r>
            <w:r w:rsidDel="00000000" w:rsidR="00000000" w:rsidRPr="00000000">
              <w:rPr>
                <w:color w:val="444746"/>
                <w:sz w:val="40"/>
                <w:szCs w:val="40"/>
                <w:highlight w:val="white"/>
                <w:vertAlign w:val="superscript"/>
                <w:rtl w:val="0"/>
              </w:rPr>
              <w:t xml:space="preserve">21</w:t>
            </w:r>
          </w:p>
        </w:tc>
      </w:tr>
    </w:tbl>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4w3z07cr4uc" w:id="11"/>
      <w:bookmarkEnd w:id="11"/>
      <w:r w:rsidDel="00000000" w:rsidR="00000000" w:rsidRPr="00000000">
        <w:rPr>
          <w:b w:val="1"/>
          <w:color w:val="1b1c1d"/>
          <w:sz w:val="26"/>
          <w:szCs w:val="26"/>
          <w:rtl w:val="0"/>
        </w:rPr>
        <w:t xml:space="preserve">III.C. Conclusion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Conjugated Bile Acid Hydrolase cluster, despite functional divergence, is defined by the highly conserved structure and cysteine-dependent mechanism of the Ntn-hydrolase superfamily. BSH enzymes are primary metabolic gatekeepers in the gut, executing the essential task of deconjugating bile acids, which directly affects host lipid absorption and cholesterol homeostasis. The resulting shift in the BA pool from conjugated to unconjugated steroids represents a fundamental regulatory signal that controls major host metabolic pathways via the FXR and TGR5 receptors.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demonstrated links between BSH activity and systemic outcomes—including weight gain, liver steatosis, and the potential influence on glucocorticoid and sex hormone metabolism—establish BSH as a central regulatory mechanism of the host steroidome. Future investigation must focus on a detailed resolution of the strain-specific SDRs to enable the development of highly selective BSH modulators. Such precision targeting is essential for realizing the therapeutic potential of BSH inhibition in treating metabolic disorders or harnessing BSH-active probiotics to improve cardiovascular health.</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