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a1k1vqgl0ilm" w:id="0"/>
      <w:bookmarkEnd w:id="0"/>
      <w:r w:rsidDel="00000000" w:rsidR="00000000" w:rsidRPr="00000000">
        <w:rPr>
          <w:b w:val="1"/>
          <w:color w:val="1b1c1d"/>
          <w:sz w:val="46"/>
          <w:szCs w:val="46"/>
          <w:rtl w:val="0"/>
        </w:rPr>
        <w:t xml:space="preserve">Comprehensive Report on the Human ATP-Binding Cassette Transporter ABCG2: Structure, Function, and Clinical Significance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la1m1ah77zy"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ATP-binding cassette sub-family G member 2 (ABCG2) is a pleiotropic, polyspecific efflux transporter with a profound impact on human physiology, pharmacology, and pathology. This report consolidates the extensive body of research on ABCG2, establishing it as a single gene product known by a variety of names that reflect its diverse functions, including Breast Cancer Resistance Protein (BCRP), Placenta-specific ATP-binding cassette transporter (ABCP), and Urate Exporter. As a member of the ABC transporter superfamily, ABCG2 utilizes the energy of ATP hydrolysis to actively extrude a vast array of structurally and functionally unrelated compounds from cells.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Structurally, ABCG2 is a "half-transporter" with a unique N-terminal nucleotide-binding domain (NBD) followed by a C-terminal membrane-spanning domain (MSD). To achieve function, these monomers assemble into a sophisticated oligomeric machine, predominantly a homotetramer, which forms the translocation pore and substrate-binding sites. High-resolution cryo-electron microscopy has revealed a large central cavity where substrates, including steroids, are recognized and bound via key aromatic residues before being expelled from the cell.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Functionally, ABCG2 serves a dual role as a "gatekeeper" at critical biological barriers and a key homeostatic regulator. It is highly expressed at the apical membrane of epithelial and endothelial cells in the placenta, intestine, liver, kidney, and blood-brain barrier, where it limits the absorption and tissue penetration of xenobiotics while facilitating their elimination. This protective function extends to primitive stem cell populations, where it is a key marker of the toxin-extruding "side population" phenotype. Concurrently, ABCG2 is integral to endogenous homeostasis, acting as a high-capacity transporter for uric acid and sulfated steroids.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with steroids is a central and multifaceted aspect of ABCG2 biology. It actively transports endogenous steroid sulfates, such as estrone-3-sulfate (E1S) and dehydroepiandrosterone sulfate (DHEAS), playing a critical role in regulating the local hormonal milieu, particularly at the maternal-fetal interface. Furthermore, the expression and activity of ABCG2 are themselves regulated by steroid hormones like estrogen and progesterone in a highly tissue-specific manner, creating complex feedback loops that integrate xenobiotic defense with endocrine signaling.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significance of ABCG2 is substantial and dichotomous. Its overexpression in cancer cells is a primary mechanism of multidrug resistance (MDR), leading to the failure of chemotherapy by actively pumping out anticancer agents. Conversely, its underactivity, often due to common genetic polymorphisms, is a major monogenic cause of hyperuricemia and gout, resulting from impaired uric acid excretion. These dual clinical implications underscore the critical importance of maintaining ABCG2 activity within a precise physiological range.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31l0xcw0zpq" w:id="2"/>
      <w:bookmarkEnd w:id="2"/>
      <w:r w:rsidDel="00000000" w:rsidR="00000000" w:rsidRPr="00000000">
        <w:rPr>
          <w:b w:val="1"/>
          <w:color w:val="1b1c1d"/>
          <w:sz w:val="34"/>
          <w:szCs w:val="34"/>
          <w:rtl w:val="0"/>
        </w:rPr>
        <w:t xml:space="preserve">Protein Identification and Classification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yn8s4kkmkbb" w:id="3"/>
      <w:bookmarkEnd w:id="3"/>
      <w:r w:rsidDel="00000000" w:rsidR="00000000" w:rsidRPr="00000000">
        <w:rPr>
          <w:b w:val="1"/>
          <w:color w:val="1b1c1d"/>
          <w:sz w:val="26"/>
          <w:szCs w:val="26"/>
          <w:rtl w:val="0"/>
        </w:rPr>
        <w:t xml:space="preserve">Nomenclature, Aliases, and Identifiers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 group central to this report, annotated as steroid-binding proteins, corresponds to a single human gene product: ATP-binding cassette sub-family G member 2. The multiplicity of names and identifiers associated with this protein is not a reflection of distinct entities but rather a consequence of its independent discovery and characterization by different research groups in disparate biological contexts. This history of nomenclature itself illustrates the protein's exceptionally broad functional significance across oncology, pharmacology, placental physiology, and metabolic disease.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official gene symbol is </w:t>
      </w:r>
      <w:r w:rsidDel="00000000" w:rsidR="00000000" w:rsidRPr="00000000">
        <w:rPr>
          <w:i w:val="1"/>
          <w:color w:val="1b1c1d"/>
          <w:rtl w:val="0"/>
        </w:rPr>
        <w:t xml:space="preserve">ABCG2</w:t>
      </w:r>
      <w:r w:rsidDel="00000000" w:rsidR="00000000" w:rsidRPr="00000000">
        <w:rPr>
          <w:color w:val="1b1c1d"/>
          <w:rtl w:val="0"/>
        </w:rPr>
        <w:t xml:space="preserve">, with the full name ATP binding cassette subfamily G member 2 (JR blood group).</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 was first identified in the late 1990s by three independent groups. Ross's group cloned it from a drug-selected human breast cancer cell line (MCF-7/AdVp3000) and named it </w:t>
      </w:r>
      <w:r w:rsidDel="00000000" w:rsidR="00000000" w:rsidRPr="00000000">
        <w:rPr>
          <w:b w:val="1"/>
          <w:color w:val="1b1c1d"/>
          <w:rtl w:val="0"/>
        </w:rPr>
        <w:t xml:space="preserve">Breast Cancer Resistance Protein (BCRP)</w:t>
      </w:r>
      <w:r w:rsidDel="00000000" w:rsidR="00000000" w:rsidRPr="00000000">
        <w:rPr>
          <w:color w:val="1b1c1d"/>
          <w:rtl w:val="0"/>
        </w:rPr>
        <w:t xml:space="preserve"> due to its role in conferring multidrug resistance.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Simultaneously, Dean's group identified it from a human placenta cDNA library, noting its exceptionally high expression there and naming it </w:t>
      </w:r>
      <w:r w:rsidDel="00000000" w:rsidR="00000000" w:rsidRPr="00000000">
        <w:rPr>
          <w:b w:val="1"/>
          <w:color w:val="1b1c1d"/>
          <w:rtl w:val="0"/>
        </w:rPr>
        <w:t xml:space="preserve">Placenta-specific ATP-binding cassette transporter (ABCP)</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 third group isolated it from a mitoxantrone-selected colon carcinoma cell line and termed it </w:t>
      </w:r>
      <w:r w:rsidDel="00000000" w:rsidR="00000000" w:rsidRPr="00000000">
        <w:rPr>
          <w:b w:val="1"/>
          <w:color w:val="1b1c1d"/>
          <w:rtl w:val="0"/>
        </w:rPr>
        <w:t xml:space="preserve">Mitoxantrone Resistance-associated protein (MXR)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Later, genome-wide association studies definitively linked genetic variants in the </w:t>
      </w:r>
      <w:r w:rsidDel="00000000" w:rsidR="00000000" w:rsidRPr="00000000">
        <w:rPr>
          <w:i w:val="1"/>
          <w:color w:val="1b1c1d"/>
          <w:rtl w:val="0"/>
        </w:rPr>
        <w:t xml:space="preserve">ABCG2</w:t>
      </w:r>
      <w:r w:rsidDel="00000000" w:rsidR="00000000" w:rsidRPr="00000000">
        <w:rPr>
          <w:color w:val="1b1c1d"/>
          <w:rtl w:val="0"/>
        </w:rPr>
        <w:t xml:space="preserve"> gene to elevated serum uric acid levels and gout, leading to the functional designation </w:t>
      </w:r>
      <w:r w:rsidDel="00000000" w:rsidR="00000000" w:rsidRPr="00000000">
        <w:rPr>
          <w:b w:val="1"/>
          <w:color w:val="1b1c1d"/>
          <w:rtl w:val="0"/>
        </w:rPr>
        <w:t xml:space="preserve">Urate Exporter</w:t>
      </w:r>
      <w:r w:rsidDel="00000000" w:rsidR="00000000" w:rsidRPr="00000000">
        <w:rPr>
          <w:color w:val="1b1c1d"/>
          <w:rtl w:val="0"/>
        </w:rPr>
        <w:t xml:space="preserve"> or </w:t>
      </w:r>
      <w:r w:rsidDel="00000000" w:rsidR="00000000" w:rsidRPr="00000000">
        <w:rPr>
          <w:b w:val="1"/>
          <w:color w:val="1b1c1d"/>
          <w:rtl w:val="0"/>
        </w:rPr>
        <w:t xml:space="preserve">Urate Anion Transporter QL1 (UAQTL1)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It is also recognized as the antigen for the Junior (Jr(a)) blood group system and is designated as the cluster of differentiation antigen </w:t>
      </w:r>
      <w:r w:rsidDel="00000000" w:rsidR="00000000" w:rsidRPr="00000000">
        <w:rPr>
          <w:b w:val="1"/>
          <w:color w:val="1b1c1d"/>
          <w:rtl w:val="0"/>
        </w:rPr>
        <w:t xml:space="preserve">CD338</w:t>
      </w:r>
      <w:r w:rsidDel="00000000" w:rsidR="00000000" w:rsidRPr="00000000">
        <w:rPr>
          <w:color w:val="1b1c1d"/>
          <w:rtl w:val="0"/>
        </w:rPr>
        <w:t xml:space="preserve"> (or CDw338).</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canonical, fully reviewed protein sequence in the UniProt database is assigned the primary accession number </w:t>
      </w:r>
      <w:r w:rsidDel="00000000" w:rsidR="00000000" w:rsidRPr="00000000">
        <w:rPr>
          <w:b w:val="1"/>
          <w:color w:val="1b1c1d"/>
          <w:rtl w:val="0"/>
        </w:rPr>
        <w:t xml:space="preserve">Q9UNQ0</w:t>
      </w:r>
      <w:r w:rsidDel="00000000" w:rsidR="00000000" w:rsidRPr="00000000">
        <w:rPr>
          <w:color w:val="1b1c1d"/>
          <w:rtl w:val="0"/>
        </w:rPr>
        <w:t xml:space="preserve">. This entry corresponds to a 655-amino acid protein with experimental evidence at the protein level and the highest annotation score.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Other accession numbers found in databases, such as Q8WZ76 (103 amino acids), F8S0F2 (112 amino acids), F8S0F6, and F8S0F7, represent unreviewed, computationally predicted, or fragmentary sequences and should not be considered representative of the full-length, functional protein.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Functionally, ABCG2 is classified as an enzyme with the EC number </w:t>
      </w:r>
      <w:r w:rsidDel="00000000" w:rsidR="00000000" w:rsidRPr="00000000">
        <w:rPr>
          <w:b w:val="1"/>
          <w:color w:val="1b1c1d"/>
          <w:rtl w:val="0"/>
        </w:rPr>
        <w:t xml:space="preserve">7.6.2.2</w:t>
      </w:r>
      <w:r w:rsidDel="00000000" w:rsidR="00000000" w:rsidRPr="00000000">
        <w:rPr>
          <w:color w:val="1b1c1d"/>
          <w:rtl w:val="0"/>
        </w:rPr>
        <w:t xml:space="preserve">, designating it as a xenobiotic-transporting ATPase.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A comprehensive list of its primary identifiers is provided in Table 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Identifiers and Aliases for Human ABCG2</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610"/>
        <w:gridCol w:w="2565"/>
        <w:gridCol w:w="1425"/>
        <w:tblGridChange w:id="0">
          <w:tblGrid>
            <w:gridCol w:w="2130"/>
            <w:gridCol w:w="2610"/>
            <w:gridCol w:w="2565"/>
            <w:gridCol w:w="142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Category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Identifier/Name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Description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Source(s)</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Official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ATP binding cassette subfamily G member 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Official full name from HGNC.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444746"/>
                <w:sz w:val="40"/>
                <w:szCs w:val="40"/>
                <w:highlight w:val="white"/>
                <w:vertAlign w:val="superscript"/>
                <w:rtl w:val="0"/>
              </w:rPr>
              <w:t xml:space="preserve">1</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Gene Symbol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i w:val="1"/>
                <w:color w:val="1b1c1d"/>
                <w:rtl w:val="0"/>
              </w:rPr>
              <w:t xml:space="preserve">ABCG2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Official gene symbol.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Primary Aliases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Breast Cancer Resistance Protein (BCRP/BCRP1)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From its discovery in drug-resistant breast cancer cells.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Placenta-specific ATP-binding cassette transporter (ABCP)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From its high expression in the placenta.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444746"/>
                <w:sz w:val="40"/>
                <w:szCs w:val="40"/>
                <w:highlight w:val="white"/>
                <w:vertAlign w:val="superscript"/>
                <w:rtl w:val="0"/>
              </w:rPr>
              <w:t xml:space="preserve">4</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Mitoxantrone Resistance-associated protein (MXR/MXR1)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From its role in resistance to the drug mitoxantrone.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Urate Exporter / UAQTL1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From its function in uric acid transport and association with gout.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444746"/>
                <w:sz w:val="40"/>
                <w:szCs w:val="40"/>
                <w:highlight w:val="white"/>
                <w:vertAlign w:val="superscript"/>
                <w:rtl w:val="0"/>
              </w:rPr>
              <w:t xml:space="preserve">6</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CD338 / CDw338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Cluster of Differentiation antigen designation.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444746"/>
                <w:sz w:val="40"/>
                <w:szCs w:val="40"/>
                <w:highlight w:val="white"/>
                <w:vertAlign w:val="superscript"/>
                <w:rtl w:val="0"/>
              </w:rPr>
              <w:t xml:space="preserve">7</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UniProt Accession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Q9UNQ0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Primary accession for the canonical, reviewed 655-amino acid protein.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444746"/>
                <w:sz w:val="40"/>
                <w:szCs w:val="40"/>
                <w:highlight w:val="white"/>
                <w:vertAlign w:val="superscript"/>
                <w:rtl w:val="0"/>
              </w:rPr>
              <w:t xml:space="preserve">11</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Q8WZ76, F8S0F2, F8S0F6, F8S0F7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Unreviewed, fragmentary, or transcript-level entries.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444746"/>
                <w:sz w:val="40"/>
                <w:szCs w:val="40"/>
                <w:highlight w:val="white"/>
                <w:vertAlign w:val="superscript"/>
                <w:rtl w:val="0"/>
              </w:rPr>
              <w:t xml:space="preserve">1</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Enzyme Commission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EC 7.6.2.2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Classifies the protein as a xenobiotic-transporting ATPase.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444746"/>
                <w:sz w:val="40"/>
                <w:szCs w:val="40"/>
                <w:highlight w:val="white"/>
                <w:vertAlign w:val="superscript"/>
                <w:rtl w:val="0"/>
              </w:rPr>
              <w:t xml:space="preserve">15</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Chromosomal 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Chromosome 4q22.1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Genomic location of the </w:t>
            </w:r>
            <w:r w:rsidDel="00000000" w:rsidR="00000000" w:rsidRPr="00000000">
              <w:rPr>
                <w:i w:val="1"/>
                <w:color w:val="1b1c1d"/>
                <w:rtl w:val="0"/>
              </w:rPr>
              <w:t xml:space="preserve">ABCG2</w:t>
            </w:r>
            <w:r w:rsidDel="00000000" w:rsidR="00000000" w:rsidRPr="00000000">
              <w:rPr>
                <w:color w:val="1b1c1d"/>
                <w:rtl w:val="0"/>
              </w:rPr>
              <w:t xml:space="preserve"> gene.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444746"/>
                <w:sz w:val="40"/>
                <w:szCs w:val="40"/>
                <w:highlight w:val="white"/>
                <w:vertAlign w:val="superscript"/>
                <w:rtl w:val="0"/>
              </w:rPr>
              <w:t xml:space="preserve">17</w:t>
            </w:r>
            <w:r w:rsidDel="00000000" w:rsidR="00000000" w:rsidRPr="00000000">
              <w:rPr>
                <w:rtl w:val="0"/>
              </w:rPr>
            </w:r>
          </w:p>
        </w:tc>
      </w:tr>
    </w:tbl>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d9kn59wk004" w:id="4"/>
      <w:bookmarkEnd w:id="4"/>
      <w:r w:rsidDel="00000000" w:rsidR="00000000" w:rsidRPr="00000000">
        <w:rPr>
          <w:b w:val="1"/>
          <w:color w:val="1b1c1d"/>
          <w:sz w:val="26"/>
          <w:szCs w:val="26"/>
          <w:rtl w:val="0"/>
        </w:rPr>
        <w:t xml:space="preserve">Classification within the ABC Transporter Superfamily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ABCG2 is a member of the ATP-binding cassette (ABC) transporter superfamily, one of the largest families of active transport proteins found across all kingdoms of life.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These transporters are defined by their conserved architecture, which includes domains that bind and hydrolyze ATP to power the movement of substrates across biological membranes.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In eukaryotes, ABC transporters are predominantly involved in efflux, pumping substances from the cytoplasm out of the cell or into intracellular organelles.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ABC superfamily is divided into seven distinct subfamilies (ABCA, ABCB, ABCC, ABCD, ABCE, ABCF, and ABCG) based on sequence homology, domain organization, and phylogenetic analysis.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ABCG2 is the second member of the ABCG subfamily, which is also known as the "White" subfamily, named after its founding member, the </w:t>
      </w:r>
      <w:r w:rsidDel="00000000" w:rsidR="00000000" w:rsidRPr="00000000">
        <w:rPr>
          <w:i w:val="1"/>
          <w:color w:val="1b1c1d"/>
          <w:rtl w:val="0"/>
        </w:rPr>
        <w:t xml:space="preserve">White</w:t>
      </w:r>
      <w:r w:rsidDel="00000000" w:rsidR="00000000" w:rsidRPr="00000000">
        <w:rPr>
          <w:color w:val="1b1c1d"/>
          <w:rtl w:val="0"/>
        </w:rPr>
        <w:t xml:space="preserve"> gene product in </w:t>
      </w:r>
      <w:r w:rsidDel="00000000" w:rsidR="00000000" w:rsidRPr="00000000">
        <w:rPr>
          <w:i w:val="1"/>
          <w:color w:val="1b1c1d"/>
          <w:rtl w:val="0"/>
        </w:rPr>
        <w:t xml:space="preserve">Drosophila melanogaster</w:t>
      </w:r>
      <w:r w:rsidDel="00000000" w:rsidR="00000000" w:rsidRPr="00000000">
        <w:rPr>
          <w:color w:val="1b1c1d"/>
          <w:rtl w:val="0"/>
        </w:rPr>
        <w:t xml:space="preserve">, which is involved in transporting eye pigment precursors.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classification is supported by sequence similarities in the highly conserved nucleotide-binding domain and a characteristic reverse domain topology compared to other ABC half-transporters.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9nmcin62ekj" w:id="5"/>
      <w:bookmarkEnd w:id="5"/>
      <w:r w:rsidDel="00000000" w:rsidR="00000000" w:rsidRPr="00000000">
        <w:rPr>
          <w:b w:val="1"/>
          <w:color w:val="1b1c1d"/>
          <w:sz w:val="34"/>
          <w:szCs w:val="34"/>
          <w:rtl w:val="0"/>
        </w:rPr>
        <w:t xml:space="preserve">Molecular Architecture and Structural Biology</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tgu5cmd7fr7" w:id="6"/>
      <w:bookmarkEnd w:id="6"/>
      <w:r w:rsidDel="00000000" w:rsidR="00000000" w:rsidRPr="00000000">
        <w:rPr>
          <w:b w:val="1"/>
          <w:color w:val="1b1c1d"/>
          <w:sz w:val="26"/>
          <w:szCs w:val="26"/>
          <w:rtl w:val="0"/>
        </w:rPr>
        <w:t xml:space="preserve">Domain Organization and Key Motifs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molecular architecture of ABCG2 is a defining feature that distinguishes it within the ABC superfamily. It is classified as a "half-transporter," meaning that a single 655-amino acid polypeptide chain contains one Nucleotide-Binding Domain (NBD) and one Membrane-Spanning Domain (MSD).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is in contrast to "full transporters," such as ABCB1 (P-glycoprotein), which are composed of two homologous halves, each containing an MSD and an NBD, fused into a single, larger polypeptide.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domain arrangement in ABCG2 is unique among human ABC half-transporters, featuring an N-terminal NBD followed by a C-terminal MSD (NBD-MSD topology).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hydrophilic NBD resides in the cytoplasm and is the engine of the transporter. It contains several highly conserved motifs essential for its function: the Walker A (P-loop) and Walker B motifs, which are critical for binding and coordinating ATP, and the ABC signature motif (or C-loop), which is the hallmark of the superfamily and is involved in coupling ATP hydrolysis to conformational changes in the MSD.</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hydrophobic MSD consists of six transmembrane (TM) helices (TM1-TM6) that anchor the protein in the plasma membrane and collectively form the substrate translocation pathway and the polyspecific drug-binding pocket.</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jcohlprkjqm" w:id="7"/>
      <w:bookmarkEnd w:id="7"/>
      <w:r w:rsidDel="00000000" w:rsidR="00000000" w:rsidRPr="00000000">
        <w:rPr>
          <w:b w:val="1"/>
          <w:color w:val="1b1c1d"/>
          <w:sz w:val="26"/>
          <w:szCs w:val="26"/>
          <w:rtl w:val="0"/>
        </w:rPr>
        <w:t xml:space="preserve">Quaternary Structure and Oligomerization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 a half-transporter, a single ABCG2 monomer is not functional. It must assemble into a larger oligomeric complex to form a complete, active transporter.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Initially, based on the requirement for two NBDs and two MSDs to form a canonical ABC transporter, it was hypothesized that ABCG2 functions as a homodimer.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model was supported by early experiments showing that ABCG2 migrates as a dimer on SDS-PAGE under non-reducing conditions, a state stabilized by intermolecular disulfide bonds.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a substantial body of subsequent biochemical evidence has demonstrated that the functional unit of ABCG2 in the native membrane is a higher-order oligomer. Studies using non-denaturing detergents in combination with gel filtration, sucrose density gradient sedimentation, and chemical cross-linking have consistently shown that ABCG2 exists predominantly as a homotetramer, with some evidence suggesting the possibility of even larger complexes, such as octamers or dodecamers, under certain conditions.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discrepancy between early and later findings likely stems from the harshness of detergents used in purification, which can disrupt these larger, but physiologically relevant, complexes. The prevailing model is that the fundamental building block is a dimer, but these dimers further assemble into a more stable and fully functional tetrameric complex within the lipid environment of the plasma membrane. This higher-order structure is not merely for stability but is integral to creating the complex, allosterically regulated machinery required for its broad substrate specificity and transport activity.</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6wa67tbvbzj" w:id="8"/>
      <w:bookmarkEnd w:id="8"/>
      <w:r w:rsidDel="00000000" w:rsidR="00000000" w:rsidRPr="00000000">
        <w:rPr>
          <w:b w:val="1"/>
          <w:color w:val="1b1c1d"/>
          <w:sz w:val="26"/>
          <w:szCs w:val="26"/>
          <w:rtl w:val="0"/>
        </w:rPr>
        <w:t xml:space="preserve">High-Resolution Structural Insights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advent of cryo-electron microscopy (cryo-EM) has revolutionized the understanding of ABCG2's structure and mechanism, providing near-atomic resolution snapshots of the transporter.</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These structures have primarily captured human ABCG2 in its inward-facing, substrate-receptive conformation.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this state, the dimeric unit of ABCG2 forms a V-shape, with the NBDs separated in the cytoplasm and the TMDs creating a large, hydrophobic central cavity that is accessible from both the cytoplasm and the inner leaflet of the plasma membrane.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cavity serves as the primary binding pocket for a wide range of substrates and inhibitors.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A critical feature revealed by these structures is the mechanism of substrate recognition. Flat, polycyclic, and generally hydrophobic substrates, including the steroid estrone-3-sulfate (E1S), are "clamped" within this pocket between the phenyl rings of two key phenylalanine residues (Phe439), with each monomer contributing one residue to this interaction.</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transport process is powered by the "ATP-switch" model, a mechanism common to ABC transporters. The cycle is initiated by substrate binding in the inward-facing state. This is followed by the binding of two ATP molecules at the NBD interface, which induces the dimerization of the NBDs. This dimerization drives a large-scale conformational change in the TMDs, causing them to reorient into an outward-facing conformation. This movement opens a pathway to the extracellular space, leading to the release of the bound substrate.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Subsequent ATP hydrolysis to ADP and inorganic phosphate, followed by their release, weakens the NBD dimer interface, allowing the transporter to reset to its initial, inward-facing conformation, ready for the next transport cycle.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Structural studies have also identified a "di-leucine valve" (Leu554/Leu555) within the TMDs, a hydrophobic gate that is proposed to control the movement of substrates from the central cavity toward the extracellular exit during the conformational transition.</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b3h37q0tt5n" w:id="9"/>
      <w:bookmarkEnd w:id="9"/>
      <w:r w:rsidDel="00000000" w:rsidR="00000000" w:rsidRPr="00000000">
        <w:rPr>
          <w:b w:val="1"/>
          <w:color w:val="1b1c1d"/>
          <w:sz w:val="34"/>
          <w:szCs w:val="34"/>
          <w:rtl w:val="0"/>
        </w:rPr>
        <w:t xml:space="preserve">Cellular and Tissue Localization</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9vqg9l8q8xa" w:id="10"/>
      <w:bookmarkEnd w:id="10"/>
      <w:r w:rsidDel="00000000" w:rsidR="00000000" w:rsidRPr="00000000">
        <w:rPr>
          <w:b w:val="1"/>
          <w:color w:val="1b1c1d"/>
          <w:sz w:val="26"/>
          <w:szCs w:val="26"/>
          <w:rtl w:val="0"/>
        </w:rPr>
        <w:t xml:space="preserve">Subcellular Distribution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precise subcellular localization of ABCG2 is fundamental to its physiological functions. The predominant and most functionally significant site of ABCG2 expression is the </w:t>
      </w:r>
      <w:r w:rsidDel="00000000" w:rsidR="00000000" w:rsidRPr="00000000">
        <w:rPr>
          <w:b w:val="1"/>
          <w:color w:val="1b1c1d"/>
          <w:rtl w:val="0"/>
        </w:rPr>
        <w:t xml:space="preserve">apical plasma membrane</w:t>
      </w:r>
      <w:r w:rsidDel="00000000" w:rsidR="00000000" w:rsidRPr="00000000">
        <w:rPr>
          <w:color w:val="1b1c1d"/>
          <w:rtl w:val="0"/>
        </w:rPr>
        <w:t xml:space="preserve"> of polarized cells.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In epithelial and endothelial cells that form barriers, this apical positioning is crucial for its role in vectorial transport, enabling it to pump substrates out of the cell and into an external compartment, such as the intestinal lumen, bile canaliculi, renal tubules, or back into the bloodstream at the blood-brain barrier.</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addition to the plasma membrane, evidence points to the presence of ABCG2 in other subcellular compartments. Several studies have reported its localization within the </w:t>
      </w:r>
      <w:r w:rsidDel="00000000" w:rsidR="00000000" w:rsidRPr="00000000">
        <w:rPr>
          <w:b w:val="1"/>
          <w:color w:val="1b1c1d"/>
          <w:rtl w:val="0"/>
        </w:rPr>
        <w:t xml:space="preserve">nucleoplasm</w:t>
      </w:r>
      <w:r w:rsidDel="00000000" w:rsidR="00000000" w:rsidRPr="00000000">
        <w:rPr>
          <w:color w:val="1b1c1d"/>
          <w:rtl w:val="0"/>
        </w:rPr>
        <w:t xml:space="preserve"> and on the membranes of </w:t>
      </w:r>
      <w:r w:rsidDel="00000000" w:rsidR="00000000" w:rsidRPr="00000000">
        <w:rPr>
          <w:b w:val="1"/>
          <w:color w:val="1b1c1d"/>
          <w:rtl w:val="0"/>
        </w:rPr>
        <w:t xml:space="preserve">mitochondria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Nuclear localization may serve a protective role, actively extruding genotoxic compounds that have reached the nucleus, thereby preventing DNA damage. Its presence in mitochondria is consistent with its known role in porphyrin and heme homeostasis, as it mediates the export of protoporphyrin IX from mitochondria into the cytosol.</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Furthermore, some research has shown ABCG2 to be localized to the membrane of extracellular vesicles in certain cancer cells, a novel mechanism that may contribute to drug resistance by sequestering chemotherapeutic agents outside the cell.</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h3whto5us8p" w:id="11"/>
      <w:bookmarkEnd w:id="11"/>
      <w:r w:rsidDel="00000000" w:rsidR="00000000" w:rsidRPr="00000000">
        <w:rPr>
          <w:b w:val="1"/>
          <w:color w:val="1b1c1d"/>
          <w:sz w:val="26"/>
          <w:szCs w:val="26"/>
          <w:rtl w:val="0"/>
        </w:rPr>
        <w:t xml:space="preserve">Expression Profile and Role in Physiological Barriers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ABCG2 is strategically expressed at high levels in tissues that constitute the body's primary physiological and pharmacological barriers, where it functions as a robust "gatekeeper" against xenobiotics.</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Placenta:</w:t>
      </w:r>
      <w:r w:rsidDel="00000000" w:rsidR="00000000" w:rsidRPr="00000000">
        <w:rPr>
          <w:color w:val="1b1c1d"/>
          <w:rtl w:val="0"/>
        </w:rPr>
        <w:t xml:space="preserve"> Among all normal human tissues, the placenta exhibits one of the highest levels of ABCG2 expression. It is abundantly located on the apical (maternal-facing) membrane of the syncytiotrophoblasts, the primary cellular barrier between mother and fetus. Here, it plays a critical role in the maternal-fetal barrier, actively pumping a wide range of drugs, toxins, and metabolites from the fetal circulation back into the maternal bloodstream, thereby protecting the developing fetus from potentially harmful exposures.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Gastrointestinal Tract:</w:t>
      </w:r>
      <w:r w:rsidDel="00000000" w:rsidR="00000000" w:rsidRPr="00000000">
        <w:rPr>
          <w:color w:val="1b1c1d"/>
          <w:rtl w:val="0"/>
        </w:rPr>
        <w:t xml:space="preserve"> High expression on the apical (luminal) membrane of epithelial cells throughout the small intestine and colon serves to limit the oral absorption and bioavailability of numerous drugs and dietary toxins by pumping them back into the gut lumen before they can enter systemic circulation.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Hepatobiliary System:</w:t>
      </w:r>
      <w:r w:rsidDel="00000000" w:rsidR="00000000" w:rsidRPr="00000000">
        <w:rPr>
          <w:color w:val="1b1c1d"/>
          <w:rtl w:val="0"/>
        </w:rPr>
        <w:t xml:space="preserve"> ABCG2 is expressed on the canalicular (apical) membrane of hepatocytes, where it facilitates the biliary excretion of its substrates, contributing to their elimination from the body via feces.</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Kidney:</w:t>
      </w:r>
      <w:r w:rsidDel="00000000" w:rsidR="00000000" w:rsidRPr="00000000">
        <w:rPr>
          <w:color w:val="1b1c1d"/>
          <w:rtl w:val="0"/>
        </w:rPr>
        <w:t xml:space="preserve"> It is found on the apical membrane of renal proximal tubule cells, where it mediates the secretion of substrates, most notably uric acid, into the urine for excretion.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Blood-Brain Barrier (BBB):</w:t>
      </w:r>
      <w:r w:rsidDel="00000000" w:rsidR="00000000" w:rsidRPr="00000000">
        <w:rPr>
          <w:color w:val="1b1c1d"/>
          <w:rtl w:val="0"/>
        </w:rPr>
        <w:t xml:space="preserve"> ABCG2 is a key component of the BBB, expressed on the luminal (blood-facing) membrane of brain capillary endothelial cells. It works in concert with other efflux transporters, such as P-glycoprotein (ABCB1), to severely restrict the penetration of a vast array of compounds, including many therapeutic drugs, into the central nervous system.</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x5obxvqrji3" w:id="12"/>
      <w:bookmarkEnd w:id="12"/>
      <w:r w:rsidDel="00000000" w:rsidR="00000000" w:rsidRPr="00000000">
        <w:rPr>
          <w:b w:val="1"/>
          <w:color w:val="1b1c1d"/>
          <w:sz w:val="26"/>
          <w:szCs w:val="26"/>
          <w:rtl w:val="0"/>
        </w:rPr>
        <w:t xml:space="preserve">Function in Stem Cell Biology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ABCG2 is highly expressed in various populations of adult stem cells and is a key molecular determinant of the "side population" (SP) phenotype.</w:t>
      </w:r>
      <w:r w:rsidDel="00000000" w:rsidR="00000000" w:rsidRPr="00000000">
        <w:rPr>
          <w:color w:val="444746"/>
          <w:sz w:val="40"/>
          <w:szCs w:val="40"/>
          <w:highlight w:val="white"/>
          <w:vertAlign w:val="superscript"/>
          <w:rtl w:val="0"/>
        </w:rPr>
        <w:t xml:space="preserve">41</w:t>
      </w:r>
      <w:r w:rsidDel="00000000" w:rsidR="00000000" w:rsidRPr="00000000">
        <w:rPr>
          <w:color w:val="1b1c1d"/>
          <w:rtl w:val="0"/>
        </w:rPr>
        <w:t xml:space="preserve"> SP cells are a rare subpopulation identified by their unique ability to efflux the fluorescent DNA-binding dye Hoechst 33342, a property conferred by high ABCG2 activity. This robust efflux capacity is believed to be a primitive defense mechanism that protects these vital stem cell populations from cytotoxic agents and environmental toxins, thereby preserving their long-term self-renewal and regenerative potential.</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function has been identified in hematopoietic stem cells, limbal epithelial stem cells of the cornea, and has been implicated in the biology of cancer stem cells.</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mblx5oj276t" w:id="13"/>
      <w:bookmarkEnd w:id="13"/>
      <w:r w:rsidDel="00000000" w:rsidR="00000000" w:rsidRPr="00000000">
        <w:rPr>
          <w:b w:val="1"/>
          <w:color w:val="1b1c1d"/>
          <w:sz w:val="34"/>
          <w:szCs w:val="34"/>
          <w:rtl w:val="0"/>
        </w:rPr>
        <w:t xml:space="preserve">Steroid and Sterol Interactions: A Central Role in Homeostasis and Defense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of ABCG2 with steroids and sterol-like molecules is a cornerstone of its biological function, encompassing direct transport of steroid conjugates, modulation by the lipid environment, and regulation of its expression by steroid hormones.</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54udejetryu" w:id="14"/>
      <w:bookmarkEnd w:id="14"/>
      <w:r w:rsidDel="00000000" w:rsidR="00000000" w:rsidRPr="00000000">
        <w:rPr>
          <w:b w:val="1"/>
          <w:color w:val="1b1c1d"/>
          <w:sz w:val="26"/>
          <w:szCs w:val="26"/>
          <w:rtl w:val="0"/>
        </w:rPr>
        <w:t xml:space="preserve">Transport of Endogenous Steroid Sulfates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A primary physiological function of ABCG2 is the high-capacity transport of sulfated steroid conjugates, a role that is distinct from its better-known function in xenobiotic defense.</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Estrone-3-Sulfate (E1S):</w:t>
      </w:r>
      <w:r w:rsidDel="00000000" w:rsidR="00000000" w:rsidRPr="00000000">
        <w:rPr>
          <w:color w:val="1b1c1d"/>
          <w:rtl w:val="0"/>
        </w:rPr>
        <w:t xml:space="preserve"> E1S, a major circulating estrogen precursor, is a well-characterized and high-affinity endogenous substrate of ABCG2. Its transport is an active, ATP-dependent process, as demonstrated in membrane vesicle assays, which determined a Michaelis constant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 E1S of approximately 16.6 μM.</w:t>
      </w:r>
      <w:r w:rsidDel="00000000" w:rsidR="00000000" w:rsidRPr="00000000">
        <w:rPr>
          <w:color w:val="444746"/>
          <w:sz w:val="40"/>
          <w:szCs w:val="40"/>
          <w:highlight w:val="white"/>
          <w:vertAlign w:val="superscript"/>
          <w:rtl w:val="0"/>
        </w:rPr>
        <w:t xml:space="preserve">43</w:t>
      </w:r>
      <w:r w:rsidDel="00000000" w:rsidR="00000000" w:rsidRPr="00000000">
        <w:rPr>
          <w:color w:val="1b1c1d"/>
          <w:rtl w:val="0"/>
        </w:rPr>
        <w:t xml:space="preserve"> Cryo-EM structures have provided definitive visual evidence of E1S bound within the central substrate-binding cavity of the transporter, confirming it as a direct substrate.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transport of E1S is physiologically critical in endocrine-active tissues and at protective barriers like the placenta.</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05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Dehydroepiandrosterone Sulfate (DHEAS):</w:t>
      </w:r>
      <w:r w:rsidDel="00000000" w:rsidR="00000000" w:rsidRPr="00000000">
        <w:rPr>
          <w:color w:val="1b1c1d"/>
          <w:rtl w:val="0"/>
        </w:rPr>
        <w:t xml:space="preserve"> DHEAS, the most abundant circulating steroid hormone in humans and a key precursor for androgens and estrogens, is also a confirmed substrate for ABCG2-mediated efflux.</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transport function is important for regulating the bioavailability of DHEAS and modulating local androgenic and estrogenic activity in peripheral tissues.</w:t>
      </w:r>
    </w:p>
    <w:p w:rsidR="00000000" w:rsidDel="00000000" w:rsidP="00000000" w:rsidRDefault="00000000" w:rsidRPr="00000000" w14:paraId="00000060">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Mechanism and Specificity:</w:t>
      </w:r>
      <w:r w:rsidDel="00000000" w:rsidR="00000000" w:rsidRPr="00000000">
        <w:rPr>
          <w:color w:val="1b1c1d"/>
          <w:rtl w:val="0"/>
        </w:rPr>
        <w:t xml:space="preserve"> Experimental evidence shows that ABCG2 has a marked preference for sulfate conjugates over other types of conjugated molecules, such as those with glucuronide or glutathione moieties.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structural basis for this specificity is thought to involve a two-part recognition process. The hydrophobic steroid backbone is accommodated within the large, greasy central cavity and clamped by key phenylalanine residues (Phe439), while the negatively charged, hydrophilic sulfate group likely forms specific polar or electrostatic interactions with other residues in the binding pocket, anchoring the molecule for transport.</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qwfjziexrgr" w:id="15"/>
      <w:bookmarkEnd w:id="15"/>
      <w:r w:rsidDel="00000000" w:rsidR="00000000" w:rsidRPr="00000000">
        <w:rPr>
          <w:b w:val="1"/>
          <w:color w:val="1b1c1d"/>
          <w:sz w:val="26"/>
          <w:szCs w:val="26"/>
          <w:rtl w:val="0"/>
        </w:rPr>
        <w:t xml:space="preserve">Physiological and Pathological Roles of Steroid Transport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ability of ABCG2 to transport sulfated steroids has significant implications for endocrine physiology and pathology.</w:t>
      </w:r>
    </w:p>
    <w:p w:rsidR="00000000" w:rsidDel="00000000" w:rsidP="00000000" w:rsidRDefault="00000000" w:rsidRPr="00000000" w14:paraId="0000006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Maternal-Fetal Interface:</w:t>
      </w:r>
      <w:r w:rsidDel="00000000" w:rsidR="00000000" w:rsidRPr="00000000">
        <w:rPr>
          <w:color w:val="1b1c1d"/>
          <w:rtl w:val="0"/>
        </w:rPr>
        <w:t xml:space="preserve"> The extremely high expression of ABCG2 in the placenta, coupled with its efficient transport of E1S and DHEAS, is critical for modulating the fetal hormonal environment.</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By actively pumping these potent steroid precursors from the fetal compartment back to the mother, ABCG2 helps maintain hormonal balance and likely protects the fetus from excessive exposure to maternal steroids, which could disrupt normal development.</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This function is an integral part of the placental barrier's role in chemical defense.</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Cholesterol Homeostasis and Lipid Metabolism:</w:t>
      </w:r>
      <w:r w:rsidDel="00000000" w:rsidR="00000000" w:rsidRPr="00000000">
        <w:rPr>
          <w:color w:val="1b1c1d"/>
          <w:rtl w:val="0"/>
        </w:rPr>
        <w:t xml:space="preserve"> ABCG2's role in cholesterol homeostasis is more indirect compared to its subfamily members ABCA1 and ABCG1, which are primary cholesterol efflux pumps.</w:t>
      </w:r>
      <w:r w:rsidDel="00000000" w:rsidR="00000000" w:rsidRPr="00000000">
        <w:rPr>
          <w:color w:val="444746"/>
          <w:sz w:val="40"/>
          <w:szCs w:val="40"/>
          <w:highlight w:val="white"/>
          <w:vertAlign w:val="superscript"/>
          <w:rtl w:val="0"/>
        </w:rPr>
        <w:t xml:space="preserve">47</w:t>
      </w:r>
      <w:r w:rsidDel="00000000" w:rsidR="00000000" w:rsidRPr="00000000">
        <w:rPr>
          <w:color w:val="1b1c1d"/>
          <w:rtl w:val="0"/>
        </w:rPr>
        <w:t xml:space="preserve"> ABCG2 does not appear to transport cholesterol directly as a primary substrate. However, its function is intimately linked to the membrane lipid environment. The ATPase and transport activity of ABCG2 is stimulated by cholesterol, and its proper function is dependent on its localization within cholesterol-rich membrane microdomains known as lipid rafts.</w:t>
      </w:r>
      <w:r w:rsidDel="00000000" w:rsidR="00000000" w:rsidRPr="00000000">
        <w:rPr>
          <w:color w:val="444746"/>
          <w:sz w:val="40"/>
          <w:szCs w:val="40"/>
          <w:highlight w:val="white"/>
          <w:vertAlign w:val="superscript"/>
          <w:rtl w:val="0"/>
        </w:rPr>
        <w:t xml:space="preserve">47</w:t>
      </w:r>
      <w:r w:rsidDel="00000000" w:rsidR="00000000" w:rsidRPr="00000000">
        <w:rPr>
          <w:color w:val="1b1c1d"/>
          <w:rtl w:val="0"/>
        </w:rPr>
        <w:t xml:space="preserve"> This suggests that while ABCG2 is not a direct regulator of cellular cholesterol levels, its activity is modulated by local membrane cholesterol concentration, indicating a close relationship between the transporter's xenobiotic/steroid defense functions and the lipid state of the cell membrane.</w:t>
      </w:r>
      <w:r w:rsidDel="00000000" w:rsidR="00000000" w:rsidRPr="00000000">
        <w:rPr>
          <w:color w:val="444746"/>
          <w:sz w:val="40"/>
          <w:szCs w:val="40"/>
          <w:highlight w:val="white"/>
          <w:vertAlign w:val="superscript"/>
          <w:rtl w:val="0"/>
        </w:rPr>
        <w:t xml:space="preserve">50</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sw0mv4zjnix" w:id="16"/>
      <w:bookmarkEnd w:id="16"/>
      <w:r w:rsidDel="00000000" w:rsidR="00000000" w:rsidRPr="00000000">
        <w:rPr>
          <w:b w:val="1"/>
          <w:color w:val="1b1c1d"/>
          <w:sz w:val="26"/>
          <w:szCs w:val="26"/>
          <w:rtl w:val="0"/>
        </w:rPr>
        <w:t xml:space="preserve">Regulation of ABCG2 Expression and Function by Steroid Hormones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Adding another layer of complexity, the expression of the </w:t>
      </w:r>
      <w:r w:rsidDel="00000000" w:rsidR="00000000" w:rsidRPr="00000000">
        <w:rPr>
          <w:i w:val="1"/>
          <w:color w:val="1b1c1d"/>
          <w:rtl w:val="0"/>
        </w:rPr>
        <w:t xml:space="preserve">ABCG2</w:t>
      </w:r>
      <w:r w:rsidDel="00000000" w:rsidR="00000000" w:rsidRPr="00000000">
        <w:rPr>
          <w:color w:val="1b1c1d"/>
          <w:rtl w:val="0"/>
        </w:rPr>
        <w:t xml:space="preserve"> gene is itself under the control of steroid hormones, creating sophisticated and tissue-specific feedback and feed-forward regulatory loops. The nature of this regulation is highly context-dependent, with the same hormone capable of producing opposite effects in different cell types.</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Estrogens (e.g., 17β-estradiol):</w:t>
      </w:r>
      <w:r w:rsidDel="00000000" w:rsidR="00000000" w:rsidRPr="00000000">
        <w:rPr>
          <w:color w:val="1b1c1d"/>
          <w:rtl w:val="0"/>
        </w:rPr>
        <w:t xml:space="preserve"> The effect of estrogen on ABCG2 expression is strikingly tissue-specific. In human placental choriocarcinoma (BeWo) cells, a model for the placental barrier, estrogens have been shown to </w:t>
      </w:r>
      <w:r w:rsidDel="00000000" w:rsidR="00000000" w:rsidRPr="00000000">
        <w:rPr>
          <w:i w:val="1"/>
          <w:color w:val="1b1c1d"/>
          <w:rtl w:val="0"/>
        </w:rPr>
        <w:t xml:space="preserve">increase</w:t>
      </w:r>
      <w:r w:rsidDel="00000000" w:rsidR="00000000" w:rsidRPr="00000000">
        <w:rPr>
          <w:color w:val="1b1c1d"/>
          <w:rtl w:val="0"/>
        </w:rPr>
        <w:t xml:space="preserve"> ABCG2 mRNA and protein expression, suggesting a mechanism to fortify the barrier during pregnancy when estrogen levels are high.</w:t>
      </w:r>
      <w:r w:rsidDel="00000000" w:rsidR="00000000" w:rsidRPr="00000000">
        <w:rPr>
          <w:color w:val="444746"/>
          <w:sz w:val="40"/>
          <w:szCs w:val="40"/>
          <w:highlight w:val="white"/>
          <w:vertAlign w:val="superscript"/>
          <w:rtl w:val="0"/>
        </w:rPr>
        <w:t xml:space="preserve">52</w:t>
      </w:r>
      <w:r w:rsidDel="00000000" w:rsidR="00000000" w:rsidRPr="00000000">
        <w:rPr>
          <w:color w:val="1b1c1d"/>
          <w:rtl w:val="0"/>
        </w:rPr>
        <w:t xml:space="preserve"> In stark contrast, in estrogen receptor α (ERα)-positive breast cancer cells (MCF-7), physiologically relevant concentrations of estrogen cause a marked </w:t>
      </w:r>
      <w:r w:rsidDel="00000000" w:rsidR="00000000" w:rsidRPr="00000000">
        <w:rPr>
          <w:i w:val="1"/>
          <w:color w:val="1b1c1d"/>
          <w:rtl w:val="0"/>
        </w:rPr>
        <w:t xml:space="preserve">decrease</w:t>
      </w:r>
      <w:r w:rsidDel="00000000" w:rsidR="00000000" w:rsidRPr="00000000">
        <w:rPr>
          <w:color w:val="1b1c1d"/>
          <w:rtl w:val="0"/>
        </w:rPr>
        <w:t xml:space="preserve"> in ABCG2 protein levels through a post-transcriptional mechanism involving accelerated protein degradation.</w:t>
      </w:r>
      <w:r w:rsidDel="00000000" w:rsidR="00000000" w:rsidRPr="00000000">
        <w:rPr>
          <w:color w:val="444746"/>
          <w:sz w:val="40"/>
          <w:szCs w:val="40"/>
          <w:highlight w:val="white"/>
          <w:vertAlign w:val="superscript"/>
          <w:rtl w:val="0"/>
        </w:rPr>
        <w:t xml:space="preserve">53</w:t>
      </w:r>
      <w:r w:rsidDel="00000000" w:rsidR="00000000" w:rsidRPr="00000000">
        <w:rPr>
          <w:color w:val="1b1c1d"/>
          <w:rtl w:val="0"/>
        </w:rPr>
        <w:t xml:space="preserve"> This downregulation in breast cancer cells could represent a homeostatic or even pathological feedback loop, where estrogen suppresses the efflux of its own sulfated precursors (like E1S), thereby increasing the intracellular pool of active estrogens and potentially promoting proliferation. In brain capillaries, estradiol has been shown to </w:t>
      </w:r>
      <w:r w:rsidDel="00000000" w:rsidR="00000000" w:rsidRPr="00000000">
        <w:rPr>
          <w:i w:val="1"/>
          <w:color w:val="1b1c1d"/>
          <w:rtl w:val="0"/>
        </w:rPr>
        <w:t xml:space="preserve">reduce</w:t>
      </w:r>
      <w:r w:rsidDel="00000000" w:rsidR="00000000" w:rsidRPr="00000000">
        <w:rPr>
          <w:color w:val="1b1c1d"/>
          <w:rtl w:val="0"/>
        </w:rPr>
        <w:t xml:space="preserve"> Bcrp expression and function via an estrogen receptor β (ERβ)-mediated pathway.</w:t>
      </w:r>
      <w:r w:rsidDel="00000000" w:rsidR="00000000" w:rsidRPr="00000000">
        <w:rPr>
          <w:color w:val="444746"/>
          <w:sz w:val="40"/>
          <w:szCs w:val="40"/>
          <w:highlight w:val="white"/>
          <w:vertAlign w:val="superscript"/>
          <w:rtl w:val="0"/>
        </w:rPr>
        <w:t xml:space="preserve">54</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Progesterone:</w:t>
      </w:r>
      <w:r w:rsidDel="00000000" w:rsidR="00000000" w:rsidRPr="00000000">
        <w:rPr>
          <w:color w:val="1b1c1d"/>
          <w:rtl w:val="0"/>
        </w:rPr>
        <w:t xml:space="preserve"> In placental cell models, progesterone generally acts as an inducer of BCRP/ABCG2 expression at both the mRNA and protein levels.</w:t>
      </w:r>
      <w:r w:rsidDel="00000000" w:rsidR="00000000" w:rsidRPr="00000000">
        <w:rPr>
          <w:color w:val="444746"/>
          <w:sz w:val="40"/>
          <w:szCs w:val="40"/>
          <w:highlight w:val="white"/>
          <w:vertAlign w:val="superscript"/>
          <w:rtl w:val="0"/>
        </w:rPr>
        <w:t xml:space="preserve">54</w:t>
      </w:r>
      <w:r w:rsidDel="00000000" w:rsidR="00000000" w:rsidRPr="00000000">
        <w:rPr>
          <w:color w:val="1b1c1d"/>
          <w:rtl w:val="0"/>
        </w:rPr>
        <w:t xml:space="preserve"> This effect is consistent with a physiological role in strengthening the placental barrier as pregnancy progresses and progesterone levels rise. This induction can be further enhanced by co-treatment with estradiol, indicating a cooperative regulation by key pregnancy hormones.</w:t>
      </w:r>
      <w:r w:rsidDel="00000000" w:rsidR="00000000" w:rsidRPr="00000000">
        <w:rPr>
          <w:color w:val="444746"/>
          <w:sz w:val="40"/>
          <w:szCs w:val="40"/>
          <w:highlight w:val="white"/>
          <w:vertAlign w:val="superscript"/>
          <w:rtl w:val="0"/>
        </w:rPr>
        <w:t xml:space="preserve">54</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context-dependent regulation demonstrates that ABCG2 is not merely a passive pump but an actively managed component of the endocrine signaling network, allowing tissues to fine-tune local hormone concentrations and barrier function according to their specific physiological needs or pathological state. Table 2 summarizes these complex interactions.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Endogenous Steroid and Sterol-like Substrates and Regulators of ABCG2</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8.9914358314772"/>
        <w:gridCol w:w="1162.6489318317285"/>
        <w:gridCol w:w="1618.1196473946736"/>
        <w:gridCol w:w="1234.565360604825"/>
        <w:gridCol w:w="1282.509646453556"/>
        <w:gridCol w:w="1138.6767889073628"/>
        <w:tblGridChange w:id="0">
          <w:tblGrid>
            <w:gridCol w:w="2588.9914358314772"/>
            <w:gridCol w:w="1162.6489318317285"/>
            <w:gridCol w:w="1618.1196473946736"/>
            <w:gridCol w:w="1234.565360604825"/>
            <w:gridCol w:w="1282.509646453556"/>
            <w:gridCol w:w="1138.6767889073628"/>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Molecule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Class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Specific Effect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Regulatory Effect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Tissue Context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Source(s)</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b w:val="1"/>
                <w:color w:val="1b1c1d"/>
                <w:rtl w:val="0"/>
              </w:rPr>
              <w:t xml:space="preserve">Estrone-3-Sulfate (E1S)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Actively transported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Fonts w:ascii="Arial Unicode MS" w:cs="Arial Unicode MS" w:eastAsia="Arial Unicode MS" w:hAnsi="Arial Unicode MS"/>
                <w:color w:val="1b1c1d"/>
                <w:rtl w:val="0"/>
              </w:rPr>
              <w:t xml:space="preserve"> ≈ 16.6 μM).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Placenta, Liver, Intestine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444746"/>
                <w:sz w:val="40"/>
                <w:szCs w:val="40"/>
                <w:highlight w:val="white"/>
                <w:vertAlign w:val="superscript"/>
                <w:rtl w:val="0"/>
              </w:rPr>
              <w:t xml:space="preserve">26</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b w:val="1"/>
                <w:color w:val="1b1c1d"/>
                <w:rtl w:val="0"/>
              </w:rPr>
              <w:t xml:space="preserve">Dehydroepiandrosterone Sulfate (DHEAS)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Actively transported.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Placenta, Adrenal Gland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444746"/>
                <w:sz w:val="40"/>
                <w:szCs w:val="40"/>
                <w:highlight w:val="white"/>
                <w:vertAlign w:val="superscript"/>
                <w:rtl w:val="0"/>
              </w:rPr>
              <w:t xml:space="preserve">16</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b w:val="1"/>
                <w:color w:val="1b1c1d"/>
                <w:rtl w:val="0"/>
              </w:rPr>
              <w:t xml:space="preserve">17β-estradiol 17-(β-D-glucuronide)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Transported, but to a lesser extent than sulfate conjugates.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Liver, Intestine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444746"/>
                <w:sz w:val="40"/>
                <w:szCs w:val="40"/>
                <w:highlight w:val="white"/>
                <w:vertAlign w:val="superscript"/>
                <w:rtl w:val="0"/>
              </w:rPr>
              <w:t xml:space="preserve">32</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Dihydrotestosterone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Effluxed from cells.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Prostate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444746"/>
                <w:sz w:val="40"/>
                <w:szCs w:val="40"/>
                <w:highlight w:val="white"/>
                <w:vertAlign w:val="superscript"/>
                <w:rtl w:val="0"/>
              </w:rPr>
              <w:t xml:space="preserve">57</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b w:val="1"/>
                <w:color w:val="1b1c1d"/>
                <w:rtl w:val="0"/>
              </w:rPr>
              <w:t xml:space="preserve">17β-Estradiol (E2)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Downregulates protein expression (post-transcriptional).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Breast Cancer (ERα+)</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444746"/>
                <w:sz w:val="40"/>
                <w:szCs w:val="40"/>
                <w:highlight w:val="white"/>
                <w:vertAlign w:val="superscript"/>
                <w:rtl w:val="0"/>
              </w:rPr>
              <w:t xml:space="preserve">53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Upregulates mRNA and protein expression.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Placenta (BeWo cells)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444746"/>
                <w:sz w:val="40"/>
                <w:szCs w:val="40"/>
                <w:highlight w:val="white"/>
                <w:vertAlign w:val="superscript"/>
                <w:rtl w:val="0"/>
              </w:rPr>
              <w:t xml:space="preserve">52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Downregulates protein expression and function (via ERβ).</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Brain Capillaries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444746"/>
                <w:sz w:val="40"/>
                <w:szCs w:val="40"/>
                <w:highlight w:val="white"/>
                <w:vertAlign w:val="superscript"/>
                <w:rtl w:val="0"/>
              </w:rPr>
              <w:t xml:space="preserve">54</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b w:val="1"/>
                <w:color w:val="1b1c1d"/>
                <w:rtl w:val="0"/>
              </w:rPr>
              <w:t xml:space="preserve">Progesterone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Upregulates mRNA and protein expression.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Placenta (BeWo cells)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444746"/>
                <w:sz w:val="40"/>
                <w:szCs w:val="40"/>
                <w:highlight w:val="white"/>
                <w:vertAlign w:val="superscript"/>
                <w:rtl w:val="0"/>
              </w:rPr>
              <w:t xml:space="preserve">54</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b w:val="1"/>
                <w:color w:val="1b1c1d"/>
                <w:rtl w:val="0"/>
              </w:rPr>
              <w:t xml:space="preserve">Cholesterol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b1c1d"/>
              </w:rPr>
            </w:pPr>
            <w:r w:rsidDel="00000000" w:rsidR="00000000" w:rsidRPr="00000000">
              <w:rPr>
                <w:color w:val="1b1c1d"/>
                <w:rtl w:val="0"/>
              </w:rPr>
              <w:t xml:space="preserve">Modulator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Stimulates ATPase activity; required for function via lipid rafts.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b1c1d"/>
              </w:rPr>
            </w:pP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b1c1d"/>
              </w:rPr>
            </w:pPr>
            <w:r w:rsidDel="00000000" w:rsidR="00000000" w:rsidRPr="00000000">
              <w:rPr>
                <w:color w:val="1b1c1d"/>
                <w:rtl w:val="0"/>
              </w:rPr>
              <w:t xml:space="preserve">General (Plasma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444746"/>
                <w:sz w:val="40"/>
                <w:szCs w:val="40"/>
                <w:highlight w:val="white"/>
                <w:vertAlign w:val="superscript"/>
                <w:rtl w:val="0"/>
              </w:rPr>
              <w:t xml:space="preserve">47</w:t>
            </w:r>
            <w:r w:rsidDel="00000000" w:rsidR="00000000" w:rsidRPr="00000000">
              <w:rPr>
                <w:rtl w:val="0"/>
              </w:rPr>
            </w:r>
          </w:p>
        </w:tc>
      </w:tr>
    </w:tbl>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tfr0q90leza" w:id="17"/>
      <w:bookmarkEnd w:id="17"/>
      <w:r w:rsidDel="00000000" w:rsidR="00000000" w:rsidRPr="00000000">
        <w:rPr>
          <w:b w:val="1"/>
          <w:color w:val="1b1c1d"/>
          <w:sz w:val="34"/>
          <w:szCs w:val="34"/>
          <w:rtl w:val="0"/>
        </w:rPr>
        <w:t xml:space="preserve">Clinical and Pharmacological Relevance</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vn2lx5zzthe" w:id="18"/>
      <w:bookmarkEnd w:id="18"/>
      <w:r w:rsidDel="00000000" w:rsidR="00000000" w:rsidRPr="00000000">
        <w:rPr>
          <w:b w:val="1"/>
          <w:color w:val="1b1c1d"/>
          <w:sz w:val="26"/>
          <w:szCs w:val="26"/>
          <w:rtl w:val="0"/>
        </w:rPr>
        <w:t xml:space="preserve">Multidrug Resistance (MDR) in Oncology</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overexpression of ABCG2 in tumor cells is a well-established mechanism of multidrug resistance (MDR), a major obstacle to successful cancer chemotherapy.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By functioning as an ATP-dependent efflux pump, ABCG2 reduces the intracellular concentration of a wide array of anticancer drugs to sub-therapeutic levels, thereby rendering the cancer cells resistant to treatment. Its broad substrate specificity means it can confer resistance to many different classes of chemotherapeutic agents, including mitoxantrone, topotecan, irinotecan (via its active metabolite SN-38), methotrexate, and a growing list of targeted therapies like tyrosine kinase inhibitors (e.g., imatinib, gefitinib).</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In the context of steroid-related cancers, the role of ABCG2 is particularly complex:</w:t>
      </w:r>
    </w:p>
    <w:p w:rsidR="00000000" w:rsidDel="00000000" w:rsidP="00000000" w:rsidRDefault="00000000" w:rsidRPr="00000000" w14:paraId="000000A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Breast Cancer:</w:t>
      </w:r>
      <w:r w:rsidDel="00000000" w:rsidR="00000000" w:rsidRPr="00000000">
        <w:rPr>
          <w:color w:val="1b1c1d"/>
          <w:rtl w:val="0"/>
        </w:rPr>
        <w:t xml:space="preserve"> In estrogen receptor-positive (ER+) breast cancer, ABCG2 expression can be downregulated by estrogen, but it can also be associated with resistance to anti-estrogen therapies.</w:t>
      </w:r>
      <w:r w:rsidDel="00000000" w:rsidR="00000000" w:rsidRPr="00000000">
        <w:rPr>
          <w:color w:val="444746"/>
          <w:sz w:val="40"/>
          <w:szCs w:val="40"/>
          <w:highlight w:val="white"/>
          <w:vertAlign w:val="superscript"/>
          <w:rtl w:val="0"/>
        </w:rPr>
        <w:t xml:space="preserve">53</w:t>
      </w:r>
      <w:r w:rsidDel="00000000" w:rsidR="00000000" w:rsidRPr="00000000">
        <w:rPr>
          <w:color w:val="1b1c1d"/>
          <w:rtl w:val="0"/>
        </w:rPr>
        <w:t xml:space="preserve"> While the selective estrogen receptor degrader (SERD) </w:t>
      </w:r>
      <w:r w:rsidDel="00000000" w:rsidR="00000000" w:rsidRPr="00000000">
        <w:rPr>
          <w:b w:val="1"/>
          <w:color w:val="1b1c1d"/>
          <w:rtl w:val="0"/>
        </w:rPr>
        <w:t xml:space="preserve">fulvestrant</w:t>
      </w:r>
      <w:r w:rsidDel="00000000" w:rsidR="00000000" w:rsidRPr="00000000">
        <w:rPr>
          <w:color w:val="1b1c1d"/>
          <w:rtl w:val="0"/>
        </w:rPr>
        <w:t xml:space="preserve"> is not a direct substrate, alterations in ABCG2 levels have been observed in fulvestrant-resistant cell lines, suggesting an indirect role in the development of endocrine resistance.</w:t>
      </w:r>
      <w:r w:rsidDel="00000000" w:rsidR="00000000" w:rsidRPr="00000000">
        <w:rPr>
          <w:color w:val="444746"/>
          <w:sz w:val="40"/>
          <w:szCs w:val="40"/>
          <w:highlight w:val="white"/>
          <w:vertAlign w:val="superscript"/>
          <w:rtl w:val="0"/>
        </w:rPr>
        <w:t xml:space="preserve">59</w:t>
      </w:r>
    </w:p>
    <w:p w:rsidR="00000000" w:rsidDel="00000000" w:rsidP="00000000" w:rsidRDefault="00000000" w:rsidRPr="00000000" w14:paraId="000000A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Prostate Cancer:</w:t>
      </w:r>
      <w:r w:rsidDel="00000000" w:rsidR="00000000" w:rsidRPr="00000000">
        <w:rPr>
          <w:color w:val="1b1c1d"/>
          <w:rtl w:val="0"/>
        </w:rPr>
        <w:t xml:space="preserve"> In prostate cancer, ABCG2 transports dihydrotestosterone, the most potent androgen.</w:t>
      </w:r>
      <w:r w:rsidDel="00000000" w:rsidR="00000000" w:rsidRPr="00000000">
        <w:rPr>
          <w:color w:val="444746"/>
          <w:sz w:val="40"/>
          <w:szCs w:val="40"/>
          <w:highlight w:val="white"/>
          <w:vertAlign w:val="superscript"/>
          <w:rtl w:val="0"/>
        </w:rPr>
        <w:t xml:space="preserve">57</w:t>
      </w:r>
      <w:r w:rsidDel="00000000" w:rsidR="00000000" w:rsidRPr="00000000">
        <w:rPr>
          <w:color w:val="1b1c1d"/>
          <w:rtl w:val="0"/>
        </w:rPr>
        <w:t xml:space="preserve"> Its expression may therefore influence intratumoral androgen levels. While the key drugs for advanced prostate cancer, </w:t>
      </w:r>
      <w:r w:rsidDel="00000000" w:rsidR="00000000" w:rsidRPr="00000000">
        <w:rPr>
          <w:b w:val="1"/>
          <w:color w:val="1b1c1d"/>
          <w:rtl w:val="0"/>
        </w:rPr>
        <w:t xml:space="preserve">abiraterone</w:t>
      </w:r>
      <w:r w:rsidDel="00000000" w:rsidR="00000000" w:rsidRPr="00000000">
        <w:rPr>
          <w:color w:val="1b1c1d"/>
          <w:rtl w:val="0"/>
        </w:rPr>
        <w:t xml:space="preserve"> (an androgen synthesis inhibitor) and </w:t>
      </w:r>
      <w:r w:rsidDel="00000000" w:rsidR="00000000" w:rsidRPr="00000000">
        <w:rPr>
          <w:b w:val="1"/>
          <w:color w:val="1b1c1d"/>
          <w:rtl w:val="0"/>
        </w:rPr>
        <w:t xml:space="preserve">enzalutamide</w:t>
      </w:r>
      <w:r w:rsidDel="00000000" w:rsidR="00000000" w:rsidRPr="00000000">
        <w:rPr>
          <w:color w:val="1b1c1d"/>
          <w:rtl w:val="0"/>
        </w:rPr>
        <w:t xml:space="preserve"> (an androgen receptor antagonist), are not established substrates, enzalutamide has been shown to induce the expression of ABCG2, which could contribute to cross-resistance to other chemotherapies.</w:t>
      </w:r>
      <w:r w:rsidDel="00000000" w:rsidR="00000000" w:rsidRPr="00000000">
        <w:rPr>
          <w:color w:val="444746"/>
          <w:sz w:val="40"/>
          <w:szCs w:val="40"/>
          <w:highlight w:val="white"/>
          <w:vertAlign w:val="superscript"/>
          <w:rtl w:val="0"/>
        </w:rPr>
        <w:t xml:space="preserve">61</w:t>
      </w:r>
      <w:r w:rsidDel="00000000" w:rsidR="00000000" w:rsidRPr="00000000">
        <w:rPr>
          <w:color w:val="1b1c1d"/>
          <w:rtl w:val="0"/>
        </w:rPr>
        <w:t xml:space="preserve"> Furthermore, the common Q141K genetic variant of ABCG2 has been associated with a shorter time to biochemical recurrence in prostate cancer patients, potentially by impairing the efflux of growth-promoting molecules like folates.</w:t>
      </w:r>
      <w:r w:rsidDel="00000000" w:rsidR="00000000" w:rsidRPr="00000000">
        <w:rPr>
          <w:color w:val="444746"/>
          <w:sz w:val="40"/>
          <w:szCs w:val="40"/>
          <w:highlight w:val="white"/>
          <w:vertAlign w:val="superscript"/>
          <w:rtl w:val="0"/>
        </w:rPr>
        <w:t xml:space="preserve">57</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m0rre29t84d" w:id="19"/>
      <w:bookmarkEnd w:id="19"/>
      <w:r w:rsidDel="00000000" w:rsidR="00000000" w:rsidRPr="00000000">
        <w:rPr>
          <w:b w:val="1"/>
          <w:color w:val="1b1c1d"/>
          <w:sz w:val="26"/>
          <w:szCs w:val="26"/>
          <w:rtl w:val="0"/>
        </w:rPr>
        <w:t xml:space="preserve">Hyperuricemia and Gout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oncology, ABCG2 plays a central role in metabolic disease. It is now recognized as a high-capacity urate exporter that is critical for maintaining uric acid homeostasis through both renal and extra-renal (intestinal) excretion pathways.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Dysfunction of ABCG2 is a leading monogenic cause of hyperuricemia (elevated serum uric acid) and its clinical manifestation, gout, a painful inflammatory arthritis.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dysfunction is most commonly caused by non-synonymous single nucleotide polymorphisms (SNPs) in the </w:t>
      </w:r>
      <w:r w:rsidDel="00000000" w:rsidR="00000000" w:rsidRPr="00000000">
        <w:rPr>
          <w:i w:val="1"/>
          <w:color w:val="1b1c1d"/>
          <w:rtl w:val="0"/>
        </w:rPr>
        <w:t xml:space="preserve">ABCG2</w:t>
      </w:r>
      <w:r w:rsidDel="00000000" w:rsidR="00000000" w:rsidRPr="00000000">
        <w:rPr>
          <w:color w:val="1b1c1d"/>
          <w:rtl w:val="0"/>
        </w:rPr>
        <w:t xml:space="preserve"> gene that impair the transporter's function or reduce its expression at the cell surface. The most prevalent and clinically significant of these is the </w:t>
      </w:r>
      <w:r w:rsidDel="00000000" w:rsidR="00000000" w:rsidRPr="00000000">
        <w:rPr>
          <w:b w:val="1"/>
          <w:color w:val="1b1c1d"/>
          <w:rtl w:val="0"/>
        </w:rPr>
        <w:t xml:space="preserve">c.421C&gt;A (rs2231142)</w:t>
      </w:r>
      <w:r w:rsidDel="00000000" w:rsidR="00000000" w:rsidRPr="00000000">
        <w:rPr>
          <w:color w:val="1b1c1d"/>
          <w:rtl w:val="0"/>
        </w:rPr>
        <w:t xml:space="preserve"> variant, which results in a glutamine-to-lysine substitution at amino acid position 141 (Q141K).</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Q141K variant protein exhibits a ~50% reduction in urate transport capacity and is targeted for accelerated proteasomal degradation, leading to lower protein levels at the plasma membrane.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Individuals carrying one or two copies of the 'A' allele have a substantially increased risk of developing hyperuricemia and gout, particularly early-onset gout.</w:t>
      </w:r>
      <w:r w:rsidDel="00000000" w:rsidR="00000000" w:rsidRPr="00000000">
        <w:rPr>
          <w:color w:val="444746"/>
          <w:sz w:val="40"/>
          <w:szCs w:val="40"/>
          <w:highlight w:val="white"/>
          <w:vertAlign w:val="superscript"/>
          <w:rtl w:val="0"/>
        </w:rPr>
        <w:t xml:space="preserve">64</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jmrdf5829ib" w:id="20"/>
      <w:bookmarkEnd w:id="20"/>
      <w:r w:rsidDel="00000000" w:rsidR="00000000" w:rsidRPr="00000000">
        <w:rPr>
          <w:b w:val="1"/>
          <w:color w:val="1b1c1d"/>
          <w:sz w:val="26"/>
          <w:szCs w:val="26"/>
          <w:rtl w:val="0"/>
        </w:rPr>
        <w:t xml:space="preserve">Broader Impact on Pharmacokinetics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Given its strategic localization in the intestine, liver, kidney, and blood-brain barrier, ABCG2 is a key determinant of the absorption, distribution, metabolism, and excretion (ADME) profile of a vast number of pharmaceuticals.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Its activity can significantly reduce the oral bioavailability of substrate drugs, limit their penetration into sanctuary sites like the brain, and enhance their biliary and renal clearance. Consequently, genetic polymorphisms like Q141K, which are common in many populations, can lead to significant inter-individual variability in drug response and toxicity, representing a critical factor in the field of pharmacogenomics.</w:t>
      </w:r>
    </w:p>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k9ipxa5qupm" w:id="21"/>
      <w:bookmarkEnd w:id="21"/>
      <w:r w:rsidDel="00000000" w:rsidR="00000000" w:rsidRPr="00000000">
        <w:rPr>
          <w:b w:val="1"/>
          <w:color w:val="1b1c1d"/>
          <w:sz w:val="34"/>
          <w:szCs w:val="34"/>
          <w:rtl w:val="0"/>
        </w:rPr>
        <w:t xml:space="preserve">Cross-Cutting Overview: The Defining Features of ABCG2</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synthesis of the extensive research on ABCG2 reveals its identity as a </w:t>
      </w:r>
      <w:r w:rsidDel="00000000" w:rsidR="00000000" w:rsidRPr="00000000">
        <w:rPr>
          <w:b w:val="1"/>
          <w:color w:val="1b1c1d"/>
          <w:rtl w:val="0"/>
        </w:rPr>
        <w:t xml:space="preserve">pleiotropic protector and homeostatic regulator</w:t>
      </w:r>
      <w:r w:rsidDel="00000000" w:rsidR="00000000" w:rsidRPr="00000000">
        <w:rPr>
          <w:color w:val="1b1c1d"/>
          <w:rtl w:val="0"/>
        </w:rPr>
        <w:t xml:space="preserve">. Its molecular architecture—a half-transporter that assembles into a sophisticated, stable oligomeric machine—underpins its ability to recognize and transport an exceptionally broad and diverse range of substrates. This remarkable polyspecificity enables ABCG2 to perform a dual, indispensable function in human biology.</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First, it operates as a crucial </w:t>
      </w:r>
      <w:r w:rsidDel="00000000" w:rsidR="00000000" w:rsidRPr="00000000">
        <w:rPr>
          <w:b w:val="1"/>
          <w:color w:val="1b1c1d"/>
          <w:rtl w:val="0"/>
        </w:rPr>
        <w:t xml:space="preserve">extrinsic defense system</w:t>
      </w:r>
      <w:r w:rsidDel="00000000" w:rsidR="00000000" w:rsidRPr="00000000">
        <w:rPr>
          <w:color w:val="1b1c1d"/>
          <w:rtl w:val="0"/>
        </w:rPr>
        <w:t xml:space="preserve">. It stands guard at the body's most important interfaces with the external world (intestine) and its most sensitive internal compartments (brain, fetus, stem cell niches). In these locations, it forms a primary line of defense against a universe of chemical threats, including dietary toxins, environmental pollutants, and a wide variety of therapeutic drugs.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Second, it functions as a vital </w:t>
      </w:r>
      <w:r w:rsidDel="00000000" w:rsidR="00000000" w:rsidRPr="00000000">
        <w:rPr>
          <w:b w:val="1"/>
          <w:color w:val="1b1c1d"/>
          <w:rtl w:val="0"/>
        </w:rPr>
        <w:t xml:space="preserve">intrinsic homeostatic system</w:t>
      </w:r>
      <w:r w:rsidDel="00000000" w:rsidR="00000000" w:rsidRPr="00000000">
        <w:rPr>
          <w:color w:val="1b1c1d"/>
          <w:rtl w:val="0"/>
        </w:rPr>
        <w:t xml:space="preserve">. It is not merely a xenobiotic pump but is deeply integrated into core physiological pathways. Its role as a high-capacity urate exporter is essential for preventing the toxic accumulation of this metabolic byproduct, a function whose failure leads directly to gout. Simultaneously, its transport of steroid sulfates and its regulation by steroid hormones place it at the crossroads of endocrinology and detoxification, allowing it to modulate local endocrine signaling in tissues like the placenta and breast.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b1c1d"/>
          <w:rtl w:val="0"/>
        </w:rPr>
        <w:t xml:space="preserve">The clinical manifestations of ABCG2 dysfunction are a direct reflection of this dual role. Its hyperactivity (overexpression) in cancer cells leads to multidrug resistance, a pathological enhancement of its protective function. Conversely, its hypoactivity, most often due to common genetic variants, leads to gout, a failure of its homeostatic function. These two seemingly disparate clinical outcomes are two sides of the same coin, highlighting the critical importance of maintaining ABCG2 activity within a narrow, physiologically appropriate range. The intricate interplay with steroids, which act as both substrates for transport and as regulators of the transporter's expression, cements the position of ABCG2 as a key molecular node that integrates xenobiotic defense with fundamental endocrine physiology.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