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shxaeghfs0vd" w:id="0"/>
      <w:bookmarkEnd w:id="0"/>
      <w:r w:rsidDel="00000000" w:rsidR="00000000" w:rsidRPr="00000000">
        <w:rPr>
          <w:b w:val="1"/>
          <w:color w:val="1b1c1d"/>
          <w:sz w:val="46"/>
          <w:szCs w:val="46"/>
          <w:rtl w:val="0"/>
        </w:rPr>
        <w:t xml:space="preserve">EXPERT REFERENCE REPORT: MECHANISTIC INTERSECTION OF SODIUM HOMEOSTASIS AND STEROID REGULATION IN MEMBRANE PROTEINS</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81cl1zhptwd0" w:id="1"/>
      <w:bookmarkEnd w:id="1"/>
      <w:r w:rsidDel="00000000" w:rsidR="00000000" w:rsidRPr="00000000">
        <w:rPr>
          <w:b w:val="1"/>
          <w:color w:val="1b1c1d"/>
          <w:sz w:val="34"/>
          <w:szCs w:val="34"/>
          <w:rtl w:val="0"/>
        </w:rPr>
        <w:t xml:space="preserve">EXECUTIVE SUMMARY</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report analyzes a functionally diverse cluster of 11 sodium-dependent membrane proteins—encompassing Voltage-Gated Sodium Channels ($\text{Nav}$), the P-type $\text{Na}^+/\text{K}^+$-ATPase pump, and Solute Carrier ($\text{SLC}$) transporters—which exhibit proximity in Protein Language Model ($\text{PLM}$) embedding space. This bioinformatic clustering suggests a convergence of sequence or structural features beyond shared functional class, likely relating to conserved domains that govern interaction with the hydrophobic membrane core and sterols. The detailed analysis confirms a bimodal regulatory system: these proteins are subject both to specific, high-affinity binding of steroid ligands (e.g., Cardiotonic Steroids or sulfated neurosteroids) and to fundamental structural modulation by membrane cholesterol. The $\text{Na}^+/\text{K}^+$-ATPase complex is identified as the central energetic and metabolic nexus of this cluster, providing the sodium gradient essential for all members, while simultaneously acting as a critical sensor for membrane cholesterol and steroid hormones, thereby coordinating systemic endocrine status with cellular excitability and neurotransmission.</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2hgdhliuuwgg" w:id="2"/>
      <w:bookmarkEnd w:id="2"/>
      <w:r w:rsidDel="00000000" w:rsidR="00000000" w:rsidRPr="00000000">
        <w:rPr>
          <w:b w:val="1"/>
          <w:color w:val="1b1c1d"/>
          <w:sz w:val="34"/>
          <w:szCs w:val="34"/>
          <w:rtl w:val="0"/>
        </w:rPr>
        <w:t xml:space="preserve">I. INTRODUCTION: CONVERGENCE OF SODIUM DEPENDENCE AND STEROID MODULATION</w:t>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7m2jlqsl9gt6" w:id="3"/>
      <w:bookmarkEnd w:id="3"/>
      <w:r w:rsidDel="00000000" w:rsidR="00000000" w:rsidRPr="00000000">
        <w:rPr>
          <w:b w:val="1"/>
          <w:color w:val="1b1c1d"/>
          <w:sz w:val="26"/>
          <w:szCs w:val="26"/>
          <w:rtl w:val="0"/>
        </w:rPr>
        <w:t xml:space="preserve">A. Contextualizing the Protein Language Model (PLM) Clustering</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collection of proteins examined herein—including $\text{Nav}1.7$, its auxiliary $\beta$ subunits, the three subunits of the $\text{Na}^+/\text{K}^+$-ATPase ($\alpha$, $\beta$, $\gamma$/$\text{FXYD}2$), the Sodium-Dependent Dopamine Transporter ($\text{DAT}/\text{SLC}6\text{A}3$), and the Sodium-Dependent Organic Anion Transporter ($\text{SOAT}/\text{SLC}10\text{A}6$)—represents three distinct classes of membrane-embedded machinery: ion channels, active pumps, and secondary transporters. The observation that these disparate units cluster within a single region of the $\text{PLM}$ embedding space implies that despite their functional differences, their primary sequences contain conserved signatures, potentially within their transmembrane domains, that dictate shared characteristics such as integration efficiency, stability within specific membrane microdomains, or shared recognition motifs for sterol molecules.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shared structural requirement for robust function within the lipid bilayer is hypothesized to be the fundamental feature captured by the $\text{PLM}$ embedding similarity.</w:t>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uqtzjvhn5wsp" w:id="4"/>
      <w:bookmarkEnd w:id="4"/>
      <w:r w:rsidDel="00000000" w:rsidR="00000000" w:rsidRPr="00000000">
        <w:rPr>
          <w:b w:val="1"/>
          <w:color w:val="1b1c1d"/>
          <w:sz w:val="26"/>
          <w:szCs w:val="26"/>
          <w:rtl w:val="0"/>
        </w:rPr>
        <w:t xml:space="preserve">B. Overview of Sodium-Dependent Membrane Protein Superfamilies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physiological role unifying this cluster is their reliance on, or establishment of, the sodium electrochemical gradient across the plasma membrane, a crucial determinant of animal cell viability and specialized function.</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Voltage-Gated Sodium Channels ($\text{Nav}$), such as $\text{Nav}1.7$, mediate the passive, selective flow of $\text{Na}^+$ ions down their concentration gradient, enabling rapid cellular depolarization and the propagation of electrical signals in excitable cells.</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 contrast, the $\text{Na}^+/\text{K}^+$-ATPase is a P-type ATPase that performs primary active transport, utilizing the energy derived from $\text{ATP}$ hydrolysis to pump three $\text{Na}^+$ ions out of the cell in exchange for two $\text{K}^+$ ions entering the cell. This action is paramount for maintaining the resting membrane potential and establishing the steep ionic gradients necessary for life.</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Solute Carrier ($\text{SLC}$) family members, $\text{DAT}$ and $\text{SOAT}$, employ secondary active transport. They harness the energy stored in the transmembrane $\text{Na}^+$ gradient to drive the uphill movement of substrates—dopamine (co-transported with $\text{Cl}^-$) or sulfated organic anions—back into the cell.</w:t>
      </w:r>
      <w:r w:rsidDel="00000000" w:rsidR="00000000" w:rsidRPr="00000000">
        <w:rPr>
          <w:color w:val="444746"/>
          <w:sz w:val="40"/>
          <w:szCs w:val="40"/>
          <w:highlight w:val="white"/>
          <w:vertAlign w:val="superscript"/>
          <w:rtl w:val="0"/>
        </w:rPr>
        <w:t xml:space="preserve">8</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1 details the core functional classification of the proteins within this cluster.</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1: Overview of Sodium-Dependent Proteins, Functional Class, and Mechanism</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2.407643312102"/>
        <w:gridCol w:w="2241.6305732484075"/>
        <w:gridCol w:w="2158.1656050955417"/>
        <w:gridCol w:w="2527.796178343949"/>
        <w:tblGridChange w:id="0">
          <w:tblGrid>
            <w:gridCol w:w="2432.407643312102"/>
            <w:gridCol w:w="2241.6305732484075"/>
            <w:gridCol w:w="2158.1656050955417"/>
            <w:gridCol w:w="2527.796178343949"/>
          </w:tblGrid>
        </w:tblGridChange>
      </w:tblGrid>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spacing w:after="480" w:lineRule="auto"/>
              <w:rPr>
                <w:color w:val="1b1c1d"/>
              </w:rPr>
            </w:pPr>
            <w:r w:rsidDel="00000000" w:rsidR="00000000" w:rsidRPr="00000000">
              <w:rPr>
                <w:b w:val="1"/>
                <w:color w:val="1b1c1d"/>
                <w:rtl w:val="0"/>
              </w:rPr>
              <w:t xml:space="preserve">Protein (Synonym)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spacing w:after="480" w:lineRule="auto"/>
              <w:rPr>
                <w:color w:val="1b1c1d"/>
              </w:rPr>
            </w:pPr>
            <w:r w:rsidDel="00000000" w:rsidR="00000000" w:rsidRPr="00000000">
              <w:rPr>
                <w:b w:val="1"/>
                <w:color w:val="1b1c1d"/>
                <w:rtl w:val="0"/>
              </w:rPr>
              <w:t xml:space="preserve">Gene Class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spacing w:after="480" w:lineRule="auto"/>
              <w:rPr>
                <w:color w:val="1b1c1d"/>
              </w:rPr>
            </w:pPr>
            <w:r w:rsidDel="00000000" w:rsidR="00000000" w:rsidRPr="00000000">
              <w:rPr>
                <w:b w:val="1"/>
                <w:color w:val="1b1c1d"/>
                <w:rtl w:val="0"/>
              </w:rPr>
              <w:t xml:space="preserve">Functional Class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spacing w:after="480" w:lineRule="auto"/>
              <w:rPr>
                <w:color w:val="1b1c1d"/>
              </w:rPr>
            </w:pPr>
            <w:r w:rsidDel="00000000" w:rsidR="00000000" w:rsidRPr="00000000">
              <w:rPr>
                <w:b w:val="1"/>
                <w:color w:val="1b1c1d"/>
                <w:rtl w:val="0"/>
              </w:rPr>
              <w:t xml:space="preserve">Mechanism of Na+ Dependence</w:t>
            </w:r>
            <w:r w:rsidDel="00000000" w:rsidR="00000000" w:rsidRPr="00000000">
              <w:rPr>
                <w:rtl w:val="0"/>
              </w:rPr>
            </w:r>
          </w:p>
        </w:tc>
      </w:tr>
      <w:tr>
        <w:trPr>
          <w:cantSplit w:val="0"/>
          <w:trHeight w:val="108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spacing w:after="480" w:lineRule="auto"/>
              <w:rPr>
                <w:color w:val="1b1c1d"/>
              </w:rPr>
            </w:pPr>
            <w:r w:rsidDel="00000000" w:rsidR="00000000" w:rsidRPr="00000000">
              <w:rPr>
                <w:color w:val="1b1c1d"/>
                <w:rtl w:val="0"/>
              </w:rPr>
              <w:t xml:space="preserve">$\text{Nav}1.7$ ($\text{SCN}9\text{A}$)</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spacing w:after="480" w:lineRule="auto"/>
              <w:rPr>
                <w:color w:val="1b1c1d"/>
              </w:rPr>
            </w:pPr>
            <w:r w:rsidDel="00000000" w:rsidR="00000000" w:rsidRPr="00000000">
              <w:rPr>
                <w:color w:val="1b1c1d"/>
                <w:rtl w:val="0"/>
              </w:rPr>
              <w:t xml:space="preserve">$\text{VGSC}$</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spacing w:after="480" w:lineRule="auto"/>
              <w:rPr>
                <w:color w:val="1b1c1d"/>
              </w:rPr>
            </w:pPr>
            <w:r w:rsidDel="00000000" w:rsidR="00000000" w:rsidRPr="00000000">
              <w:rPr>
                <w:color w:val="1b1c1d"/>
                <w:rtl w:val="0"/>
              </w:rPr>
              <w:t xml:space="preserve">Ion Channel ($\alpha$-subunit)</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spacing w:after="480" w:lineRule="auto"/>
              <w:rPr>
                <w:color w:val="1b1c1d"/>
              </w:rPr>
            </w:pPr>
            <w:r w:rsidDel="00000000" w:rsidR="00000000" w:rsidRPr="00000000">
              <w:rPr>
                <w:color w:val="1b1c1d"/>
                <w:rtl w:val="0"/>
              </w:rPr>
              <w:t xml:space="preserve">Passive $\text{Na}^+$ influx (electrochemical gradient)</w:t>
            </w:r>
          </w:p>
        </w:tc>
      </w:tr>
      <w:tr>
        <w:trPr>
          <w:cantSplit w:val="0"/>
          <w:trHeight w:val="108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spacing w:after="480" w:lineRule="auto"/>
              <w:rPr>
                <w:color w:val="1b1c1d"/>
              </w:rPr>
            </w:pPr>
            <w:r w:rsidDel="00000000" w:rsidR="00000000" w:rsidRPr="00000000">
              <w:rPr>
                <w:color w:val="1b1c1d"/>
                <w:rtl w:val="0"/>
              </w:rPr>
              <w:t xml:space="preserve">$\text{SCN}\beta 1, \beta 2, \beta 3$</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spacing w:after="480" w:lineRule="auto"/>
              <w:rPr>
                <w:color w:val="1b1c1d"/>
              </w:rPr>
            </w:pPr>
            <w:r w:rsidDel="00000000" w:rsidR="00000000" w:rsidRPr="00000000">
              <w:rPr>
                <w:color w:val="1b1c1d"/>
                <w:rtl w:val="0"/>
              </w:rPr>
              <w:t xml:space="preserve">$\text{VGSC}$</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spacing w:after="480" w:lineRule="auto"/>
              <w:rPr>
                <w:color w:val="1b1c1d"/>
              </w:rPr>
            </w:pPr>
            <w:r w:rsidDel="00000000" w:rsidR="00000000" w:rsidRPr="00000000">
              <w:rPr>
                <w:color w:val="1b1c1d"/>
                <w:rtl w:val="0"/>
              </w:rPr>
              <w:t xml:space="preserve">Accessory/Regulatory</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b1c1d"/>
              </w:rPr>
            </w:pPr>
            <w:r w:rsidDel="00000000" w:rsidR="00000000" w:rsidRPr="00000000">
              <w:rPr>
                <w:color w:val="1b1c1d"/>
                <w:rtl w:val="0"/>
              </w:rPr>
              <w:t xml:space="preserve">Modulates $\alpha$-subunit kinetics and localization</w:t>
            </w:r>
          </w:p>
        </w:tc>
      </w:tr>
      <w:tr>
        <w:trPr>
          <w:cantSplit w:val="0"/>
          <w:trHeight w:val="145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spacing w:after="480" w:lineRule="auto"/>
              <w:rPr>
                <w:color w:val="1b1c1d"/>
              </w:rPr>
            </w:pPr>
            <w:r w:rsidDel="00000000" w:rsidR="00000000" w:rsidRPr="00000000">
              <w:rPr>
                <w:color w:val="1b1c1d"/>
                <w:rtl w:val="0"/>
              </w:rPr>
              <w:t xml:space="preserve">$\text{Na}^+/\text{K}^+$-ATPase ($\alpha, \beta$)</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b1c1d"/>
              </w:rPr>
            </w:pPr>
            <w:r w:rsidDel="00000000" w:rsidR="00000000" w:rsidRPr="00000000">
              <w:rPr>
                <w:color w:val="1b1c1d"/>
                <w:rtl w:val="0"/>
              </w:rPr>
              <w:t xml:space="preserve">P-ATPase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b1c1d"/>
              </w:rPr>
            </w:pPr>
            <w:r w:rsidDel="00000000" w:rsidR="00000000" w:rsidRPr="00000000">
              <w:rPr>
                <w:color w:val="1b1c1d"/>
                <w:rtl w:val="0"/>
              </w:rPr>
              <w:t xml:space="preserve">Primary Active Pump</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Active $3\text{Na}^+/2\text{K}^+$ exchange ($\text{ATP}$ hydrolysis) </w:t>
            </w:r>
            <w:r w:rsidDel="00000000" w:rsidR="00000000" w:rsidRPr="00000000">
              <w:rPr>
                <w:color w:val="444746"/>
                <w:sz w:val="40"/>
                <w:szCs w:val="40"/>
                <w:highlight w:val="white"/>
                <w:vertAlign w:val="superscript"/>
                <w:rtl w:val="0"/>
              </w:rPr>
              <w:t xml:space="preserve">7</w:t>
            </w:r>
          </w:p>
        </w:tc>
      </w:tr>
      <w:tr>
        <w:trPr>
          <w:cantSplit w:val="0"/>
          <w:trHeight w:val="11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b1c1d"/>
              </w:rPr>
            </w:pPr>
            <w:r w:rsidDel="00000000" w:rsidR="00000000" w:rsidRPr="00000000">
              <w:rPr>
                <w:color w:val="1b1c1d"/>
                <w:rtl w:val="0"/>
              </w:rPr>
              <w:t xml:space="preserve">$\text{FXYD}2$ ($\gamma$-subunit)</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b1c1d"/>
              </w:rPr>
            </w:pPr>
            <w:r w:rsidDel="00000000" w:rsidR="00000000" w:rsidRPr="00000000">
              <w:rPr>
                <w:color w:val="1b1c1d"/>
                <w:rtl w:val="0"/>
              </w:rPr>
              <w:t xml:space="preserve">$\text{FXYD}/\text{P}$-ATPase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b1c1d"/>
              </w:rPr>
            </w:pPr>
            <w:r w:rsidDel="00000000" w:rsidR="00000000" w:rsidRPr="00000000">
              <w:rPr>
                <w:color w:val="1b1c1d"/>
                <w:rtl w:val="0"/>
              </w:rPr>
              <w:t xml:space="preserve">Auxiliary Regulator</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Tissue-specific modulation of pump affinity </w:t>
            </w:r>
            <w:r w:rsidDel="00000000" w:rsidR="00000000" w:rsidRPr="00000000">
              <w:rPr>
                <w:color w:val="444746"/>
                <w:sz w:val="40"/>
                <w:szCs w:val="40"/>
                <w:highlight w:val="white"/>
                <w:vertAlign w:val="superscript"/>
                <w:rtl w:val="0"/>
              </w:rPr>
              <w:t xml:space="preserve">7</w:t>
            </w:r>
          </w:p>
        </w:tc>
      </w:tr>
      <w:tr>
        <w:trPr>
          <w:cantSplit w:val="0"/>
          <w:trHeight w:val="11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b1c1d"/>
              </w:rPr>
            </w:pPr>
            <w:r w:rsidDel="00000000" w:rsidR="00000000" w:rsidRPr="00000000">
              <w:rPr>
                <w:color w:val="1b1c1d"/>
                <w:rtl w:val="0"/>
              </w:rPr>
              <w:t xml:space="preserve">$\text{DAT}$ ($\text{SLC}6\text{A}3$)</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b1c1d"/>
              </w:rPr>
            </w:pPr>
            <w:r w:rsidDel="00000000" w:rsidR="00000000" w:rsidRPr="00000000">
              <w:rPr>
                <w:color w:val="1b1c1d"/>
                <w:rtl w:val="0"/>
              </w:rPr>
              <w:t xml:space="preserve">$\text{SLC}6$</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b1c1d"/>
              </w:rPr>
            </w:pPr>
            <w:r w:rsidDel="00000000" w:rsidR="00000000" w:rsidRPr="00000000">
              <w:rPr>
                <w:color w:val="1b1c1d"/>
                <w:rtl w:val="0"/>
              </w:rPr>
              <w:t xml:space="preserve">Secondary Active Transporter</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$\text{Na}^+/ \text{Cl}^-$ co-transport (Dopamine clearance) </w:t>
            </w:r>
            <w:r w:rsidDel="00000000" w:rsidR="00000000" w:rsidRPr="00000000">
              <w:rPr>
                <w:color w:val="444746"/>
                <w:sz w:val="40"/>
                <w:szCs w:val="40"/>
                <w:highlight w:val="white"/>
                <w:vertAlign w:val="superscript"/>
                <w:rtl w:val="0"/>
              </w:rPr>
              <w:t xml:space="preserve">9</w:t>
            </w:r>
          </w:p>
        </w:tc>
      </w:tr>
      <w:tr>
        <w:trPr>
          <w:cantSplit w:val="0"/>
          <w:trHeight w:val="90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b1c1d"/>
              </w:rPr>
            </w:pPr>
            <w:r w:rsidDel="00000000" w:rsidR="00000000" w:rsidRPr="00000000">
              <w:rPr>
                <w:color w:val="1b1c1d"/>
                <w:rtl w:val="0"/>
              </w:rPr>
              <w:t xml:space="preserve">$\text{SOAT}$ ($\text{SLC}10\text{A}6$)</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b1c1d"/>
              </w:rPr>
            </w:pPr>
            <w:r w:rsidDel="00000000" w:rsidR="00000000" w:rsidRPr="00000000">
              <w:rPr>
                <w:color w:val="1b1c1d"/>
                <w:rtl w:val="0"/>
              </w:rPr>
              <w:t xml:space="preserve">$\text{SLC}10$</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b1c1d"/>
              </w:rPr>
            </w:pPr>
            <w:r w:rsidDel="00000000" w:rsidR="00000000" w:rsidRPr="00000000">
              <w:rPr>
                <w:color w:val="1b1c1d"/>
                <w:rtl w:val="0"/>
              </w:rPr>
              <w:t xml:space="preserve">Secondary Active Transporter</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$\text{Na}^+$-dependent organic anion transport </w:t>
            </w:r>
            <w:r w:rsidDel="00000000" w:rsidR="00000000" w:rsidRPr="00000000">
              <w:rPr>
                <w:color w:val="444746"/>
                <w:sz w:val="40"/>
                <w:szCs w:val="40"/>
                <w:highlight w:val="white"/>
                <w:vertAlign w:val="superscript"/>
                <w:rtl w:val="0"/>
              </w:rPr>
              <w:t xml:space="preserve">10</w:t>
            </w:r>
          </w:p>
        </w:tc>
      </w:tr>
    </w:tbl>
    <w:p w:rsidR="00000000" w:rsidDel="00000000" w:rsidP="00000000" w:rsidRDefault="00000000" w:rsidRPr="00000000" w14:paraId="0000002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p402w55h5t8y" w:id="5"/>
      <w:bookmarkEnd w:id="5"/>
      <w:r w:rsidDel="00000000" w:rsidR="00000000" w:rsidRPr="00000000">
        <w:rPr>
          <w:b w:val="1"/>
          <w:color w:val="1b1c1d"/>
          <w:sz w:val="26"/>
          <w:szCs w:val="26"/>
          <w:rtl w:val="0"/>
        </w:rPr>
        <w:t xml:space="preserve">C. Foundational Understanding: The Bimodal Nature of Steroid Regulation</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analysis reveals that these membrane proteins interact with the sterol world through two principal modalities. First, several components exhibit high-affinity binding for specific steroid ligands, which results in acute, non-genomic modulation. Examples include the strong binding of Cardiotonic Steroids ($\text{CTS}$) to the $\text{Na}^+/\text{K}^+$-ATPase </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and the role of $\text{SOAT}$ as a dedicated transporter for sulfated steroids like $\text{DHEAS}$.</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Second, there is a pervasive reliance on bulk membrane structural lipids, particularly cholesterol, for basal function and kinetic fine-tuning. The operational efficacy and proper localization of $\text{Nav}1.7$, $\text{DAT}$, and the $\text{Na}^+/\text{K}^+$-ATPase are critically dependent on the surrounding cholesterol-rich microdomains, specifically lipid rafts.</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This necessary co-existence with membrane sterols suggests that the $\text{PLM}$ cluster is identifying an ancient and conserved structural solution for integrating functional transmembrane machinery into the complex, ordered architecture of the eukaryotic plasma membrane. This dual regulation—specific ligand recognition and structural sterol sensing—is key to understanding the deep linkage between cellular energy, excitability, and the endocrine system.</w:t>
      </w:r>
    </w:p>
    <w:p w:rsidR="00000000" w:rsidDel="00000000" w:rsidP="00000000" w:rsidRDefault="00000000" w:rsidRPr="00000000" w14:paraId="0000002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q9wkkx9gadl" w:id="6"/>
      <w:bookmarkEnd w:id="6"/>
      <w:r w:rsidDel="00000000" w:rsidR="00000000" w:rsidRPr="00000000">
        <w:rPr>
          <w:b w:val="1"/>
          <w:color w:val="1b1c1d"/>
          <w:sz w:val="34"/>
          <w:szCs w:val="34"/>
          <w:rtl w:val="0"/>
        </w:rPr>
        <w:t xml:space="preserve">II. VOLTAGE-GATED SODIUM CHANNEL ($\text{Nav}$) REGULATORY SYSTEM</w:t>
      </w:r>
    </w:p>
    <w:p w:rsidR="00000000" w:rsidDel="00000000" w:rsidP="00000000" w:rsidRDefault="00000000" w:rsidRPr="00000000" w14:paraId="000000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n83pqdbwvpb5" w:id="7"/>
      <w:bookmarkEnd w:id="7"/>
      <w:r w:rsidDel="00000000" w:rsidR="00000000" w:rsidRPr="00000000">
        <w:rPr>
          <w:b w:val="1"/>
          <w:color w:val="1b1c1d"/>
          <w:sz w:val="26"/>
          <w:szCs w:val="26"/>
          <w:rtl w:val="0"/>
        </w:rPr>
        <w:t xml:space="preserve">A. $\text{Nav}1.7$ ($\text{SCN}9\text{A}$) Structure and Pathophysiology</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$\text{Nav}1.7$ protein, encoded by the $\text{SCN}9\text{A}$ gene, functions as the primary $\alpha$-subunit of a voltage-gated sodium channel, defining the ion-conduction pore and containing the voltage-sensing domains.</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$\text{Nav}1.7$ channels possess a highly selective pore that attracts $\text{Na}^+$ while excluding larger ions like $\text{K}^+$, achieved by a constriction just large enough for a single hydrated $\text{Na}^+$ ion to pass.</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Functional channel activity is precisely controlled by two gates: a voltage-dependent activating gate and a time-dependent inactivating gate that ensures controlled depolarization.</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$\text{Nav}1.7$ is predominantly expressed in peripheral sensory neurons (nociceptors), where it plays a crucial role in regulating the excitability threshold necessary for generating action potentials in response to painful stimuli.</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Genetic alterations in $\text{SCN}9\text{A}$ result in a spectrum of severe hereditary pain disorders, collectively known as channelopathies. Loss-of-function mutations lead to the production of nonfunctional $\alpha$-subunits, preventing $\text{Na}^+$ influx and blocking pain signal transmission, which results in congenital insensitivity to pain ($\text{CIP}$) and associated loss of smell (anosmia).</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Conversely, gain-of-function mutations, which cause the channel to open more easily or fail to close completely, increase $\text{Na}^+$ influx and enhance pain transmission, manifesting as conditions like erythromelalgia and Paroxysmal Extreme Pain Disorder ($\text{PEPD}$).</w:t>
      </w:r>
      <w:r w:rsidDel="00000000" w:rsidR="00000000" w:rsidRPr="00000000">
        <w:rPr>
          <w:color w:val="444746"/>
          <w:sz w:val="40"/>
          <w:szCs w:val="40"/>
          <w:highlight w:val="white"/>
          <w:vertAlign w:val="superscript"/>
          <w:rtl w:val="0"/>
        </w:rPr>
        <w:t xml:space="preserve">17</w:t>
      </w:r>
    </w:p>
    <w:p w:rsidR="00000000" w:rsidDel="00000000" w:rsidP="00000000" w:rsidRDefault="00000000" w:rsidRPr="00000000" w14:paraId="0000003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170ijoqdflyl" w:id="8"/>
      <w:bookmarkEnd w:id="8"/>
      <w:r w:rsidDel="00000000" w:rsidR="00000000" w:rsidRPr="00000000">
        <w:rPr>
          <w:b w:val="1"/>
          <w:color w:val="1b1c1d"/>
          <w:sz w:val="26"/>
          <w:szCs w:val="26"/>
          <w:rtl w:val="0"/>
        </w:rPr>
        <w:t xml:space="preserve">B. $\text{Nav}$ Accessory $\beta$-Subunits: $\text{SCN}\beta 1$, $\text{SCN}\beta 2$, $\text{SCN}\beta 3$</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large $\text{Nav} \alpha$-subunits typically associate with one or two auxiliary $\beta$-subunits. These accessory proteins do not form the ion pore but are essential regulatory components that modulate the $\text{Nav}$ channel complex.</w:t>
      </w:r>
      <w:r w:rsidDel="00000000" w:rsidR="00000000" w:rsidRPr="00000000">
        <w:rPr>
          <w:color w:val="444746"/>
          <w:sz w:val="40"/>
          <w:szCs w:val="40"/>
          <w:highlight w:val="white"/>
          <w:vertAlign w:val="superscript"/>
          <w:rtl w:val="0"/>
        </w:rPr>
        <w:t xml:space="preserve">19</w:t>
      </w:r>
      <w:r w:rsidDel="00000000" w:rsidR="00000000" w:rsidRPr="00000000">
        <w:rPr>
          <w:color w:val="1b1c1d"/>
          <w:rtl w:val="0"/>
        </w:rPr>
        <w:t xml:space="preserve"> Their primary roles include facilitating the efficient trafficking and correct insertion of the $\alpha$-subunit into the plasma membrane, acting as a molecular chaperone </w:t>
      </w:r>
      <w:r w:rsidDel="00000000" w:rsidR="00000000" w:rsidRPr="00000000">
        <w:rPr>
          <w:color w:val="444746"/>
          <w:sz w:val="40"/>
          <w:szCs w:val="40"/>
          <w:highlight w:val="white"/>
          <w:vertAlign w:val="superscript"/>
          <w:rtl w:val="0"/>
        </w:rPr>
        <w:t xml:space="preserve">20</w:t>
      </w:r>
      <w:r w:rsidDel="00000000" w:rsidR="00000000" w:rsidRPr="00000000">
        <w:rPr>
          <w:color w:val="1b1c1d"/>
          <w:rtl w:val="0"/>
        </w:rPr>
        <w:t xml:space="preserve">, and fine-tuning channel gating kinetics.</w:t>
      </w:r>
      <w:r w:rsidDel="00000000" w:rsidR="00000000" w:rsidRPr="00000000">
        <w:rPr>
          <w:color w:val="444746"/>
          <w:sz w:val="40"/>
          <w:szCs w:val="40"/>
          <w:highlight w:val="white"/>
          <w:vertAlign w:val="superscript"/>
          <w:rtl w:val="0"/>
        </w:rPr>
        <w:t xml:space="preserve">19</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$\text{SCN}\beta$ subunits confer tissue-specific electrical properties. For instance, in the heart, co-expression of $\text{SCN}\beta 3$ with the cardiac $\alpha$-subunit ($\text{SCN}5\text{a}$) resulted in a threefold increase in functional channel expression compared to the $\alpha$-subunit alone.</w:t>
      </w:r>
      <w:r w:rsidDel="00000000" w:rsidR="00000000" w:rsidRPr="00000000">
        <w:rPr>
          <w:color w:val="444746"/>
          <w:sz w:val="40"/>
          <w:szCs w:val="40"/>
          <w:highlight w:val="white"/>
          <w:vertAlign w:val="superscript"/>
          <w:rtl w:val="0"/>
        </w:rPr>
        <w:t xml:space="preserve">20</w:t>
      </w:r>
      <w:r w:rsidDel="00000000" w:rsidR="00000000" w:rsidRPr="00000000">
        <w:rPr>
          <w:color w:val="1b1c1d"/>
          <w:rtl w:val="0"/>
        </w:rPr>
        <w:t xml:space="preserve"> Furthermore, $\text{SCN}\beta 1$ and $\text{SCN}\beta 3$ exert distinctive effects on channel kinetics. $\text{SCN}\beta 3$ causes a significant depolarizing shift in the half-voltage of steady-state inactivation, and the speed of recovery from inactivation is distinct when $\text{SCN}5\text{a}$ is co-expressed with $\text{SCN}\beta 1$ versus $\text{SCN}\beta 3$. These subtle but critical kinetic differences, combined with varying expression patterns, demonstrate that these auxiliary subunits are essential for integrated electrical activity across different tissues.</w:t>
      </w:r>
      <w:r w:rsidDel="00000000" w:rsidR="00000000" w:rsidRPr="00000000">
        <w:rPr>
          <w:color w:val="444746"/>
          <w:sz w:val="40"/>
          <w:szCs w:val="40"/>
          <w:highlight w:val="white"/>
          <w:vertAlign w:val="superscript"/>
          <w:rtl w:val="0"/>
        </w:rPr>
        <w:t xml:space="preserve">20</w:t>
      </w:r>
    </w:p>
    <w:p w:rsidR="00000000" w:rsidDel="00000000" w:rsidP="00000000" w:rsidRDefault="00000000" w:rsidRPr="00000000" w14:paraId="000000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f0jr9gym9160" w:id="9"/>
      <w:bookmarkEnd w:id="9"/>
      <w:r w:rsidDel="00000000" w:rsidR="00000000" w:rsidRPr="00000000">
        <w:rPr>
          <w:b w:val="1"/>
          <w:color w:val="1b1c1d"/>
          <w:sz w:val="26"/>
          <w:szCs w:val="26"/>
          <w:rtl w:val="0"/>
        </w:rPr>
        <w:t xml:space="preserve">C. Steroid and Sterol Interactions in $\text{Nav}$ Channels</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$\text{Nav}$ channel function is susceptible to modulation by neurosteroids, which are endogenous steroid metabolites synthesized locally in the central nervous system.</w:t>
      </w:r>
      <w:r w:rsidDel="00000000" w:rsidR="00000000" w:rsidRPr="00000000">
        <w:rPr>
          <w:color w:val="444746"/>
          <w:sz w:val="40"/>
          <w:szCs w:val="40"/>
          <w:highlight w:val="white"/>
          <w:vertAlign w:val="superscript"/>
          <w:rtl w:val="0"/>
        </w:rPr>
        <w:t xml:space="preserve">21</w:t>
      </w:r>
      <w:r w:rsidDel="00000000" w:rsidR="00000000" w:rsidRPr="00000000">
        <w:rPr>
          <w:color w:val="1b1c1d"/>
          <w:rtl w:val="0"/>
        </w:rPr>
        <w:t xml:space="preserve"> Pregnenolone sulfate ($\text{PS}$), a prominent neurosteroid, is known to modulate a plethora of ion channels and transporters, acting not merely as a metabolic byproduct but as an active signaling molecule.</w:t>
      </w:r>
      <w:r w:rsidDel="00000000" w:rsidR="00000000" w:rsidRPr="00000000">
        <w:rPr>
          <w:color w:val="444746"/>
          <w:sz w:val="40"/>
          <w:szCs w:val="40"/>
          <w:highlight w:val="white"/>
          <w:vertAlign w:val="superscript"/>
          <w:rtl w:val="0"/>
        </w:rPr>
        <w:t xml:space="preserve">22</w:t>
      </w:r>
      <w:r w:rsidDel="00000000" w:rsidR="00000000" w:rsidRPr="00000000">
        <w:rPr>
          <w:color w:val="1b1c1d"/>
          <w:rtl w:val="0"/>
        </w:rPr>
        <w:t xml:space="preserve"> $\text{PS}$ operates allosterically, potentiating responses mediated by ionotropic receptors such as $\text{NMDA}$ receptors.</w:t>
      </w:r>
      <w:r w:rsidDel="00000000" w:rsidR="00000000" w:rsidRPr="00000000">
        <w:rPr>
          <w:color w:val="444746"/>
          <w:sz w:val="40"/>
          <w:szCs w:val="40"/>
          <w:highlight w:val="white"/>
          <w:vertAlign w:val="superscript"/>
          <w:rtl w:val="0"/>
        </w:rPr>
        <w:t xml:space="preserve">23</w:t>
      </w:r>
      <w:r w:rsidDel="00000000" w:rsidR="00000000" w:rsidRPr="00000000">
        <w:rPr>
          <w:color w:val="1b1c1d"/>
          <w:rtl w:val="0"/>
        </w:rPr>
        <w:t xml:space="preserve"> Structurally, $\text{Nav}$ channels possess several internal, hydrophobic cavities, termed fenestrations, and a binding site beneath the intracellular gate (Site $\text{BIG}$), which are recognized as binding sites for small molecule drugs.</w:t>
      </w:r>
      <w:r w:rsidDel="00000000" w:rsidR="00000000" w:rsidRPr="00000000">
        <w:rPr>
          <w:color w:val="444746"/>
          <w:sz w:val="40"/>
          <w:szCs w:val="40"/>
          <w:highlight w:val="white"/>
          <w:vertAlign w:val="superscript"/>
          <w:rtl w:val="0"/>
        </w:rPr>
        <w:t xml:space="preserve">24</w:t>
      </w:r>
      <w:r w:rsidDel="00000000" w:rsidR="00000000" w:rsidRPr="00000000">
        <w:rPr>
          <w:color w:val="1b1c1d"/>
          <w:rtl w:val="0"/>
        </w:rPr>
        <w:t xml:space="preserve"> These transmembrane pockets are suitable for accommodating the sterol backbone of neurosteroids like $\text{PS}$, allowing them to serve as non-genomic modulators that acutely alter the channel's biophysical properties.</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addition to specific steroid ligands, the channel’s function is intrinsically linked to the bulk properties of the membrane. Studies confirm that membrane cholesterol acts as an essential structural regulator for $\text{Nav}1.7$. Depletion of cholesterol significantly modifies the structure, dynamic behavior, and activation mechanism of $\text{Nav}1.7$.</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This highlights that structural sterol interaction with the transmembrane helices is crucial for baseline channel function and suggests that the channel’s precise biophysical characteristics are conditional upon its lipid microenvironment, likely through sequestration within cholesterol-rich membrane microdomains.</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profound implication of this neurosteroid sensitivity relates to pain pathways. $\text{Nav}1.7$ is a key target in nociception.</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Research has established that in the absence of functional $\text{Nav}1.7$ activity (as seen in $\text{CIP}$ patients), the body compensates by inducing a massive potentiation of the endogenous opioid regulatory system.</w:t>
      </w:r>
      <w:r w:rsidDel="00000000" w:rsidR="00000000" w:rsidRPr="00000000">
        <w:rPr>
          <w:color w:val="444746"/>
          <w:sz w:val="40"/>
          <w:szCs w:val="40"/>
          <w:highlight w:val="white"/>
          <w:vertAlign w:val="superscript"/>
          <w:rtl w:val="0"/>
        </w:rPr>
        <w:t xml:space="preserve">26</w:t>
      </w:r>
      <w:r w:rsidDel="00000000" w:rsidR="00000000" w:rsidRPr="00000000">
        <w:rPr>
          <w:color w:val="1b1c1d"/>
          <w:rtl w:val="0"/>
        </w:rPr>
        <w:t xml:space="preserve"> This leads to a lifetime of analgesia. The discovery that $\text{Nav}1.7$ activity is finely modulated by neurosteroids such as $\text{PS}$ and its membrane cholesterol environment indicates that fluctuations in local steroid concentration could functionally mimic a partial loss of $\text{Nav}1.7$ activity. This non-genomic mechanism suggests a direct neuroendocrine means by which pain sensitivity thresholds are modulated in an individualized manner, potentially interacting with, and regulating, the endogenous opioid response system.</w:t>
      </w:r>
    </w:p>
    <w:p w:rsidR="00000000" w:rsidDel="00000000" w:rsidP="00000000" w:rsidRDefault="00000000" w:rsidRPr="00000000" w14:paraId="0000003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g83v276q4gc6" w:id="10"/>
      <w:bookmarkEnd w:id="10"/>
      <w:r w:rsidDel="00000000" w:rsidR="00000000" w:rsidRPr="00000000">
        <w:rPr>
          <w:b w:val="1"/>
          <w:color w:val="1b1c1d"/>
          <w:sz w:val="34"/>
          <w:szCs w:val="34"/>
          <w:rtl w:val="0"/>
        </w:rPr>
        <w:t xml:space="preserve">III. $\text{Na}^+/\text{K}^+$-TRANSPORTING ATPASE ($\text{NaK}$-ATPase) COMPLEX</w:t>
      </w:r>
    </w:p>
    <w:p w:rsidR="00000000" w:rsidDel="00000000" w:rsidP="00000000" w:rsidRDefault="00000000" w:rsidRPr="00000000" w14:paraId="0000003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18r3o21favxy" w:id="11"/>
      <w:bookmarkEnd w:id="11"/>
      <w:r w:rsidDel="00000000" w:rsidR="00000000" w:rsidRPr="00000000">
        <w:rPr>
          <w:b w:val="1"/>
          <w:color w:val="1b1c1d"/>
          <w:sz w:val="26"/>
          <w:szCs w:val="26"/>
          <w:rtl w:val="0"/>
        </w:rPr>
        <w:t xml:space="preserve">A. Core Architecture and Function</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$\text{Na}^+/\text{K}^+$-ATPase (or sodium pump) is a member of the P-type ATPase family, defined by the formation of a phosphorylated intermediate during its catalytic cycle.</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It is critical for establishing and maintaining the cellular $\text{Na}^+$ and $\text{K}^+$ gradients, consuming $\text{ATP}$ to exchange three $\text{Na}^+$ ions for two $\text{K}^+$ ions.</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functional unit is an oligomer comprising three main types of subunits:</w:t>
      </w:r>
    </w:p>
    <w:p w:rsidR="00000000" w:rsidDel="00000000" w:rsidP="00000000" w:rsidRDefault="00000000" w:rsidRPr="00000000" w14:paraId="0000003B">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$\alpha$-Subunit:</w:t>
      </w:r>
      <w:r w:rsidDel="00000000" w:rsidR="00000000" w:rsidRPr="00000000">
        <w:rPr>
          <w:color w:val="1b1c1d"/>
          <w:rtl w:val="0"/>
        </w:rPr>
        <w:t xml:space="preserve"> This is the catalytic core, responsible for $\text{ATP}$ hydrolysis, cation transport, and containing the binding site for cardiotonic steroids.</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Four isoforms have been identified.</w:t>
      </w:r>
    </w:p>
    <w:p w:rsidR="00000000" w:rsidDel="00000000" w:rsidP="00000000" w:rsidRDefault="00000000" w:rsidRPr="00000000" w14:paraId="0000003C">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$\beta$-Subunit ($\beta 1$):</w:t>
      </w:r>
      <w:r w:rsidDel="00000000" w:rsidR="00000000" w:rsidRPr="00000000">
        <w:rPr>
          <w:color w:val="1b1c1d"/>
          <w:rtl w:val="0"/>
        </w:rPr>
        <w:t xml:space="preserve"> A glycosylated type $\text{II}$ membrane protein that acts as a necessary molecular chaperone, ensuring the correct membrane insertion of the $\alpha$-subunit and modulating its kinetic properties.</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3D">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$\gamma$-Subunit ($\text{FXYD}2$):</w:t>
      </w:r>
      <w:r w:rsidDel="00000000" w:rsidR="00000000" w:rsidRPr="00000000">
        <w:rPr>
          <w:color w:val="1b1c1d"/>
          <w:rtl w:val="0"/>
        </w:rPr>
        <w:t xml:space="preserve"> A small accessory protein belonging to the $\text{FXYD}$ family, which regulates $\text{Na}^+/\text{K}^+$-ATPase activity in a tissue- and isoform-specific manner.</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3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x55bqitly1xh" w:id="12"/>
      <w:bookmarkEnd w:id="12"/>
      <w:r w:rsidDel="00000000" w:rsidR="00000000" w:rsidRPr="00000000">
        <w:rPr>
          <w:b w:val="1"/>
          <w:color w:val="1b1c1d"/>
          <w:sz w:val="26"/>
          <w:szCs w:val="26"/>
          <w:rtl w:val="0"/>
        </w:rPr>
        <w:t xml:space="preserve">B. Direct Steroid Interaction: Cardiotonic Steroids (CTS)</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$\text{Na}^+/\text{K}^+$-ATPase $\alpha$-subunit is the pharmacological receptor for Cardiotonic Steroids ($\text{CTS}$), also known as cardiac glycosides (e.g., Ouabain and Digoxin).</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These steroids bind specifically to an extracellular loop of the $\alpha$-subunit. The binding mechanism is one of partial inhibition, which directly reduces the $\text{Na}^+$ pumping activity.</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In cardiac tissue, this inhibition increases intracellular $\text{Na}^+$ concentration, which subsequently reduces the efficiency of the $\text{Na}^+/\text{Ca}^{2+}$ exchanger, resulting in elevated intracellular $\text{Ca}^{2+}$ levels and a positive inotropic effect.</w:t>
      </w:r>
      <w:r w:rsidDel="00000000" w:rsidR="00000000" w:rsidRPr="00000000">
        <w:rPr>
          <w:color w:val="444746"/>
          <w:sz w:val="40"/>
          <w:szCs w:val="40"/>
          <w:highlight w:val="white"/>
          <w:vertAlign w:val="superscript"/>
          <w:rtl w:val="0"/>
        </w:rPr>
        <w:t xml:space="preserve">11</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$\text{Na}^+/\text{K}^+$-ATPase exhibits a dual functionality regulated by $\text{CTS}$ concentrations. While high concentrations induce direct transport inhibition, lower, sub-inhibitory concentrations of $\text{CTS}$ act as signaling molecules. They initiate non-canonical signal transduction pathways, including the activation of $\text{MAPK}$ cascades, mitochondrial reactive oxygen species ($\text{ROS}$) production, and the phospholipase C signaling pathway.</w:t>
      </w:r>
      <w:r w:rsidDel="00000000" w:rsidR="00000000" w:rsidRPr="00000000">
        <w:rPr>
          <w:color w:val="444746"/>
          <w:sz w:val="40"/>
          <w:szCs w:val="40"/>
          <w:highlight w:val="white"/>
          <w:vertAlign w:val="superscript"/>
          <w:rtl w:val="0"/>
        </w:rPr>
        <w:t xml:space="preserve">27</w:t>
      </w:r>
      <w:r w:rsidDel="00000000" w:rsidR="00000000" w:rsidRPr="00000000">
        <w:rPr>
          <w:color w:val="1b1c1d"/>
          <w:rtl w:val="0"/>
        </w:rPr>
        <w:t xml:space="preserve"> Furthermore, the $\text{Na}^+/\text{K}^+$-ATPase/Endogenous Cardiac Steroid ($\text{ECS}$) system has been implicated in neurological pathology. Research suggests that decreased brain $\text{ECS}$ levels are associated with depressive- and manic-like behaviors in animal models, supporting the involvement of the $\alpha 1$ isoform in the etiology of Bipolar Disorder.</w:t>
      </w:r>
      <w:r w:rsidDel="00000000" w:rsidR="00000000" w:rsidRPr="00000000">
        <w:rPr>
          <w:color w:val="444746"/>
          <w:sz w:val="40"/>
          <w:szCs w:val="40"/>
          <w:highlight w:val="white"/>
          <w:vertAlign w:val="superscript"/>
          <w:rtl w:val="0"/>
        </w:rPr>
        <w:t xml:space="preserve">29</w:t>
      </w:r>
    </w:p>
    <w:p w:rsidR="00000000" w:rsidDel="00000000" w:rsidP="00000000" w:rsidRDefault="00000000" w:rsidRPr="00000000" w14:paraId="0000004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ulxczdagus3k" w:id="13"/>
      <w:bookmarkEnd w:id="13"/>
      <w:r w:rsidDel="00000000" w:rsidR="00000000" w:rsidRPr="00000000">
        <w:rPr>
          <w:b w:val="1"/>
          <w:color w:val="1b1c1d"/>
          <w:sz w:val="26"/>
          <w:szCs w:val="26"/>
          <w:rtl w:val="0"/>
        </w:rPr>
        <w:t xml:space="preserve">C. Regulatory Steroid Modulation (Genomic Control)</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activity and expression of the $\text{Na}^+/\text{K}^+$-ATPase are also heavily modulated by classic steroid hormones acting via genomic mechanisms. Steroids such as Aldosterone (a mineralocorticoid) and Dexamethasone (a glucocorticoid) bind to intracellular receptors, initiating a signaling cascade that controls the transcription of genes, including those encoding ionic transport systems.</w:t>
      </w:r>
      <w:r w:rsidDel="00000000" w:rsidR="00000000" w:rsidRPr="00000000">
        <w:rPr>
          <w:color w:val="444746"/>
          <w:sz w:val="40"/>
          <w:szCs w:val="40"/>
          <w:highlight w:val="white"/>
          <w:vertAlign w:val="superscript"/>
          <w:rtl w:val="0"/>
        </w:rPr>
        <w:t xml:space="preserve">30</w:t>
      </w:r>
      <w:r w:rsidDel="00000000" w:rsidR="00000000" w:rsidRPr="00000000">
        <w:rPr>
          <w:color w:val="1b1c1d"/>
          <w:rtl w:val="0"/>
        </w:rPr>
        <w:t xml:space="preserve"> Aldosterone is known to enhance the synthesis and increase the number of active $\text{Na}^+$ channels and $\text{Na}^+/\text{K}^+$-ATPase pumps, particularly in specialized epithelial cells of the kidney, thus regulating $\text{Na}^+$ and $\text{K}^+$ excretion.</w:t>
      </w:r>
      <w:r w:rsidDel="00000000" w:rsidR="00000000" w:rsidRPr="00000000">
        <w:rPr>
          <w:color w:val="444746"/>
          <w:sz w:val="40"/>
          <w:szCs w:val="40"/>
          <w:highlight w:val="white"/>
          <w:vertAlign w:val="superscript"/>
          <w:rtl w:val="0"/>
        </w:rPr>
        <w:t xml:space="preserve">30</w:t>
      </w:r>
      <w:r w:rsidDel="00000000" w:rsidR="00000000" w:rsidRPr="00000000">
        <w:rPr>
          <w:color w:val="1b1c1d"/>
          <w:rtl w:val="0"/>
        </w:rPr>
        <w:t xml:space="preserve"> This regulation is compartmentalized; for example, $10^{-8} \text{ M}$ Aldosterone stimulates $\text{Na}^+/\text{K}^+$-ATPase activity in the medullary collecting tubule, while an equimolar concentration of Dexamethasone specifically stimulates the enzyme in the medullary ascending limb, demonstrating distinct regulatory localization within the nephron.</w:t>
      </w:r>
      <w:r w:rsidDel="00000000" w:rsidR="00000000" w:rsidRPr="00000000">
        <w:rPr>
          <w:color w:val="444746"/>
          <w:sz w:val="40"/>
          <w:szCs w:val="40"/>
          <w:highlight w:val="white"/>
          <w:vertAlign w:val="superscript"/>
          <w:rtl w:val="0"/>
        </w:rPr>
        <w:t xml:space="preserve">31</w:t>
      </w:r>
    </w:p>
    <w:p w:rsidR="00000000" w:rsidDel="00000000" w:rsidP="00000000" w:rsidRDefault="00000000" w:rsidRPr="00000000" w14:paraId="0000004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b2dwauqrtagw" w:id="14"/>
      <w:bookmarkEnd w:id="14"/>
      <w:r w:rsidDel="00000000" w:rsidR="00000000" w:rsidRPr="00000000">
        <w:rPr>
          <w:b w:val="1"/>
          <w:color w:val="1b1c1d"/>
          <w:sz w:val="26"/>
          <w:szCs w:val="26"/>
          <w:rtl w:val="0"/>
        </w:rPr>
        <w:t xml:space="preserve">D. $\text{FXYD}2$ ($\gamma$-Subunit): An Auxiliary Steroid-Sensitive Regulator</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$\text{FXYD}2$ is a member of the $\text{FXYD}$ family of small membrane proteins, which includes $\text{FXYD}4$ (corticosteroid hormone-induced factor, $\text{CHIF}$).</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The inclusion of this auxiliary subunit in the $\text{PLM}$ cluster is significant, as it provides a direct, established link between steroid action and the fine-tuning of pump kinetics.</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$\text{FXYD}2$ is critical for tissue-specific regulation of the $\text{Na}^+/\text{K}^+$-ATPase, ensuring appropriate function in contexts such as renal $\text{Na}^+$ reabsorption and neuronal excitability.</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Structurally, $\text{FXYD}2$ contains specific residues, such as Arginine 27, that are positioned near the extracellular interface and interact with phospholipid polar head groups.</w:t>
      </w:r>
      <w:r w:rsidDel="00000000" w:rsidR="00000000" w:rsidRPr="00000000">
        <w:rPr>
          <w:color w:val="444746"/>
          <w:sz w:val="40"/>
          <w:szCs w:val="40"/>
          <w:highlight w:val="white"/>
          <w:vertAlign w:val="superscript"/>
          <w:rtl w:val="0"/>
        </w:rPr>
        <w:t xml:space="preserve">33</w:t>
      </w:r>
      <w:r w:rsidDel="00000000" w:rsidR="00000000" w:rsidRPr="00000000">
        <w:rPr>
          <w:color w:val="1b1c1d"/>
          <w:rtl w:val="0"/>
        </w:rPr>
        <w:t xml:space="preserve"> These interactions are crucial for stabilizing the overall $\text{Na}^+/\text{K}^+$-ATPase complex and maintaining the local membrane surface electrostatics necessary for proper function. Perturbations, such as mutations in $\text{FXYD}2$, have significant clinical consequences, including human hypomagnesemia.</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$\text{Na}^+/\text{K}^+$-ATPase complex serves a vital and often overlooked function as a master regulator of membrane cholesterol homeostasis. The integrity of the $\alpha 1$ subunit is directly coupled to the distribution of cholesterol within the plasma membrane. Experimental knockdown of $\text{Na}^+/\text{K}^+$-ATPase $\alpha 1$ subunit results in the redistribution of cholesterol from the plasma membrane into intracellular compartments.</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Mechanistically, this cholesterol movement activates the sterol regulatory element-binding protein ($\text{SREBP}$) pathway, leading to increased expression of key cholesterol synthesis enzymes. Thus, the $\text{Na}^+/\text{K}^+$-ATPase functions as a sophisticated "sterol sensor" that translates the metabolic state of the cell (via $\text{ATP}$ consumption and ion flux) directly into regulatory control over membrane lipid composition, demonstrating a profound link between ion transport, sterol biology, and gene regulation.</w:t>
      </w:r>
      <w:r w:rsidDel="00000000" w:rsidR="00000000" w:rsidRPr="00000000">
        <w:rPr>
          <w:color w:val="444746"/>
          <w:sz w:val="40"/>
          <w:szCs w:val="40"/>
          <w:highlight w:val="white"/>
          <w:vertAlign w:val="superscript"/>
          <w:rtl w:val="0"/>
        </w:rPr>
        <w:t xml:space="preserve">12</w:t>
      </w:r>
    </w:p>
    <w:p w:rsidR="00000000" w:rsidDel="00000000" w:rsidP="00000000" w:rsidRDefault="00000000" w:rsidRPr="00000000" w14:paraId="0000004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ebuol2k7obeq" w:id="15"/>
      <w:bookmarkEnd w:id="15"/>
      <w:r w:rsidDel="00000000" w:rsidR="00000000" w:rsidRPr="00000000">
        <w:rPr>
          <w:b w:val="1"/>
          <w:color w:val="1b1c1d"/>
          <w:sz w:val="34"/>
          <w:szCs w:val="34"/>
          <w:rtl w:val="0"/>
        </w:rPr>
        <w:t xml:space="preserve">IV. SODIUM-DEPENDENT SOLUTE CARRIER ($\text{SLC}$) TRANSPORTERS</w:t>
      </w:r>
    </w:p>
    <w:p w:rsidR="00000000" w:rsidDel="00000000" w:rsidP="00000000" w:rsidRDefault="00000000" w:rsidRPr="00000000" w14:paraId="0000004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p9r1i6hq15f4" w:id="16"/>
      <w:bookmarkEnd w:id="16"/>
      <w:r w:rsidDel="00000000" w:rsidR="00000000" w:rsidRPr="00000000">
        <w:rPr>
          <w:b w:val="1"/>
          <w:color w:val="1b1c1d"/>
          <w:sz w:val="26"/>
          <w:szCs w:val="26"/>
          <w:rtl w:val="0"/>
        </w:rPr>
        <w:t xml:space="preserve">A. Sodium-Dependent Dopamine Transporter ($\text{DAT}/\text{SLC}6\text{A}3$)</w:t>
      </w:r>
    </w:p>
    <w:p w:rsidR="00000000" w:rsidDel="00000000" w:rsidP="00000000" w:rsidRDefault="00000000" w:rsidRPr="00000000" w14:paraId="0000004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l4l1zjidvb12" w:id="17"/>
      <w:bookmarkEnd w:id="17"/>
      <w:r w:rsidDel="00000000" w:rsidR="00000000" w:rsidRPr="00000000">
        <w:rPr>
          <w:b w:val="1"/>
          <w:color w:val="1b1c1d"/>
          <w:sz w:val="22"/>
          <w:szCs w:val="22"/>
          <w:rtl w:val="0"/>
        </w:rPr>
        <w:t xml:space="preserve">1. General Function and Structure</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Dopamine Transporter ($\text{DAT}$), encoded by the $\text{SLC}6\text{A}3$ gene, is a membrane-spanning protein belonging to the $\text{SLC}6$ family of $\text{Na}^+/\text{Cl}^-$-dependent transporters.</w:t>
      </w:r>
      <w:r w:rsidDel="00000000" w:rsidR="00000000" w:rsidRPr="00000000">
        <w:rPr>
          <w:color w:val="444746"/>
          <w:sz w:val="40"/>
          <w:szCs w:val="40"/>
          <w:highlight w:val="white"/>
          <w:vertAlign w:val="superscript"/>
          <w:rtl w:val="0"/>
        </w:rPr>
        <w:t xml:space="preserve">34</w:t>
      </w:r>
      <w:r w:rsidDel="00000000" w:rsidR="00000000" w:rsidRPr="00000000">
        <w:rPr>
          <w:color w:val="1b1c1d"/>
          <w:rtl w:val="0"/>
        </w:rPr>
        <w:t xml:space="preserve"> Its critical function is the clearance of dopamine ($\text{DA}$) from the synaptic cleft back into the presynaptic neuron, thereby regulating dopaminergic signaling in the central nervous system.</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$\text{DA}$ translocation is coupled to the co-transport of two $\text{Na}^+$ ions and one $\text{Cl}^-$ ion, achieving transport against the concentration gradient by cycling between outward-facing ($\text{OF}$) and inward-facing ($\text{IF}$) conformational states.</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Dysfunction of $\text{DAT}$ is strongly implicated in the pathophysiology of numerous neuropsychiatric disorders, including attention deficit hyperactivity disorder and movement disorders.</w:t>
      </w:r>
      <w:r w:rsidDel="00000000" w:rsidR="00000000" w:rsidRPr="00000000">
        <w:rPr>
          <w:color w:val="444746"/>
          <w:sz w:val="40"/>
          <w:szCs w:val="40"/>
          <w:highlight w:val="white"/>
          <w:vertAlign w:val="superscript"/>
          <w:rtl w:val="0"/>
        </w:rPr>
        <w:t xml:space="preserve">37</w:t>
      </w:r>
    </w:p>
    <w:p w:rsidR="00000000" w:rsidDel="00000000" w:rsidP="00000000" w:rsidRDefault="00000000" w:rsidRPr="00000000" w14:paraId="0000004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p40kvr7gw3xt" w:id="18"/>
      <w:bookmarkEnd w:id="18"/>
      <w:r w:rsidDel="00000000" w:rsidR="00000000" w:rsidRPr="00000000">
        <w:rPr>
          <w:b w:val="1"/>
          <w:color w:val="1b1c1d"/>
          <w:sz w:val="22"/>
          <w:szCs w:val="22"/>
          <w:rtl w:val="0"/>
        </w:rPr>
        <w:t xml:space="preserve">2. Steroid and Sterol Modulation</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$\text{DAT}$ activity is modulated both by circulating sex hormones and by the structural environment of the plasma membrane. Estradiol and Progesterone fluctuate throughout the menstrual cycle and exert neuroactive effects on the dopaminergic system, influencing $\text{DA}$ release, turnover, receptors, and transporters.</w:t>
      </w:r>
      <w:r w:rsidDel="00000000" w:rsidR="00000000" w:rsidRPr="00000000">
        <w:rPr>
          <w:color w:val="444746"/>
          <w:sz w:val="40"/>
          <w:szCs w:val="40"/>
          <w:highlight w:val="white"/>
          <w:vertAlign w:val="superscript"/>
          <w:rtl w:val="0"/>
        </w:rPr>
        <w:t xml:space="preserve">38</w:t>
      </w:r>
      <w:r w:rsidDel="00000000" w:rsidR="00000000" w:rsidRPr="00000000">
        <w:rPr>
          <w:color w:val="1b1c1d"/>
          <w:rtl w:val="0"/>
        </w:rPr>
        <w:t xml:space="preserve"> Specifically, Progesterone, peaking during the luteal phase, has been linked to faster performance in cognitive tasks like working memory and response inhibition.</w:t>
      </w:r>
      <w:r w:rsidDel="00000000" w:rsidR="00000000" w:rsidRPr="00000000">
        <w:rPr>
          <w:color w:val="444746"/>
          <w:sz w:val="40"/>
          <w:szCs w:val="40"/>
          <w:highlight w:val="white"/>
          <w:vertAlign w:val="superscript"/>
          <w:rtl w:val="0"/>
        </w:rPr>
        <w:t xml:space="preserve">40</w:t>
      </w:r>
      <w:r w:rsidDel="00000000" w:rsidR="00000000" w:rsidRPr="00000000">
        <w:rPr>
          <w:color w:val="1b1c1d"/>
          <w:rtl w:val="0"/>
        </w:rPr>
        <w:t xml:space="preserve"> This suggests an acute, non-genomic modulation of $\text{DAT}$ or related systems, implying that physiological shifts in Progesterone levels directly affect dopamine-dependent executive functions.</w:t>
      </w:r>
      <w:r w:rsidDel="00000000" w:rsidR="00000000" w:rsidRPr="00000000">
        <w:rPr>
          <w:color w:val="444746"/>
          <w:sz w:val="40"/>
          <w:szCs w:val="40"/>
          <w:highlight w:val="white"/>
          <w:vertAlign w:val="superscript"/>
          <w:rtl w:val="0"/>
        </w:rPr>
        <w:t xml:space="preserve">40</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membrane lipid environment is an equally critical regulator. $\text{DAT}$ function is highly sensitive to membrane cholesterol content, exhibiting a segregated localization within cholesterol-rich lipid raft microdomains and cholesterol-scarce non-raft regions.</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Cholesterol acts as a crucial allosteric modulator that influences the protein’s structural transitions between the $\text{OF}$ and $\text{IF}$ states. This cholesterol dependence is pharmacologically significant: the distinct actions of $\text{DAT}$ blockers (like cocaine) and substrates (like amphetamine) are differentially regulated by membrane cholesterol.</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Furthermore, the observation that peripheral cholesterol metabolism is altered in psychostimulant use disorders underscores the therapeutic potential of cholesterol-modifying drugs to target $\text{DAT}$ function and vulnerability to relapse.</w:t>
      </w:r>
      <w:r w:rsidDel="00000000" w:rsidR="00000000" w:rsidRPr="00000000">
        <w:rPr>
          <w:color w:val="444746"/>
          <w:sz w:val="40"/>
          <w:szCs w:val="40"/>
          <w:highlight w:val="white"/>
          <w:vertAlign w:val="superscript"/>
          <w:rtl w:val="0"/>
        </w:rPr>
        <w:t xml:space="preserve">14</w:t>
      </w:r>
    </w:p>
    <w:p w:rsidR="00000000" w:rsidDel="00000000" w:rsidP="00000000" w:rsidRDefault="00000000" w:rsidRPr="00000000" w14:paraId="0000004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uru8n7nmo4ac" w:id="19"/>
      <w:bookmarkEnd w:id="19"/>
      <w:r w:rsidDel="00000000" w:rsidR="00000000" w:rsidRPr="00000000">
        <w:rPr>
          <w:b w:val="1"/>
          <w:color w:val="1b1c1d"/>
          <w:sz w:val="26"/>
          <w:szCs w:val="26"/>
          <w:rtl w:val="0"/>
        </w:rPr>
        <w:t xml:space="preserve">B. Sodium-Dependent Organic Anion Transporter ($\text{SOAT}/\text{SLC}10\text{A}6$)</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Sodium-Dependent Organic Anion Transporter ($\text{SOAT}$, or $\text{SLC}10\text{A}6$) provides the most direct link between the $\text{Na}^+$ gradient and steroid metabolism in this cluster. $\text{SOAT}$ belongs to the $\text{SLC}10$ family, but unlike related family members which transport major bile acids, $\text{SOAT}$ exhibits unique and specific transport activity for $3'$- and $17'$-monosulfated steroid hormones, such as $\text{DHEAS}$ (Dehydroepiandrosterone sulfate).</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Only minor bile acid species, such as taurolithocholic acid-3-sulfate ($\text{TLCS}$), are transported by $\text{SOAT}$.</w:t>
      </w:r>
      <w:r w:rsidDel="00000000" w:rsidR="00000000" w:rsidRPr="00000000">
        <w:rPr>
          <w:color w:val="444746"/>
          <w:sz w:val="40"/>
          <w:szCs w:val="40"/>
          <w:highlight w:val="white"/>
          <w:vertAlign w:val="superscript"/>
          <w:rtl w:val="0"/>
        </w:rPr>
        <w:t xml:space="preserve">10</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high specificity for sulfated steroids establishes $\text{SOAT}$ as a critical carrier responsible for controlling the local concentration and systemic clearance of these conjugated steroid precursors and signaling molecules. $\text{SOAT}$ is hypothesized to play a significant role in testicular steroid regulation and, consequently, male fertility.</w:t>
      </w:r>
      <w:r w:rsidDel="00000000" w:rsidR="00000000" w:rsidRPr="00000000">
        <w:rPr>
          <w:color w:val="444746"/>
          <w:sz w:val="40"/>
          <w:szCs w:val="40"/>
          <w:highlight w:val="white"/>
          <w:vertAlign w:val="superscript"/>
          <w:rtl w:val="0"/>
        </w:rPr>
        <w:t xml:space="preserve">41</w:t>
      </w:r>
      <w:r w:rsidDel="00000000" w:rsidR="00000000" w:rsidRPr="00000000">
        <w:rPr>
          <w:color w:val="1b1c1d"/>
          <w:rtl w:val="0"/>
        </w:rPr>
        <w:t xml:space="preserve"> By relying on the $\text{Na}^+$ gradient, $\text{SOAT}$ effectively couples the cellular energy state (maintained by the $\text{Na}^+/\text{K}^+$-ATPase) to the active management of neurosteroid and steroid sulfate levels, a process essential for neuroendocrine feedback and tissue-specific hormone action.</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dependence on the sodium gradient creates a critical causal link between systemic endocrine regulation and central nervous system function. The $\text{Na}^+/\text{K}^+$-ATPase establishes the necessary gradient used by $\text{DAT}$ for dopamine clearance and by $\text{SOAT}$ for steroid sulfate management. Since the pump itself is regulated by systemic steroid hormones such as Aldosterone </w:t>
      </w:r>
      <w:r w:rsidDel="00000000" w:rsidR="00000000" w:rsidRPr="00000000">
        <w:rPr>
          <w:color w:val="444746"/>
          <w:sz w:val="40"/>
          <w:szCs w:val="40"/>
          <w:highlight w:val="white"/>
          <w:vertAlign w:val="superscript"/>
          <w:rtl w:val="0"/>
        </w:rPr>
        <w:t xml:space="preserve">30</w:t>
      </w:r>
      <w:r w:rsidDel="00000000" w:rsidR="00000000" w:rsidRPr="00000000">
        <w:rPr>
          <w:color w:val="1b1c1d"/>
          <w:rtl w:val="0"/>
        </w:rPr>
        <w:t xml:space="preserve">, transcriptional regulation of the $\text{Na}^+/\text{K}^+$-ATPase dictates the overall energetic capacity for $\text{DAT}$ function, thereby linking endocrine control of systemic fluid and electrolyte balance directly to the efficiency of neurotransmission.</w:t>
      </w:r>
    </w:p>
    <w:p w:rsidR="00000000" w:rsidDel="00000000" w:rsidP="00000000" w:rsidRDefault="00000000" w:rsidRPr="00000000" w14:paraId="0000005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ssoc6eebqei8" w:id="20"/>
      <w:bookmarkEnd w:id="20"/>
      <w:r w:rsidDel="00000000" w:rsidR="00000000" w:rsidRPr="00000000">
        <w:rPr>
          <w:b w:val="1"/>
          <w:color w:val="1b1c1d"/>
          <w:sz w:val="34"/>
          <w:szCs w:val="34"/>
          <w:rtl w:val="0"/>
        </w:rPr>
        <w:t xml:space="preserve">V. CROSS-CUTTING OVERVIEW: MECHANISTIC AND STRUCTURAL CONVERGENCE</w:t>
      </w:r>
    </w:p>
    <w:p w:rsidR="00000000" w:rsidDel="00000000" w:rsidP="00000000" w:rsidRDefault="00000000" w:rsidRPr="00000000" w14:paraId="0000005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8a56fdptyi2" w:id="21"/>
      <w:bookmarkEnd w:id="21"/>
      <w:r w:rsidDel="00000000" w:rsidR="00000000" w:rsidRPr="00000000">
        <w:rPr>
          <w:b w:val="1"/>
          <w:color w:val="1b1c1d"/>
          <w:sz w:val="26"/>
          <w:szCs w:val="26"/>
          <w:rtl w:val="0"/>
        </w:rPr>
        <w:t xml:space="preserve">A. The Energetic Hierarchy: $\text{Na}^+$ Dependence as the Foundational Pathway</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proteins in this $\text{PLM}$ cluster, while fulfilling diverse functions (signaling, transport, pumping), form an interconnected energetic and regulatory hierarchy rooted in $\text{Na}^+$ homeostasis. The $\text{Na}^+/\text{K}^+$-ATPase is the absolute physiological keystone, consuming $\text{ATP}$ to maintain the steep transmembrane $\text{Na}^+$ gradient.</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The functional integrity of all other members, including the passive $\text{Nav}$ channels (whose driving force depends on the gradient) and the secondary active $\text{SLC}$ transporters ($\text{DAT}, \text{SOAT}$), is entirely contingent upon the pump's activity. Consequently, steroid regulation targeting the $\text{Na}^+/\text{K}^+$-ATPase (whether via genomic control by Aldosterone or non-genomic modulation by $\text{CTS}$) exerts a powerful top-down regulatory influence, enabling systemic endocrine status to tune cellular excitability and metabolite transport across all functional classes in the cluster.</w:t>
      </w:r>
    </w:p>
    <w:p w:rsidR="00000000" w:rsidDel="00000000" w:rsidP="00000000" w:rsidRDefault="00000000" w:rsidRPr="00000000" w14:paraId="0000005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hnc3yaut4oh" w:id="22"/>
      <w:bookmarkEnd w:id="22"/>
      <w:r w:rsidDel="00000000" w:rsidR="00000000" w:rsidRPr="00000000">
        <w:rPr>
          <w:b w:val="1"/>
          <w:color w:val="1b1c1d"/>
          <w:sz w:val="26"/>
          <w:szCs w:val="26"/>
          <w:rtl w:val="0"/>
        </w:rPr>
        <w:t xml:space="preserve">B. Structural and Evolutionary Homology of Sterol Sensing</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clustering of these structurally disparate proteins by $\text{PLM}$ embedding space provides evidence for a shared evolutionary solution related to the accommodation of the sterol scaffold within the membrane environment. This shared mechanism centers on membrane cholesterol and the organization of proteins into lipid rafts.</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$\text{Nav}1.7$, the $\text{Na}^+/\text{K}^+$-ATPase, and $\text{DAT}$ all rely critically on cholesterol for basal stability and kinetic modulation.</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Cholesterol is not a passive component but an essential allosteric regulator, influencing the conformational shifts (as seen in $\text{DAT}$) or stabilizing the correct configuration of the complex (as seen in $\text{NaK}$-ATPase).</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The profound dependence of these large transmembrane assemblies on their localization within ordered, cholesterol-rich microdomains suggests that the conserved sequence features identified by the $\text{PLM}$ models likely reflect structural motifs necessary for stable, functional insertion into these specific membrane environments. These motifs permit the robust integration of electrochemical machinery, while simultaneously creating binding interfaces sensitive to steroid ligands and bulk sterol concentration.</w:t>
      </w:r>
    </w:p>
    <w:p w:rsidR="00000000" w:rsidDel="00000000" w:rsidP="00000000" w:rsidRDefault="00000000" w:rsidRPr="00000000" w14:paraId="0000005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sssl9kbosuph" w:id="23"/>
      <w:bookmarkEnd w:id="23"/>
      <w:r w:rsidDel="00000000" w:rsidR="00000000" w:rsidRPr="00000000">
        <w:rPr>
          <w:b w:val="1"/>
          <w:color w:val="1b1c1d"/>
          <w:sz w:val="26"/>
          <w:szCs w:val="26"/>
          <w:rtl w:val="0"/>
        </w:rPr>
        <w:t xml:space="preserve">C. Auxiliary Subunit Convergence: $\text{FXYD}$ and $\text{SCN}\beta$</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 striking parallel evolutionary mechanism observed across the cluster involves the use of small, single-transmembrane domain auxiliary subunits to fine-tune the activity of the massive catalytic $\alpha$-subunits. The $\text{Nav}$ channels utilize $\text{SCN}\beta$ subunits, and the $\text{Na}^+/\text{K}^+$-ATPase utilizes the $\text{FXYD}$ family ($\text{FXYD}2$). These auxiliary proteins are characterized by simplicity in structure yet complexity in regulation.</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existence of corticosteroid-induced factors like $\text{FXYD}4$ (within the $\text{FXYD}$ family) </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combined with the role of $\text{FXYD}2$ in stabilizing membrane interactions </w:t>
      </w:r>
      <w:r w:rsidDel="00000000" w:rsidR="00000000" w:rsidRPr="00000000">
        <w:rPr>
          <w:color w:val="444746"/>
          <w:sz w:val="40"/>
          <w:szCs w:val="40"/>
          <w:highlight w:val="white"/>
          <w:vertAlign w:val="superscript"/>
          <w:rtl w:val="0"/>
        </w:rPr>
        <w:t xml:space="preserve">33</w:t>
      </w:r>
      <w:r w:rsidDel="00000000" w:rsidR="00000000" w:rsidRPr="00000000">
        <w:rPr>
          <w:color w:val="1b1c1d"/>
          <w:rtl w:val="0"/>
        </w:rPr>
        <w:t xml:space="preserve">, parallels the function of $\text{SCN}\beta$ subunits in modulating channel kinetics and trafficking.</w:t>
      </w:r>
      <w:r w:rsidDel="00000000" w:rsidR="00000000" w:rsidRPr="00000000">
        <w:rPr>
          <w:color w:val="444746"/>
          <w:sz w:val="40"/>
          <w:szCs w:val="40"/>
          <w:highlight w:val="white"/>
          <w:vertAlign w:val="superscript"/>
          <w:rtl w:val="0"/>
        </w:rPr>
        <w:t xml:space="preserve">19</w:t>
      </w:r>
      <w:r w:rsidDel="00000000" w:rsidR="00000000" w:rsidRPr="00000000">
        <w:rPr>
          <w:color w:val="1b1c1d"/>
          <w:rtl w:val="0"/>
        </w:rPr>
        <w:t xml:space="preserve"> This common design principle suggests that these subunits evolved as conserved molecular "antennae" positioned to rapidly sense and transduce information about the immediate membrane environment, including localized fluctuations in neurosteroids, $\text{ATP}$ availability, and phospholipid composition, back to the core transport or channel machinery.</w:t>
      </w:r>
    </w:p>
    <w:p w:rsidR="00000000" w:rsidDel="00000000" w:rsidP="00000000" w:rsidRDefault="00000000" w:rsidRPr="00000000" w14:paraId="0000005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mqse1yly7nv3" w:id="24"/>
      <w:bookmarkEnd w:id="24"/>
      <w:r w:rsidDel="00000000" w:rsidR="00000000" w:rsidRPr="00000000">
        <w:rPr>
          <w:b w:val="1"/>
          <w:color w:val="1b1c1d"/>
          <w:sz w:val="26"/>
          <w:szCs w:val="26"/>
          <w:rtl w:val="0"/>
        </w:rPr>
        <w:t xml:space="preserve">D. Therapeutic Implications</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established regulatory overlap within this cluster presents synergistic opportunities for targeted pharmacology. The universal sensitivity of $\text{Nav}1.7$, $\text{NaK}$-ATPase, and $\text{DAT}$ to membrane cholesterol suggests that therapeutic strategies aimed at altering lipid raft composition or sterol availability could simultaneously modulate several key physiological processes—such as neuronal excitability, cardiac rhythm, and neurotransmitter handling.</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This systems-level approach offers an alternative to highly specific inhibitors that frequently suffer from off-target side effects. For instance, modulating membrane fluidity could globally influence pain threshold (via $\text{Nav}1.7$) and addiction pathways (via $\text{DAT}$).</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Furthermore, the dedicated function of $\text{SOAT}$ as a transporter for sulfated steroids (DHEAS) establishes it as a precise metabolic control point.</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Developing selective $\text{SOAT}$ inhibitors or modulators would allow for localized, fine-tuned control over the concentration of circulating neurosteroid precursors, offering a mechanism to indirectly modulate the activity of neurosteroid-sensitive targets like $\text{Nav}1.7$ without systemic hormonal intervention.</w:t>
      </w:r>
    </w:p>
    <w:p w:rsidR="00000000" w:rsidDel="00000000" w:rsidP="00000000" w:rsidRDefault="00000000" w:rsidRPr="00000000" w14:paraId="0000005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acf1dum9hc" w:id="25"/>
      <w:bookmarkEnd w:id="25"/>
      <w:r w:rsidDel="00000000" w:rsidR="00000000" w:rsidRPr="00000000">
        <w:rPr>
          <w:b w:val="1"/>
          <w:color w:val="1b1c1d"/>
          <w:sz w:val="34"/>
          <w:szCs w:val="34"/>
          <w:rtl w:val="0"/>
        </w:rPr>
        <w:t xml:space="preserve">VI. CONCLUSION</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$\text{PLM}$ clustering of sodium-dependent proteins, despite their diverse functions as channels, pumps, and transporters, is demonstrably justified by their shared mechanistic reliance on sterols and their interconnected regulatory pathways. The $\text{Na}^+/\text{K}^+$-ATPase stands as the indispensable foundation, not only generating the electrochemical potential necessary for all other elements but also acting as a crucial sensor that connects cellular ion status to lipid metabolism and gene transcription. Steroid regulation in this cluster operates bimodally: through genomic, systemic control (e.g., Aldosterone on $\text{NaK}$-ATPase), and through immediate, non-genomic structural modulation by membrane cholesterol and specific neurosteroids ($\text{PS}$ on $\text{Nav}1.7$; Progesterone on $\text{DAT}$). The auxiliary subunit convergence ($\text{SCN}\beta$ and $\text{FXYD}2$) further supports the hypothesis of a conserved, rapid signaling mechanism optimized for integrating membrane environmental cues. These findings underscore the critical physiological intersection of sodium homeostasis, membrane biophysics, and endocrine signaling, offering promising new avenues for the development of systemic therapeutics.</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2 synthesizes the critical steroid interactions across the proteins analyzed.</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2: Steroid Ligands, Binding Mechanisms, and Pathological Relevance</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2.919708029197"/>
        <w:gridCol w:w="1753.5766423357663"/>
        <w:gridCol w:w="1992.7007299270074"/>
        <w:gridCol w:w="1332.2627737226276"/>
        <w:gridCol w:w="1958.5401459854015"/>
        <w:tblGridChange w:id="0">
          <w:tblGrid>
            <w:gridCol w:w="2322.919708029197"/>
            <w:gridCol w:w="1753.5766423357663"/>
            <w:gridCol w:w="1992.7007299270074"/>
            <w:gridCol w:w="1332.2627737226276"/>
            <w:gridCol w:w="1958.5401459854015"/>
          </w:tblGrid>
        </w:tblGridChange>
      </w:tblGrid>
      <w:tr>
        <w:trPr>
          <w:cantSplit w:val="0"/>
          <w:trHeight w:val="108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spacing w:after="480" w:lineRule="auto"/>
              <w:rPr>
                <w:color w:val="1b1c1d"/>
              </w:rPr>
            </w:pPr>
            <w:r w:rsidDel="00000000" w:rsidR="00000000" w:rsidRPr="00000000">
              <w:rPr>
                <w:b w:val="1"/>
                <w:color w:val="1b1c1d"/>
                <w:rtl w:val="0"/>
              </w:rPr>
              <w:t xml:space="preserve">Protein Complex</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spacing w:after="480" w:lineRule="auto"/>
              <w:rPr>
                <w:color w:val="1b1c1d"/>
              </w:rPr>
            </w:pPr>
            <w:r w:rsidDel="00000000" w:rsidR="00000000" w:rsidRPr="00000000">
              <w:rPr>
                <w:b w:val="1"/>
                <w:color w:val="1b1c1d"/>
                <w:rtl w:val="0"/>
              </w:rPr>
              <w:t xml:space="preserve">Key Steroid/Sterol Ligand(s)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spacing w:after="480" w:lineRule="auto"/>
              <w:rPr>
                <w:color w:val="1b1c1d"/>
              </w:rPr>
            </w:pPr>
            <w:r w:rsidDel="00000000" w:rsidR="00000000" w:rsidRPr="00000000">
              <w:rPr>
                <w:b w:val="1"/>
                <w:color w:val="1b1c1d"/>
                <w:rtl w:val="0"/>
              </w:rPr>
              <w:t xml:space="preserve">Interaction Mechanism/Domain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spacing w:after="480" w:lineRule="auto"/>
              <w:rPr>
                <w:color w:val="1b1c1d"/>
              </w:rPr>
            </w:pPr>
            <w:r w:rsidDel="00000000" w:rsidR="00000000" w:rsidRPr="00000000">
              <w:rPr>
                <w:b w:val="1"/>
                <w:color w:val="1b1c1d"/>
                <w:rtl w:val="0"/>
              </w:rPr>
              <w:t xml:space="preserve">Action Modality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spacing w:after="480" w:lineRule="auto"/>
              <w:rPr>
                <w:color w:val="1b1c1d"/>
              </w:rPr>
            </w:pPr>
            <w:r w:rsidDel="00000000" w:rsidR="00000000" w:rsidRPr="00000000">
              <w:rPr>
                <w:b w:val="1"/>
                <w:color w:val="1b1c1d"/>
                <w:rtl w:val="0"/>
              </w:rPr>
              <w:t xml:space="preserve">Key Pathophysiological Role</w:t>
            </w:r>
            <w:r w:rsidDel="00000000" w:rsidR="00000000" w:rsidRPr="00000000">
              <w:rPr>
                <w:rtl w:val="0"/>
              </w:rPr>
            </w:r>
          </w:p>
        </w:tc>
      </w:tr>
      <w:tr>
        <w:trPr>
          <w:cantSplit w:val="0"/>
          <w:trHeight w:val="163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spacing w:after="480" w:lineRule="auto"/>
              <w:rPr>
                <w:color w:val="1b1c1d"/>
              </w:rPr>
            </w:pPr>
            <w:r w:rsidDel="00000000" w:rsidR="00000000" w:rsidRPr="00000000">
              <w:rPr>
                <w:color w:val="1b1c1d"/>
                <w:rtl w:val="0"/>
              </w:rPr>
              <w:t xml:space="preserve">$\text{Nav}1.7$ Complex</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spacing w:after="480" w:lineRule="auto"/>
              <w:rPr>
                <w:color w:val="1b1c1d"/>
              </w:rPr>
            </w:pPr>
            <w:r w:rsidDel="00000000" w:rsidR="00000000" w:rsidRPr="00000000">
              <w:rPr>
                <w:color w:val="1b1c1d"/>
                <w:rtl w:val="0"/>
              </w:rPr>
              <w:t xml:space="preserve">Pregnenolone Sulfate ($\text{PS}$), Cholesterol</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spacing w:after="480" w:lineRule="auto"/>
              <w:rPr>
                <w:color w:val="1b1c1d"/>
              </w:rPr>
            </w:pPr>
            <w:r w:rsidDel="00000000" w:rsidR="00000000" w:rsidRPr="00000000">
              <w:rPr>
                <w:color w:val="1b1c1d"/>
                <w:rtl w:val="0"/>
              </w:rPr>
              <w:t xml:space="preserve">Allosteric, Hydrophobic Pockets, Lipid Raft Partitioning</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spacing w:after="480" w:lineRule="auto"/>
              <w:rPr>
                <w:color w:val="1b1c1d"/>
              </w:rPr>
            </w:pPr>
            <w:r w:rsidDel="00000000" w:rsidR="00000000" w:rsidRPr="00000000">
              <w:rPr>
                <w:color w:val="1b1c1d"/>
                <w:rtl w:val="0"/>
              </w:rPr>
              <w:t xml:space="preserve">Non-Genomic Modulation, Structural Regulation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Nociceptor hyperexcitability and chronic pain </w:t>
            </w:r>
            <w:r w:rsidDel="00000000" w:rsidR="00000000" w:rsidRPr="00000000">
              <w:rPr>
                <w:color w:val="444746"/>
                <w:sz w:val="40"/>
                <w:szCs w:val="40"/>
                <w:highlight w:val="white"/>
                <w:vertAlign w:val="superscript"/>
                <w:rtl w:val="0"/>
              </w:rPr>
              <w:t xml:space="preserve">13</w:t>
            </w:r>
          </w:p>
        </w:tc>
      </w:tr>
      <w:tr>
        <w:trPr>
          <w:cantSplit w:val="0"/>
          <w:trHeight w:val="136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spacing w:after="480" w:lineRule="auto"/>
              <w:rPr>
                <w:color w:val="1b1c1d"/>
              </w:rPr>
            </w:pPr>
            <w:r w:rsidDel="00000000" w:rsidR="00000000" w:rsidRPr="00000000">
              <w:rPr>
                <w:color w:val="1b1c1d"/>
                <w:rtl w:val="0"/>
              </w:rPr>
              <w:t xml:space="preserve">$\text{Na}^+/\text{K}^+$-ATPase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spacing w:after="480" w:lineRule="auto"/>
              <w:rPr>
                <w:color w:val="1b1c1d"/>
              </w:rPr>
            </w:pPr>
            <w:r w:rsidDel="00000000" w:rsidR="00000000" w:rsidRPr="00000000">
              <w:rPr>
                <w:color w:val="1b1c1d"/>
                <w:rtl w:val="0"/>
              </w:rPr>
              <w:t xml:space="preserve">Cardiotonic Steroids ($\text{Ouabain}$, $\text{ECS}$)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spacing w:after="480" w:lineRule="auto"/>
              <w:rPr>
                <w:color w:val="1b1c1d"/>
              </w:rPr>
            </w:pPr>
            <w:r w:rsidDel="00000000" w:rsidR="00000000" w:rsidRPr="00000000">
              <w:rPr>
                <w:color w:val="1b1c1d"/>
                <w:rtl w:val="0"/>
              </w:rPr>
              <w:t xml:space="preserve">High-affinity binding to $\alpha$-subunit (extracellular)</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spacing w:after="480" w:lineRule="auto"/>
              <w:rPr>
                <w:color w:val="1b1c1d"/>
              </w:rPr>
            </w:pPr>
            <w:r w:rsidDel="00000000" w:rsidR="00000000" w:rsidRPr="00000000">
              <w:rPr>
                <w:color w:val="1b1c1d"/>
                <w:rtl w:val="0"/>
              </w:rPr>
              <w:t xml:space="preserve">Direct Inhibition, Signal Transduction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Cardiac failure, Bipolar Disorder etiology </w:t>
            </w:r>
            <w:r w:rsidDel="00000000" w:rsidR="00000000" w:rsidRPr="00000000">
              <w:rPr>
                <w:color w:val="444746"/>
                <w:sz w:val="40"/>
                <w:szCs w:val="40"/>
                <w:highlight w:val="white"/>
                <w:vertAlign w:val="superscript"/>
                <w:rtl w:val="0"/>
              </w:rPr>
              <w:t xml:space="preserve">11</w:t>
            </w:r>
          </w:p>
        </w:tc>
      </w:tr>
      <w:tr>
        <w:trPr>
          <w:cantSplit w:val="0"/>
          <w:trHeight w:val="11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spacing w:after="480" w:lineRule="auto"/>
              <w:rPr>
                <w:color w:val="1b1c1d"/>
              </w:rPr>
            </w:pPr>
            <w:r w:rsidDel="00000000" w:rsidR="00000000" w:rsidRPr="00000000">
              <w:rPr>
                <w:color w:val="1b1c1d"/>
                <w:rtl w:val="0"/>
              </w:rPr>
              <w:t xml:space="preserve">$\text{Na}^+/\text{K}^+$-ATPase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spacing w:after="480" w:lineRule="auto"/>
              <w:rPr>
                <w:color w:val="1b1c1d"/>
              </w:rPr>
            </w:pPr>
            <w:r w:rsidDel="00000000" w:rsidR="00000000" w:rsidRPr="00000000">
              <w:rPr>
                <w:color w:val="1b1c1d"/>
                <w:rtl w:val="0"/>
              </w:rPr>
              <w:t xml:space="preserve">Aldosterone, Dexamethasone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spacing w:after="480" w:lineRule="auto"/>
              <w:rPr>
                <w:color w:val="1b1c1d"/>
              </w:rPr>
            </w:pPr>
            <w:r w:rsidDel="00000000" w:rsidR="00000000" w:rsidRPr="00000000">
              <w:rPr>
                <w:color w:val="1b1c1d"/>
                <w:rtl w:val="0"/>
              </w:rPr>
              <w:t xml:space="preserve">Nuclear Receptor Activation, Gene Transcription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spacing w:after="480" w:lineRule="auto"/>
              <w:rPr>
                <w:color w:val="1b1c1d"/>
              </w:rPr>
            </w:pPr>
            <w:r w:rsidDel="00000000" w:rsidR="00000000" w:rsidRPr="00000000">
              <w:rPr>
                <w:color w:val="1b1c1d"/>
                <w:rtl w:val="0"/>
              </w:rPr>
              <w:t xml:space="preserve">Indirect Genomic Regulation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Fluid and electrolyte homeostasis (Renal) </w:t>
            </w:r>
            <w:r w:rsidDel="00000000" w:rsidR="00000000" w:rsidRPr="00000000">
              <w:rPr>
                <w:color w:val="444746"/>
                <w:sz w:val="40"/>
                <w:szCs w:val="40"/>
                <w:highlight w:val="white"/>
                <w:vertAlign w:val="superscript"/>
                <w:rtl w:val="0"/>
              </w:rPr>
              <w:t xml:space="preserve">30</w:t>
            </w:r>
          </w:p>
        </w:tc>
      </w:tr>
      <w:tr>
        <w:trPr>
          <w:cantSplit w:val="0"/>
          <w:trHeight w:val="163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spacing w:after="480" w:lineRule="auto"/>
              <w:rPr>
                <w:color w:val="1b1c1d"/>
              </w:rPr>
            </w:pPr>
            <w:r w:rsidDel="00000000" w:rsidR="00000000" w:rsidRPr="00000000">
              <w:rPr>
                <w:color w:val="1b1c1d"/>
                <w:rtl w:val="0"/>
              </w:rPr>
              <w:t xml:space="preserve">$\text{DAT}$ ($\text{SLC}6\text{A}3$)</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spacing w:after="480" w:lineRule="auto"/>
              <w:rPr>
                <w:color w:val="1b1c1d"/>
              </w:rPr>
            </w:pPr>
            <w:r w:rsidDel="00000000" w:rsidR="00000000" w:rsidRPr="00000000">
              <w:rPr>
                <w:color w:val="1b1c1d"/>
                <w:rtl w:val="0"/>
              </w:rPr>
              <w:t xml:space="preserve">Progesterone, Cholesterol</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spacing w:after="480" w:lineRule="auto"/>
              <w:rPr>
                <w:color w:val="1b1c1d"/>
              </w:rPr>
            </w:pPr>
            <w:r w:rsidDel="00000000" w:rsidR="00000000" w:rsidRPr="00000000">
              <w:rPr>
                <w:color w:val="1b1c1d"/>
                <w:rtl w:val="0"/>
              </w:rPr>
              <w:t xml:space="preserve">Allosteric, Lipid Raft Segregation, Conformational Shift</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spacing w:after="480" w:lineRule="auto"/>
              <w:rPr>
                <w:color w:val="1b1c1d"/>
              </w:rPr>
            </w:pPr>
            <w:r w:rsidDel="00000000" w:rsidR="00000000" w:rsidRPr="00000000">
              <w:rPr>
                <w:color w:val="1b1c1d"/>
                <w:rtl w:val="0"/>
              </w:rPr>
              <w:t xml:space="preserve">Non-Genomic Modulation, Structural Regulation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Dopamine signaling, Addiction, Cognitive function </w:t>
            </w:r>
            <w:r w:rsidDel="00000000" w:rsidR="00000000" w:rsidRPr="00000000">
              <w:rPr>
                <w:color w:val="444746"/>
                <w:sz w:val="40"/>
                <w:szCs w:val="40"/>
                <w:highlight w:val="white"/>
                <w:vertAlign w:val="superscript"/>
                <w:rtl w:val="0"/>
              </w:rPr>
              <w:t xml:space="preserve">14</w:t>
            </w:r>
          </w:p>
        </w:tc>
      </w:tr>
      <w:tr>
        <w:trPr>
          <w:cantSplit w:val="0"/>
          <w:trHeight w:val="11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spacing w:after="480" w:lineRule="auto"/>
              <w:rPr>
                <w:color w:val="1b1c1d"/>
              </w:rPr>
            </w:pPr>
            <w:r w:rsidDel="00000000" w:rsidR="00000000" w:rsidRPr="00000000">
              <w:rPr>
                <w:color w:val="1b1c1d"/>
                <w:rtl w:val="0"/>
              </w:rPr>
              <w:t xml:space="preserve">$\text{SOAT}$ ($\text{SLC}10\text{A}6$)</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spacing w:after="480" w:lineRule="auto"/>
              <w:rPr>
                <w:color w:val="1b1c1d"/>
              </w:rPr>
            </w:pPr>
            <w:r w:rsidDel="00000000" w:rsidR="00000000" w:rsidRPr="00000000">
              <w:rPr>
                <w:color w:val="1b1c1d"/>
                <w:rtl w:val="0"/>
              </w:rPr>
              <w:t xml:space="preserve">Sulfated Steroids ($\text{DHEA}$-S)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spacing w:after="480" w:lineRule="auto"/>
              <w:rPr>
                <w:color w:val="1b1c1d"/>
              </w:rPr>
            </w:pPr>
            <w:r w:rsidDel="00000000" w:rsidR="00000000" w:rsidRPr="00000000">
              <w:rPr>
                <w:color w:val="1b1c1d"/>
                <w:rtl w:val="0"/>
              </w:rPr>
              <w:t xml:space="preserve">Substrate transport (Pore binding site)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spacing w:after="480" w:lineRule="auto"/>
              <w:rPr>
                <w:color w:val="1b1c1d"/>
              </w:rPr>
            </w:pPr>
            <w:r w:rsidDel="00000000" w:rsidR="00000000" w:rsidRPr="00000000">
              <w:rPr>
                <w:color w:val="1b1c1d"/>
                <w:rtl w:val="0"/>
              </w:rPr>
              <w:t xml:space="preserve">Secondary Active Transport</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Local steroid availability, Male fertility </w:t>
            </w:r>
            <w:r w:rsidDel="00000000" w:rsidR="00000000" w:rsidRPr="00000000">
              <w:rPr>
                <w:color w:val="444746"/>
                <w:sz w:val="40"/>
                <w:szCs w:val="40"/>
                <w:highlight w:val="white"/>
                <w:vertAlign w:val="superscript"/>
                <w:rtl w:val="0"/>
              </w:rPr>
              <w:t xml:space="preserve">10</w:t>
            </w:r>
          </w:p>
        </w:tc>
      </w:tr>
    </w:tbl>
    <w:p w:rsidR="00000000" w:rsidDel="00000000" w:rsidP="00000000" w:rsidRDefault="00000000" w:rsidRPr="00000000" w14:paraId="0000007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