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6kcxe4p40jms" w:id="0"/>
      <w:bookmarkEnd w:id="0"/>
      <w:r w:rsidDel="00000000" w:rsidR="00000000" w:rsidRPr="00000000">
        <w:rPr>
          <w:b w:val="1"/>
          <w:color w:val="1b1c1d"/>
          <w:sz w:val="46"/>
          <w:szCs w:val="46"/>
          <w:rtl w:val="0"/>
        </w:rPr>
        <w:t xml:space="preserve">Expert Report on the GPI Transamidase Subunits PIG-K, PIG-T, and PIG-S: Functional Requirements and Computational Prediction of Steroid Binding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rwwzc2z9ilg" w:id="1"/>
      <w:bookmarkEnd w:id="1"/>
      <w:r w:rsidDel="00000000" w:rsidR="00000000" w:rsidRPr="00000000">
        <w:rPr>
          <w:b w:val="1"/>
          <w:color w:val="1b1c1d"/>
          <w:sz w:val="34"/>
          <w:szCs w:val="34"/>
          <w:rtl w:val="0"/>
        </w:rPr>
        <w:t xml:space="preserve">I. Introduction: The Glycosylphosphatidylinositol Transamidase (GPI-TA) Complex and the Intersection of Glycobiology and Lipid Metabolism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7ifuz29xnax" w:id="2"/>
      <w:bookmarkEnd w:id="2"/>
      <w:r w:rsidDel="00000000" w:rsidR="00000000" w:rsidRPr="00000000">
        <w:rPr>
          <w:b w:val="1"/>
          <w:color w:val="1b1c1d"/>
          <w:sz w:val="26"/>
          <w:szCs w:val="26"/>
          <w:rtl w:val="0"/>
        </w:rPr>
        <w:t xml:space="preserve">A. Overview of GPI Anchoring: Biological Significance and Post-Translational Necessity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Glycosylphosphatidylinositol (GPI) anchoring represents a critical and highly conserved post-translational modification necessary for attaching numerous eukaryotic proteins (GPI-APs) to the exterior leaflet of the plasma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modification is essential for fundamental biological processes, including cell signaling, cell adhesion, and immune recognition.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execution of this covalent attachment is a complex event localized entirely within the lumenal side of the Endoplasmic Reticulum (ER)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reaction necessitates the orchestrated action of a multi-subunit enzymatic machinery, the GPI transamidase complex (GPI-TA), which must manage two distinct and intrinsically immiscible substrates: the C-terminal hydrophobic signal peptide of the nascent polypeptide chain and the large, pre-assembled GPI glycolipid donor molecule.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e4q0ta01nh2" w:id="3"/>
      <w:bookmarkEnd w:id="3"/>
      <w:r w:rsidDel="00000000" w:rsidR="00000000" w:rsidRPr="00000000">
        <w:rPr>
          <w:b w:val="1"/>
          <w:color w:val="1b1c1d"/>
          <w:sz w:val="26"/>
          <w:szCs w:val="26"/>
          <w:rtl w:val="0"/>
        </w:rPr>
        <w:t xml:space="preserve">B. The GPI Transamidase Machinery: Subunit Composition and Essentiality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GPI-TA complex is functionally reliant upon the formation of a mandatory pentamer comprising five distinct subunits: PIG-K (historically known as GPI8), PIG-T, PIG-S, GPAA1 (GAA1), and PIG-U (GAB1).</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loss-of-function mutation in the gene encoding any of these subunits results in a functional deficiency of the entire complex and leads to severe multi-system disorders.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focuses specifically on PIG-K, PIG-T, and PIG-S because advanced computational analysis, specifically clustering derived from Protein Language Model (PLM) embeddings, identified this group of proteins as sharing structural characteristics with established "steroid-binding proteins" [Query].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oagw2l8kflo" w:id="4"/>
      <w:bookmarkEnd w:id="4"/>
      <w:r w:rsidDel="00000000" w:rsidR="00000000" w:rsidRPr="00000000">
        <w:rPr>
          <w:b w:val="1"/>
          <w:color w:val="1b1c1d"/>
          <w:sz w:val="26"/>
          <w:szCs w:val="26"/>
          <w:rtl w:val="0"/>
        </w:rPr>
        <w:t xml:space="preserve">C. Report Rationale: Reconciling Established Function with Computational Prediction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well-established function of the PIG-K/PIG-T/PIG-S core is catalytic—specifically, a proteolytic and transamidation activity that requires precise recognition of the complex Phosphatidylinositol (PI)-derived GPI donor substrate.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computational prediction suggests a potential additional regulatory or structural role involving interactions with sterols, such as cholesterol. This report analyzes this prediction against the known biochemical requirements of the enzyme complex and the lipid environment of the 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 is important to note a point of nomenclature clarity: the PIG proteins (PIG-K, PIG-S, PIG-T) involved in GPI biosynthesis are distinct and unrelated to the acronym PIG (Pulmonary Interstitial Glycogenosis), a lung pathology sometimes treated with steroids to block inflammation.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ddq2vdygbp4" w:id="5"/>
      <w:bookmarkEnd w:id="5"/>
      <w:r w:rsidDel="00000000" w:rsidR="00000000" w:rsidRPr="00000000">
        <w:rPr>
          <w:b w:val="1"/>
          <w:color w:val="1b1c1d"/>
          <w:sz w:val="34"/>
          <w:szCs w:val="34"/>
          <w:rtl w:val="0"/>
        </w:rPr>
        <w:t xml:space="preserve">II. Structural and Functional Organization of PIG-K, PIG-T, and PIG-S within the GPI Transamidase Complex</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mwojhlpr4gf" w:id="6"/>
      <w:bookmarkEnd w:id="6"/>
      <w:r w:rsidDel="00000000" w:rsidR="00000000" w:rsidRPr="00000000">
        <w:rPr>
          <w:b w:val="1"/>
          <w:color w:val="1b1c1d"/>
          <w:sz w:val="26"/>
          <w:szCs w:val="26"/>
          <w:rtl w:val="0"/>
        </w:rPr>
        <w:t xml:space="preserve">A. Topology and ER Localization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GPI-TA complex is a deeply integrated ER membrane protein complex whose collective topology allows it to access the hydrophobic GPI donor within the bilayer while simultaneously presenting the active site to the newly synthesized protein substrate in the ER lumen.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PIG-K is characterized as a single transmembrane protein.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functional integrity of the complex mandates the stable association of all five components.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74yfcfb8ofv" w:id="7"/>
      <w:bookmarkEnd w:id="7"/>
      <w:r w:rsidDel="00000000" w:rsidR="00000000" w:rsidRPr="00000000">
        <w:rPr>
          <w:b w:val="1"/>
          <w:color w:val="1b1c1d"/>
          <w:sz w:val="26"/>
          <w:szCs w:val="26"/>
          <w:rtl w:val="0"/>
        </w:rPr>
        <w:t xml:space="preserve">B. PIG-K (GPI8): The Catalytic Engine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PIG-K is the essential catalytic subunit of the GPI-TA complex. It is classified as a cysteine proteinase belonging to the C13-clade.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functional role of PIG-K is to initiate the transamidation reaction by performing the necessary endoprotease cleavage of the C-terminal signal peptide from the nascent protein.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structural aspect of PIG-K function is its specific and stable association with PIG-T. PIG-K is stabilized by an interchain disulfide bond with PIG-T.</w:t>
      </w:r>
      <w:r w:rsidDel="00000000" w:rsidR="00000000" w:rsidRPr="00000000">
        <w:rPr>
          <w:color w:val="444746"/>
          <w:sz w:val="40"/>
          <w:szCs w:val="40"/>
          <w:highlight w:val="white"/>
          <w:vertAlign w:val="superscript"/>
          <w:rtl w:val="0"/>
        </w:rPr>
        <w:t xml:space="preserve">3</w:t>
      </w:r>
      <w:r w:rsidDel="00000000" w:rsidR="00000000" w:rsidRPr="00000000">
        <w:rPr>
          <w:rFonts w:ascii="Arial Unicode MS" w:cs="Arial Unicode MS" w:eastAsia="Arial Unicode MS" w:hAnsi="Arial Unicode MS"/>
          <w:color w:val="1b1c1d"/>
          <w:rtl w:val="0"/>
        </w:rPr>
        <w:t xml:space="preserve"> This covalent linkage between PIG-K (Cys 275↔280) and PIG-T (Cys-182) is indispensable for normal enzymatic activity.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6ebbudaix93" w:id="8"/>
      <w:bookmarkEnd w:id="8"/>
      <w:r w:rsidDel="00000000" w:rsidR="00000000" w:rsidRPr="00000000">
        <w:rPr>
          <w:b w:val="1"/>
          <w:color w:val="1b1c1d"/>
          <w:sz w:val="26"/>
          <w:szCs w:val="26"/>
          <w:rtl w:val="0"/>
        </w:rPr>
        <w:t xml:space="preserve">C. PIG-T and PIG-S: The Structural Stabilizers and Modulators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PIG-T is crucial for maintaining the structural integrity of the entire complex.</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covalent disulfide linkage between PIG-K and PIG-T is not merely structural stabilization but is fundamental to maintaining catalytic function. This linkage ensures that the catalytic cysteine of PIG-K is precisely locked into the optimal spatial geometry required to bridge the soluble protein peptide substrate and the membrane-embedded GPI lipid donor. This geometry is necessary to facilitate the complex two-substrate transamidation reaction across the lipid bilayer interface.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roles of PIG-S (GPI17) and PIG-U (GAB1) are defined primarily by their essentiality. While they are mandatory subunits required for full pentameric activity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their precise molecular contribution remains less mechanistically detailed than PIG-K's catalysis or PIG-T's structural anchoring.</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hypothesized that PIG-S and PIG-U act as assembly platforms or allosteric modulators that regulate the complex's conformation.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summarizes the core subunits and their dynamics within the transamidase complex.</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Subunit Composition and Inter-Subunit Dynamics of the Human GPI Transamidase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1.5169674587137"/>
        <w:gridCol w:w="985.0853599052332"/>
        <w:gridCol w:w="1437.6921468887188"/>
        <w:gridCol w:w="2595.83304299352"/>
        <w:gridCol w:w="1331.196432304369"/>
        <w:gridCol w:w="1544.1878614730683"/>
        <w:tblGridChange w:id="0">
          <w:tblGrid>
            <w:gridCol w:w="1131.5169674587137"/>
            <w:gridCol w:w="985.0853599052332"/>
            <w:gridCol w:w="1437.6921468887188"/>
            <w:gridCol w:w="2595.83304299352"/>
            <w:gridCol w:w="1331.196432304369"/>
            <w:gridCol w:w="1544.187861473068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Subunit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Gene (PIG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Alternative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Primary Role/Component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Key Molecular 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Interactions</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PIG-K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PIGK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GPI8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Catalytic Component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C13-clade Cysteine Protease, single TM protein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Disulfide-linked to PIG-T (Cysteine 275↔280) </w:t>
            </w:r>
            <w:r w:rsidDel="00000000" w:rsidR="00000000" w:rsidRPr="00000000">
              <w:rPr>
                <w:color w:val="444746"/>
                <w:sz w:val="40"/>
                <w:szCs w:val="40"/>
                <w:highlight w:val="white"/>
                <w:vertAlign w:val="superscript"/>
                <w:rtl w:val="0"/>
              </w:rPr>
              <w:t xml:space="preserve">8</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PIG-T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PIGT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GPI16 (Historical)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Structural Scaffolding/Stabilization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Required for complex integrity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Disulfide-linked to PIG-K (Cysteine 182) </w:t>
            </w:r>
            <w:r w:rsidDel="00000000" w:rsidR="00000000" w:rsidRPr="00000000">
              <w:rPr>
                <w:color w:val="444746"/>
                <w:sz w:val="40"/>
                <w:szCs w:val="40"/>
                <w:highlight w:val="white"/>
                <w:vertAlign w:val="superscript"/>
                <w:rtl w:val="0"/>
              </w:rPr>
              <w:t xml:space="preserve">8</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PIG-S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PIGS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GPI17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Essential Regulatory/Stabilizer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Required subunit, role less defined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Associates with PIG-K, PIG-T, GPAA1, PIG-U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pn0ejdwantb" w:id="9"/>
      <w:bookmarkEnd w:id="9"/>
      <w:r w:rsidDel="00000000" w:rsidR="00000000" w:rsidRPr="00000000">
        <w:rPr>
          <w:b w:val="1"/>
          <w:color w:val="1b1c1d"/>
          <w:sz w:val="34"/>
          <w:szCs w:val="34"/>
          <w:rtl w:val="0"/>
        </w:rPr>
        <w:t xml:space="preserve">III. Mechanistic Detail: The Cysteine Protease Mechanism and Lipid Substrate Recognition</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1rwd0hwh0cm" w:id="10"/>
      <w:bookmarkEnd w:id="10"/>
      <w:r w:rsidDel="00000000" w:rsidR="00000000" w:rsidRPr="00000000">
        <w:rPr>
          <w:b w:val="1"/>
          <w:color w:val="1b1c1d"/>
          <w:sz w:val="26"/>
          <w:szCs w:val="26"/>
          <w:rtl w:val="0"/>
        </w:rPr>
        <w:t xml:space="preserve">A. The Cleavage Step and Thioester Intermediate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transamidation reaction proceeds through a multi-step catalytic mechanism. PIG-K first acts as an endoprotease, specifically recognizing the C-terminal GPI attachment signal peptide. It cleaves the peptide bond located between the $\omega$ amino acid and the adjacent $\omega+1$ amino acid.</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Following this cleavage, a transient, highly reactive intermediate is formed. This intermediate is a thioester bond linking the $\omega$ amino acid residue to the catalytic cysteine residue within PIG-K's active site.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covalent capture successfully retains the protein substrate for the subsequent transfer reaction.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wb47qrz1d76" w:id="11"/>
      <w:bookmarkEnd w:id="11"/>
      <w:r w:rsidDel="00000000" w:rsidR="00000000" w:rsidRPr="00000000">
        <w:rPr>
          <w:b w:val="1"/>
          <w:color w:val="1b1c1d"/>
          <w:sz w:val="26"/>
          <w:szCs w:val="26"/>
          <w:rtl w:val="0"/>
        </w:rPr>
        <w:t xml:space="preserve">B. The Nucleophilic Attack by the GPI Donor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completion of the GPI anchoring mechanism relies on the attack of the captured substrate by the GPI donor. The pre-assembled GPI molecule—a complex glycolipid structure derived from phosphatidylinositol (PI), containing glucosamine (GlcN), three mannose residues (Man), and three ethanolamine phosphate (EtNP) groups—serves as the nucleophile.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Specifically, the EtNP group attacks the thioester bond, resolving the intermediate. This forms the stable amide linkage that permanently tethers the protein to the membrane via the GPI anchor, while simultaneously releasing the cleaved hydrophobic signal peptide.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integrity of this process requires the enzyme complex to maintain catalytic fidelity under complex geometric and hydrophobic constraints. The enzyme must distinguish the highly specific C-terminal signal peptide while correctly orienting the bulky, membrane-anchored GPI donor for the EtNP attack. Since the PI moiety of GPI is embedded deep within the bilayer, the GPI-TA subunits must collectively form a hydrophobic cavity that selectively exposes only the specific EtNP moiety to the catalytic site. This requirement for precise lipid-binding and positioning is integral to the enzyme's function, regardless of any predicted steroid interactions.</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aca7m5noliy" w:id="12"/>
      <w:bookmarkEnd w:id="12"/>
      <w:r w:rsidDel="00000000" w:rsidR="00000000" w:rsidRPr="00000000">
        <w:rPr>
          <w:b w:val="1"/>
          <w:color w:val="1b1c1d"/>
          <w:sz w:val="34"/>
          <w:szCs w:val="34"/>
          <w:rtl w:val="0"/>
        </w:rPr>
        <w:t xml:space="preserve">IV. Contextualizing Lipid/Sterol Dynamics within the GPI Pathway</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as3ie7nb9vw" w:id="13"/>
      <w:bookmarkEnd w:id="13"/>
      <w:r w:rsidDel="00000000" w:rsidR="00000000" w:rsidRPr="00000000">
        <w:rPr>
          <w:b w:val="1"/>
          <w:color w:val="1b1c1d"/>
          <w:sz w:val="26"/>
          <w:szCs w:val="26"/>
          <w:rtl w:val="0"/>
        </w:rPr>
        <w:t xml:space="preserve">A. Intrinsic Requirement for Phosphatidylinositol Recognition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biochemical function of the GPI transamidase complex mandates direct interaction with lipids, specifically the phosphatidylinositol core structure of the GPI donor.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recognition and positioning of this complex glycolipid are inherent functional requirements for PIG-K, PIG-T, and PIG-S, which collectively create the environment where the transfer reaction can occur efficiently.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3ugkyyfaz5l" w:id="14"/>
      <w:bookmarkEnd w:id="14"/>
      <w:r w:rsidDel="00000000" w:rsidR="00000000" w:rsidRPr="00000000">
        <w:rPr>
          <w:b w:val="1"/>
          <w:color w:val="1b1c1d"/>
          <w:sz w:val="26"/>
          <w:szCs w:val="26"/>
          <w:rtl w:val="0"/>
        </w:rPr>
        <w:t xml:space="preserve">B. GPI Biosynthesis and ER Sterol Homeostasis (Upstream Regulation)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GPI anchoring pathway is indirectly linked to the sterol environment of the ER. For instance, the ER membrane protein ARV1 is essential for maintaining proper homeostasis of both sterols and sphingolipids.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ARV1 function is required for specific steps in GPI synthesis, such as Dol-P-Man-dependent mannose transfer.</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demonstrates that the rate and efficiency of GPI biosynthesis are fundamentally tied to the overall sterol environment in the ER, suggesting shared regulatory pathways or localized structural requirements across the pathway.</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s6ipeyijc5y" w:id="15"/>
      <w:bookmarkEnd w:id="15"/>
      <w:r w:rsidDel="00000000" w:rsidR="00000000" w:rsidRPr="00000000">
        <w:rPr>
          <w:b w:val="1"/>
          <w:color w:val="1b1c1d"/>
          <w:sz w:val="26"/>
          <w:szCs w:val="26"/>
          <w:rtl w:val="0"/>
        </w:rPr>
        <w:t xml:space="preserve">C. Cholesterol Dependence of GPI-AP Trafficking (Downstream Regulation)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crucial observation relates to the fate of the resulting GPI-anchored proteins (GPI-APs). These proteins are defining components of specialized membrane microdomains, often termed lipid rafts, which are characteristically enriched in cholesterol and sphingolipids.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post-anchoring fate of GPI-APs, specifically their endocytic sorting and recycling kinetics, is highly sensitive to and regulated by membrane cholesterol levels.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In cells depleted of cholesterol, GPI-APs lose their specialized endocytic retention and are recycled back to the plasma membrane at the same rate as general recycling receptors. This cholesterol-dependent sorting mechanism establishes a clear biophysical link between membrane sterol content and the function/localization of GPI-APs post-anchoring.</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pervasive sterol dependence observed throughout the GPI pathway, both upstream in synthesis (via ARV1) and downstream in trafficking (via lipid rafts and sorting), strongly suggests that the intermediate step—the transamidation itself—may require the GPI-TA complex to be stably localized within specific ER microdomains characterized by a defined sterol/sphingolipid content. Consequently, the PLM signal for "steroid binding" might reflect the presence of structural features necessary for achieving this stable microdomain partitioning, rather than specific, high-affinity binding of a steroid hormone for allosteric control.</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pxms3rbmqe8" w:id="16"/>
      <w:bookmarkEnd w:id="16"/>
      <w:r w:rsidDel="00000000" w:rsidR="00000000" w:rsidRPr="00000000">
        <w:rPr>
          <w:b w:val="1"/>
          <w:color w:val="1b1c1d"/>
          <w:sz w:val="34"/>
          <w:szCs w:val="34"/>
          <w:rtl w:val="0"/>
        </w:rPr>
        <w:t xml:space="preserve">V. Critical Analysis of the Steroid-Binding Annotation (PLM Clustering)</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4z5idrfxffr" w:id="17"/>
      <w:bookmarkEnd w:id="17"/>
      <w:r w:rsidDel="00000000" w:rsidR="00000000" w:rsidRPr="00000000">
        <w:rPr>
          <w:b w:val="1"/>
          <w:color w:val="1b1c1d"/>
          <w:sz w:val="26"/>
          <w:szCs w:val="26"/>
          <w:rtl w:val="0"/>
        </w:rPr>
        <w:t xml:space="preserve">A. Interpretation of Protein Language Model (PLM) Prediction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Protein Language Models (PLMs) leverage extensive sequence and evolutionary data (e.g., ProtT5 embeddings combined with features derived from position-specific scoring matrices, PSSMs) to identify shared structural folds and functional patterns among proteins.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strength of the PLM clustering in classifying PIG-K, PIG-T, and PIG-S together as "steroid-binding" suggests that their transmembrane or lipid-facing domains possess significant structural homology to known steroid- or sterol-interacting proteins.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xb4z5cijrvy" w:id="18"/>
      <w:bookmarkEnd w:id="18"/>
      <w:r w:rsidDel="00000000" w:rsidR="00000000" w:rsidRPr="00000000">
        <w:rPr>
          <w:b w:val="1"/>
          <w:color w:val="1b1c1d"/>
          <w:sz w:val="26"/>
          <w:szCs w:val="26"/>
          <w:rtl w:val="0"/>
        </w:rPr>
        <w:t xml:space="preserve">B. Comparison to Known Sterol Binding Motifs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Established cholesterol-binding mechanisms frequently involve specific sequence signatures such as the Cholesterol Recognition/Interaction Amino Acid Consensus (CRAC) or its inversion, the CARC motif.</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motifs are commonly found in the transmembrane helices of lipid-regulated proteins, such as Class A G protein-coupled receptors (GPCRs) like CCR3, where they dictate cholesterol residency time and aid in structural stabilization within the bilayer.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 GPI-TA core subunits may result from the identification of CRAC/CARC-like signatures within the transmembrane domains of PIG-K, PIG-T, or PIG-S. These motifs likely evolved not just for sterols but for general recognition of large, cyclic, hydrophobic molecules necessary for stable operation in the lipid environment.</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g2k4j8xbji2" w:id="19"/>
      <w:bookmarkEnd w:id="19"/>
      <w:r w:rsidDel="00000000" w:rsidR="00000000" w:rsidRPr="00000000">
        <w:rPr>
          <w:b w:val="1"/>
          <w:color w:val="1b1c1d"/>
          <w:sz w:val="26"/>
          <w:szCs w:val="26"/>
          <w:rtl w:val="0"/>
        </w:rPr>
        <w:t xml:space="preserve">C. Hypothesis Generation for PLM Signal Derivation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plausible explanation for the observed steroid-binding annotation is structural convergence driven by functional necessity. The GPI-TA complex requires its subunits to bind and manage the large, complex, and cyclic phosphatidylinositol headgroup of the GPI donor, which is anchored deep within the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Successfully accommodating the PI component and its attached lipid tails necessitates the formation of deep, membrane-embedded pockets or channels.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the domains required for anchoring and processing the PI component (a complex, cyclic lipid backbone) are likely highly analogous to the structural domains utilized by sterol transporters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or regulators for binding cholesterol (another cyclic, hydrophobic molecule). Therefore, the PLM is recognizing a common "cyclic membrane lipid recognition fold" shared between PI-managing proteins and sterol-binding proteins. The PIG-K/S/T subunits are functionally binding a specific lipid (PI), and the PLM generalizes this shared structural feature as "steroid binding."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Currently, there is a lack of direct experimental evidence demonstrating high-affinity binding of common steroids (e.g., cholesterol or steroid hormones) to purified PIG-K, PIG-T, or PIG-S in the established literature.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highlights the gap between advanced predictive computational biology and necessary experimental validation.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reconciles the established biochemical function with the computational prediction.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Reconciliation of GPI-TA Function and the Steroid-Binding PLM Prediction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7647065726323"/>
        <w:gridCol w:w="2246.289824800216"/>
        <w:gridCol w:w="2138.6831266061936"/>
        <w:gridCol w:w="2797.774153044581"/>
        <w:tblGridChange w:id="0">
          <w:tblGrid>
            <w:gridCol w:w="1842.7647065726323"/>
            <w:gridCol w:w="2246.289824800216"/>
            <w:gridCol w:w="2138.6831266061936"/>
            <w:gridCol w:w="2797.77415304458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Established GPI-TA Function (Biochemistry)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PLM Prediction &amp; Computational Signal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Connecting Hypothesis (Structural/Evolutionary Link)</w:t>
            </w:r>
            <w:r w:rsidDel="00000000" w:rsidR="00000000" w:rsidRPr="00000000">
              <w:rPr>
                <w:rtl w:val="0"/>
              </w:rPr>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Primary Substrate Requirement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Recognition and binding of Phosphatidylinositol (PI) moiety of GPI.</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Clustering based on affinity for large, cyclic, hydrophobic molecules (Steroids).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 structural motif required to recognize the PI headgroup and lipid tails in the ER membrane is evolutionarily similar to sterol recognition domains (CRAC/CARC or transporter homology).</w:t>
            </w:r>
            <w:r w:rsidDel="00000000" w:rsidR="00000000" w:rsidRPr="00000000">
              <w:rPr>
                <w:color w:val="444746"/>
                <w:sz w:val="40"/>
                <w:szCs w:val="40"/>
                <w:highlight w:val="white"/>
                <w:vertAlign w:val="superscript"/>
                <w:rtl w:val="0"/>
              </w:rPr>
              <w:t xml:space="preserve">14</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Environmental Context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Requires integration into the ER membrane; upstream dependence on sterol regulator ARV1.</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Suggests direct binding or allosteric regulation by membrane cholesterol/sterols.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 complex must localize to specific ER microdomains influenced by sterol content. PLM recognizes structural features responsible for membrane domain partitioning, classifying this as 'binding'.</w:t>
            </w:r>
            <w:r w:rsidDel="00000000" w:rsidR="00000000" w:rsidRPr="00000000">
              <w:rPr>
                <w:color w:val="444746"/>
                <w:sz w:val="40"/>
                <w:szCs w:val="40"/>
                <w:highlight w:val="white"/>
                <w:vertAlign w:val="superscript"/>
                <w:rtl w:val="0"/>
              </w:rPr>
              <w:t xml:space="preserve">11</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Mechanistic Target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 catalytic cysteine binds the protein substrate to form a thioester intermediate.</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Implies a distinct, potentially allosteric, binding site for a regulatory steroid molecule.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Sterol interaction may be low-affinity and purely structural, serving to stabilize PIG-K's conformation within the membrane to optimize its C13 protease activity against the hydrophobic C-terminal signal peptide.</w:t>
            </w:r>
          </w:p>
        </w:tc>
      </w:tr>
    </w:tbl>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uf6fbvlxiby" w:id="20"/>
      <w:bookmarkEnd w:id="20"/>
      <w:r w:rsidDel="00000000" w:rsidR="00000000" w:rsidRPr="00000000">
        <w:rPr>
          <w:b w:val="1"/>
          <w:color w:val="1b1c1d"/>
          <w:sz w:val="34"/>
          <w:szCs w:val="34"/>
          <w:rtl w:val="0"/>
        </w:rPr>
        <w:t xml:space="preserve">VI. Pathophysiology and Genetic Implications of PIG-K, PIG-T, and PIG-S Deficiencies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4mw04n8mjl8" w:id="21"/>
      <w:bookmarkEnd w:id="21"/>
      <w:r w:rsidDel="00000000" w:rsidR="00000000" w:rsidRPr="00000000">
        <w:rPr>
          <w:b w:val="1"/>
          <w:color w:val="1b1c1d"/>
          <w:sz w:val="26"/>
          <w:szCs w:val="26"/>
          <w:rtl w:val="0"/>
        </w:rPr>
        <w:t xml:space="preserve">A. Congenital Disorders of Glycosylphosphatidylinositol Anchor Biosynthesis (GPI-ADs)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essentiality of PIG-K, PIG-T, and PIG-S means that deficiencies in the genes encoding these subunits lead to severe clinical phenotypes. Since the entire complex fails when one component is defective, these disorders result in the reduced or absent surface expression of a wide array of essential GPI-anchored proteins (e.g., alkaline phosphatase).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conditions fall under the umbrella of Congenital Disorders of Glycosylation (CDG), specifically GPI-ADs.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genetic basis for these disorders often involves bi-allelic loss-of-function mutations.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bf9dyenusq1" w:id="22"/>
      <w:bookmarkEnd w:id="22"/>
      <w:r w:rsidDel="00000000" w:rsidR="00000000" w:rsidRPr="00000000">
        <w:rPr>
          <w:b w:val="1"/>
          <w:color w:val="1b1c1d"/>
          <w:sz w:val="26"/>
          <w:szCs w:val="26"/>
          <w:rtl w:val="0"/>
        </w:rPr>
        <w:t xml:space="preserve">B. Phenotypic Spectrum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affecting the GPI-TA complex subunits cause overlapping and multi-systemic clinical syndromes due to the necessity of GPI anchoring in development and cellular signaling.</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Observed clinical presentations linked to GPI-ADs include severe developmental delay, muscle hypotonia, craniofacial dysmorphism, psychomotor retardation, and significant neurological issues such as epilepsy and seizures.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skeletal system abnormalities, including osteopenia, and cerebellar atrophy have been documented in individuals with deficiencies in the transamidase complex.</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8dy39j3u1l" w:id="23"/>
      <w:bookmarkEnd w:id="23"/>
      <w:r w:rsidDel="00000000" w:rsidR="00000000" w:rsidRPr="00000000">
        <w:rPr>
          <w:b w:val="1"/>
          <w:color w:val="1b1c1d"/>
          <w:sz w:val="26"/>
          <w:szCs w:val="26"/>
          <w:rtl w:val="0"/>
        </w:rPr>
        <w:t xml:space="preserve">C. Therapeutic Considerations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Current medical management for GPI-ADs primarily involves supportive care aimed at managing specific symptoms, such as controlling seizures and ensuring adequate nutritional support. However, the demonstrated dependence of the GPI pathway on the ER lipid environment, coupled with the computational identification of putative sterol/lipid pockets within PIG-K/S/T, suggests potential future therapeutic approaches. If the structural role of these predicted binding sites can be definitively elucidated, small-molecule targeting of these domains or dietary lipid manipulation could offer novel avenues for correcting or ameliorating the underlying enzyme deficiencies.</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5a5bnvx313w" w:id="24"/>
      <w:bookmarkEnd w:id="24"/>
      <w:r w:rsidDel="00000000" w:rsidR="00000000" w:rsidRPr="00000000">
        <w:rPr>
          <w:b w:val="1"/>
          <w:color w:val="1b1c1d"/>
          <w:sz w:val="34"/>
          <w:szCs w:val="34"/>
          <w:rtl w:val="0"/>
        </w:rPr>
        <w:t xml:space="preserve">VII. Conclusion and Future Research Directions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tbw30lscchg" w:id="25"/>
      <w:bookmarkEnd w:id="25"/>
      <w:r w:rsidDel="00000000" w:rsidR="00000000" w:rsidRPr="00000000">
        <w:rPr>
          <w:b w:val="1"/>
          <w:color w:val="1b1c1d"/>
          <w:sz w:val="26"/>
          <w:szCs w:val="26"/>
          <w:rtl w:val="0"/>
        </w:rPr>
        <w:t xml:space="preserve">A. Synthesis of PIG-K/S/T Function and Sterol Context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PIG-K, PIG-T, and PIG-S form the core, interdependent catalytic and structural nexus of the GPI transamidase complex. Their established function is defined by the highly specific lipid-protein conjugation necessary for GPI anchoring, demanding intricate structural accommodation of the phosphatidylinositol backbone of the GPI donor substrate.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these subunits as "steroid-binding proteins" is a compelling analytical result. This signal is most logically interpreted as a consequence of structural convergence, where the necessity for the membrane-integrated subunits to manage the cyclic lipid PI has driven the evolution of a structural fold that highly resembles domains responsible for recognizing and binding other cyclic, hydrophobic molecules like sterols.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g3k2wn7x6d" w:id="26"/>
      <w:bookmarkEnd w:id="26"/>
      <w:r w:rsidDel="00000000" w:rsidR="00000000" w:rsidRPr="00000000">
        <w:rPr>
          <w:b w:val="1"/>
          <w:color w:val="1b1c1d"/>
          <w:sz w:val="26"/>
          <w:szCs w:val="26"/>
          <w:rtl w:val="0"/>
        </w:rPr>
        <w:t xml:space="preserve">B. Recommendations for Targeted Biophysical Validation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definitively confirm the functional implications of the PLM-derived annotation, future research should prioritize high-resolution structural determination of the intact pentameric complex, preferably using techniques such as cryo-electron microscopy (cryo-EM), performed while the complex is embedded in a native-like lipid environment.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targeted biophysical validation of the computationally identified lipid-binding pockets is warranted. Assays should be designed to test specifically for low-affinity, cholesterol-dependent effects. Techniques such as Coarse-Grained Molecular Dynamics (MD) simulations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can be used </w:t>
      </w:r>
      <w:r w:rsidDel="00000000" w:rsidR="00000000" w:rsidRPr="00000000">
        <w:rPr>
          <w:i w:val="1"/>
          <w:color w:val="1b1c1d"/>
          <w:rtl w:val="0"/>
        </w:rPr>
        <w:t xml:space="preserve">in silico</w:t>
      </w:r>
      <w:r w:rsidDel="00000000" w:rsidR="00000000" w:rsidRPr="00000000">
        <w:rPr>
          <w:color w:val="1b1c1d"/>
          <w:rtl w:val="0"/>
        </w:rPr>
        <w:t xml:space="preserve"> to evaluate cholesterol residency time within predicted binding sites. </w:t>
      </w:r>
      <w:r w:rsidDel="00000000" w:rsidR="00000000" w:rsidRPr="00000000">
        <w:rPr>
          <w:i w:val="1"/>
          <w:color w:val="1b1c1d"/>
          <w:rtl w:val="0"/>
        </w:rPr>
        <w:t xml:space="preserve">In vitro</w:t>
      </w:r>
      <w:r w:rsidDel="00000000" w:rsidR="00000000" w:rsidRPr="00000000">
        <w:rPr>
          <w:color w:val="1b1c1d"/>
          <w:rtl w:val="0"/>
        </w:rPr>
        <w:t xml:space="preserve"> approaches, such as targeted liposome reconstitution and mass spectrometry analysis, should be employed to determine if the PIG-K/S/T subunits exhibit specific sterol-dependent structural stability or localization effects required for optimal transamidation activity. This decisive validation is essential to translate the computational prediction into actionable biological knowledge regarding GPI-TA regulation.</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