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t1i51vf98zi2" w:id="0"/>
      <w:bookmarkEnd w:id="0"/>
      <w:r w:rsidDel="00000000" w:rsidR="00000000" w:rsidRPr="00000000">
        <w:rPr>
          <w:b w:val="1"/>
          <w:color w:val="1b1c1d"/>
          <w:sz w:val="46"/>
          <w:szCs w:val="46"/>
          <w:rtl w:val="0"/>
        </w:rPr>
        <w:t xml:space="preserve">Reference Report: The Steroid-Binding Protein Cluster Defined by Protein Language Model Embeddings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recxddv1sgo" w:id="1"/>
      <w:bookmarkEnd w:id="1"/>
      <w:r w:rsidDel="00000000" w:rsidR="00000000" w:rsidRPr="00000000">
        <w:rPr>
          <w:b w:val="1"/>
          <w:color w:val="1b1c1d"/>
          <w:sz w:val="34"/>
          <w:szCs w:val="34"/>
          <w:rtl w:val="0"/>
        </w:rPr>
        <w:t xml:space="preserve">I. Introduction and Definition of the Protein Cluster</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lofx2eu9hmv" w:id="2"/>
      <w:bookmarkEnd w:id="2"/>
      <w:r w:rsidDel="00000000" w:rsidR="00000000" w:rsidRPr="00000000">
        <w:rPr>
          <w:b w:val="1"/>
          <w:color w:val="1b1c1d"/>
          <w:sz w:val="26"/>
          <w:szCs w:val="26"/>
          <w:rtl w:val="0"/>
        </w:rPr>
        <w:t xml:space="preserve">Contextualizing Computational Clustering and Functional Identity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investigation of proteins annotated with steroid-binding activity, grouped via computational clustering based on protein language model embeddings, reveals a deep evolutionary and functional relationship centered on the recognition of the sterol core structure. Protein language models translate protein sequences into numerical vectors (embeddings), effectively clustering proteins that share latent structural and physicochemical similarities, even if traditional sequence homology is limited in variable regions [Implicit].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vast majority of proteins within this cluster belong to the Cytochrome P450 (CYP) superfamily. CYPs, or P450s, constitute a massive family of heme-containing enzymes that function predominantly as monooxygenases, catalyzing the oxidative transformation of a wide range of organic molecules.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Their critical physiological roles span from xenobiotic metabolism (detoxification) to the biosynthesis and transformation of endogenous compounds, notably steroids, fatty acids, and cholesterol.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robust grouping of these enzymes validates that the conserved structural scaffold required for their complex catalytic mechanism—particularly the heme-binding domain—is a dominant characteristic captured by computational similarity measures.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notable feature of this cluster is the inclusion of Cytosolic </w:t>
      </w:r>
      <w:r w:rsidDel="00000000" w:rsidR="00000000" w:rsidRPr="00000000">
        <w:rPr>
          <w:color w:val="1b1c1d"/>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-glucosidase (GBA3). GBA3, a non-P450 enzyme, is involved in the hydrolysis of glycosides, specifically steroid-glucosides.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Its co-clustering with the CYPs suggests that the unifying principle of the cluster is the structural capacity to accommodate and bind a bulky, hydrophobic sterol moiety. This confirms that the "steroid-binding" annotation identified computationally encompasses both oxidative enzymes (CYPs) and hydrolytic enzymes (GBA3) that manage different phases of steroid processing, such as conjugation and deglycosylation.</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ydlch76qyuu" w:id="3"/>
      <w:bookmarkEnd w:id="3"/>
      <w:r w:rsidDel="00000000" w:rsidR="00000000" w:rsidRPr="00000000">
        <w:rPr>
          <w:b w:val="1"/>
          <w:color w:val="1b1c1d"/>
          <w:sz w:val="26"/>
          <w:szCs w:val="26"/>
          <w:rtl w:val="0"/>
        </w:rPr>
        <w:t xml:space="preserve">Scope and Organization: Unifying Structure and Diversity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an expert-level, comprehensive analysis of the cluster, examining the fundamental structural conservation that facilitates the computational grouping and the highly specialized functional divergence observed among its members. The structure proceeds from the general molecular architecture of P450s, through the critical roles of specific families in endocrine biosynthesis (CYP11B) and metabolic homeostasis (CYP7, CYP1, CYP2, CYP3), concluding with an analysis of the structural determinants of substrate specificity and the unique function of the non-CYP component (GBA3). The inherent conservation of the P450 core structure allows for effective computational grouping, while the localized structural variations dictate the immense functional specialization necessary for biological control.</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jpr33cd3vlq" w:id="4"/>
      <w:bookmarkEnd w:id="4"/>
      <w:r w:rsidDel="00000000" w:rsidR="00000000" w:rsidRPr="00000000">
        <w:rPr>
          <w:b w:val="1"/>
          <w:color w:val="1b1c1d"/>
          <w:sz w:val="34"/>
          <w:szCs w:val="34"/>
          <w:rtl w:val="0"/>
        </w:rPr>
        <w:t xml:space="preserve">II. The Cytochrome P450 Superfamily: Structural and Mechanistic Foundation for Steroid Binding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P450 superfamily is unified by an evolutionarily conserved structure defined by the catalytic heme iron center. These enzymes, named for their unique spectral absorbance at 450 nm when reduced and complexed with CO, are typically integral membrane proteins in eukaryotes, localized either to the endoplasmic reticulum (ER) or the mitochondrial inner membrane.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553ydv1x7c5" w:id="5"/>
      <w:bookmarkEnd w:id="5"/>
      <w:r w:rsidDel="00000000" w:rsidR="00000000" w:rsidRPr="00000000">
        <w:rPr>
          <w:b w:val="1"/>
          <w:color w:val="1b1c1d"/>
          <w:sz w:val="26"/>
          <w:szCs w:val="26"/>
          <w:rtl w:val="0"/>
        </w:rPr>
        <w:t xml:space="preserve">Conserved Architecture: Heme Iron and Cysteine Ligation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active site structure is centered on a protoporphyrin IX heme group, housing an iron atom capable of undergoing redox cycles.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iron is axially ligated to the protein via a conserved cysteine thiolate ligand, a feature universally shared across all known P450s.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cysteine residue and its immediate flanking sequence are highly conserved, forming the definitive PROSITE signature consensus pattern: $ - - x - - {F} - - {P} - C - [LIVMFAP]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integrity of this core architecture is maintained by specific residues. Arginine residues are crucial for forming strong electrostatic interactions with the negatively charged propionyl groups of the heme.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Furthermore, glycine residues within the conserved sequence are structurally essential because their small size prevents steric hindrance, allowing surrounding alpha helices to maintain the precise three-dimensional configuration necessary for optimal electron and oxygen handling.</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Another conserved structural element is the EX1X2R motif located in helix K, which plays a pivotal role in maintaining the P450 tertiary structure and facilitating the correct incorporation of the heme cofactor via salt bridge interactions.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presence of this helix K motif across P450s involved in processing steroids, fatty acids, and leukotrienes underscores its necessity in stabilizing the enzyme structure that accommodates large, hydrophobic substrates.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00ynuvghvtu" w:id="6"/>
      <w:bookmarkEnd w:id="6"/>
      <w:r w:rsidDel="00000000" w:rsidR="00000000" w:rsidRPr="00000000">
        <w:rPr>
          <w:b w:val="1"/>
          <w:color w:val="1b1c1d"/>
          <w:sz w:val="26"/>
          <w:szCs w:val="26"/>
          <w:rtl w:val="0"/>
        </w:rPr>
        <w:t xml:space="preserve">The General P450 Catalytic Cycle and Oxygen Activation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P450 enzymes facilitate the challenging reaction of inserting one atom of molecular oxygen into a substrate (R-H) to form a hydroxylated product (R-OH), with the second oxygen atom reduced to water.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process requires the sequential transfer of two electrons.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catalytic cycle is initiated when the hydrophobic steroid substrate binds near the heme group, opposite the axial thiolate ligand.</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Substrate binding is a critical step, leading to the displacement of water as the sixth ligand to the ferric iron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shifts the heme from a low-spin to a high-spin state.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spin shift simultaneously increases the reduction potential, priming the enzyme to accept the first electron, which is derived from NAD(P)H via an associated reductase system.</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Upon reduction to the ferrous state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molecular oxygen binds at the distal axial coordination position, initially creating a dioxygen adduct.</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transfer of a second electron (from either P450 reductase, ferredoxins, or cytochrome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results in a highly unstable peroxo state. Subsequent protonation and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cleavage yield the active oxidant: the highly reactive iron-oxo species, Compound I. This intermediate is responsible for the final stereospecific and regioselective C-H bond activation leading to hydroxylation.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necessity of this complex, multi-step redox chemistry demands the profound structural conservation observed within the P450 superfamily, which serves as the fundamental basis for the computational clustering.</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vw015rve8aw" w:id="7"/>
      <w:bookmarkEnd w:id="7"/>
      <w:r w:rsidDel="00000000" w:rsidR="00000000" w:rsidRPr="00000000">
        <w:rPr>
          <w:b w:val="1"/>
          <w:color w:val="1b1c1d"/>
          <w:sz w:val="34"/>
          <w:szCs w:val="34"/>
          <w:rtl w:val="0"/>
        </w:rPr>
        <w:t xml:space="preserve">III. Endogenous Steroid Biosynthesis: The Mitochondrial CYP11B Family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mitochondrial CYP11B family exemplifies specialized steroidogenic activity, exclusively localized to the inner membrane of adrenal cortical mitochondria (along with CYP11A).</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Unlike the microsomal CYPs, the CYP11B enzymes utilize a distinct electron transport chain involving adrenodoxin reductase and the soluble iron-sulfur protein adrenodoxin (Adx) to receive electrons from NADPH.</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segregation is key to the tight, tissue-specific regulation of glucocorticoid and mineralocorticoid production.</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6em2ha7w3bq" w:id="8"/>
      <w:bookmarkEnd w:id="8"/>
      <w:r w:rsidDel="00000000" w:rsidR="00000000" w:rsidRPr="00000000">
        <w:rPr>
          <w:b w:val="1"/>
          <w:color w:val="1b1c1d"/>
          <w:sz w:val="26"/>
          <w:szCs w:val="26"/>
          <w:rtl w:val="0"/>
        </w:rPr>
        <w:t xml:space="preserve">CYP11B1 (11$\beta$-Hydroxylase) and Glucocorticoid Synthesis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CYP11B1, steroid </w:t>
      </w: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-hydroxylase, is principally expressed in the adrenal Zona Fasciculata (ZF) and Zona Reticularis (ZR).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It is the terminal enzyme in cortisol biosynthesis, catalyzing the conversion of 11-deoxycortisol to cortisol and 11-deoxycorticosterone (DOC) to corticosterone.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Cortisol is the major human glucocorticoid, regulating vital functions including metabolism and stress response.</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of the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gene is tightly regulated by the HPA axis, specifically by ACTH via a cAMP-regulated signaling pathway involving the CREB protein family.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Beyond classical endocrine signaling, epigenetic control is significant; a negative correlation between DNA methylation and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expression is observed in adrenal adenomas associated with autonomous cortisol secretion (Cushing’s adenoma), suggesting that dysregulation via hypomethylation contributes to pathology.</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e8xql9jfaf1" w:id="9"/>
      <w:bookmarkEnd w:id="9"/>
      <w:r w:rsidDel="00000000" w:rsidR="00000000" w:rsidRPr="00000000">
        <w:rPr>
          <w:b w:val="1"/>
          <w:color w:val="1b1c1d"/>
          <w:sz w:val="26"/>
          <w:szCs w:val="26"/>
          <w:rtl w:val="0"/>
        </w:rPr>
        <w:t xml:space="preserve">CYP11B2 (Aldosterone Synthase) and Mineralocorticoid Synthesis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CYP11B2 (aldosterone synthase) shares extensive genetic homology with CYP11B1 (93% sequence identity) and resides in close proximity on chromosome 8q24.3.</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high level of sequence similarity underscores why both enzymes are grouped together by structure-based computational methods. However, its functional role is highly distinct, being expressed almost exclusively in the adrenal Zona Glomerulosa (ZG).</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CYP11B2 is unique in its capacity to catalyze three sequential oxidative reactions—</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-hydroxylation, 18-hydroxylation, and 18-oxidation—on deoxycorticosterone to produce aldosterone and 18-oxocortisol.</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multi-step process is energetically intensive, requiring adrenodoxin to deliver six electrons sequentially for the synthesis of a single aldosterone molecule.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Regulation of </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primarily mediated by the renin-angiotensin-aldosterone system (RAAS). Angiotensin II and potassium concentration strongly induce transcription by activating calcium ion-dependent transcription factors that bind to the 5'-flanking region of </w:t>
      </w:r>
      <w:r w:rsidDel="00000000" w:rsidR="00000000" w:rsidRPr="00000000">
        <w:rPr>
          <w:color w:val="1b1c1d"/>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Pathologically, its overexpression, often due to somatic mutations in ZG clusters or in Aldosterone-Producing Adenomas (APAs), leads to primary aldosteronism and potentially refractory hypertension.</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minimal structural variation between CYP11B1 and CYP11B2 that permits the extra 18-oxidation activity in CYP11B2, coupled with highly divergent regulatory mechanisms, allows the independent control of glucocorticoid (stress and metabolism) and mineralocorticoid (blood pressure and salt balance) pathways. This fine-tuning of function through slight active site changes on a highly conserved structural backbone illustrates a fundamental principle of metabolic specialization captured within this protein cluster.</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bz2m4banmce" w:id="10"/>
      <w:bookmarkEnd w:id="10"/>
      <w:r w:rsidDel="00000000" w:rsidR="00000000" w:rsidRPr="00000000">
        <w:rPr>
          <w:b w:val="1"/>
          <w:color w:val="1b1c1d"/>
          <w:sz w:val="34"/>
          <w:szCs w:val="34"/>
          <w:rtl w:val="0"/>
        </w:rPr>
        <w:t xml:space="preserve">IV. Cholesterol and Bile Acid Homeostasis: The CYP7 Hydroxylases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CYP7 family comprises crucial steroid-binding enzymes that initiate the catabolism of cholesterol into bile acids, which is the primary mechanism for cholesterol clearance and maintenance of lipid homeostasis.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15y0ff5dw0h" w:id="11"/>
      <w:bookmarkEnd w:id="11"/>
      <w:r w:rsidDel="00000000" w:rsidR="00000000" w:rsidRPr="00000000">
        <w:rPr>
          <w:b w:val="1"/>
          <w:color w:val="1b1c1d"/>
          <w:sz w:val="26"/>
          <w:szCs w:val="26"/>
          <w:rtl w:val="0"/>
        </w:rPr>
        <w:t xml:space="preserve">CYP7A1: The Rate-Limiting Step in Cholesterol Clearance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-hydroxylase (CYP7A1), an ER-bound enzyme, catalyzes the committed and rate-limiting first step in the classical (neutral) bile acid synthesis pathway, converting cholesterol into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-hydroxycholesterol.</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444746"/>
          <w:sz w:val="40"/>
          <w:szCs w:val="40"/>
          <w:highlight w:val="white"/>
          <w:vertAlign w:val="superscript"/>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gene expression is subject to powerful negative feedback regulation by circulating bile acids.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Bile acids bind to the nuclear Farnesoid X Receptor (FXR). In the liver, FXR activation induces the small heterodimer partner (SHP), which acts to inhibit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transcription. In the intestine, FXR stimulates the release of FGF15/19 (depending on species), a hormone that signals back to the liver to repress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expression via FGFR4.</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tight regulatory feedback loop ensures cholesterol catabolism is only initiated when bile acid reserves are low. Genetic deficiencies resulting in loss of CYP7A1 function (e.g., the L413fsX414 frameshift mutation) cause severe hyperlipidemia, elevated LDL cholesterol, and premature atherosclerosis, confirming the enzyme’s indispensable role in systemic cholesterol management.</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zyh103o8783" w:id="12"/>
      <w:bookmarkEnd w:id="12"/>
      <w:r w:rsidDel="00000000" w:rsidR="00000000" w:rsidRPr="00000000">
        <w:rPr>
          <w:b w:val="1"/>
          <w:color w:val="1b1c1d"/>
          <w:sz w:val="26"/>
          <w:szCs w:val="26"/>
          <w:rtl w:val="0"/>
        </w:rPr>
        <w:t xml:space="preserve">CYP7B1: Alternative Pathway and Neurosteroid Link</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-hydroxylase (CYP7B1) shares 40% sequence identity with CYP7A1 and is responsible for initiating the alternative (acidic) bile acid pathway, acting primarily on oxysterol precursors like 27-hydroxycholesterol.</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to the liver-specific expression of CYP7A1,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mRNA transcripts are widely detected in various tissues, including the brain, testes, ovary, prostate, liver, colon, and kidney.</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broad tissue distribution reflects a wider functional scope. Notably, CYP7B1 exhibits broad substrate specificity, catalyzing the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-hydroxylation of neurosteroids such as dehydroepiandrosterone (DHEA).</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neurosteroid metabolism capability suggests that CYP7B1 acts as a localized metabolic regulator in steroidogenic tissues, processing various sterol derivatives and linking regional endocrine functions (like neurosteroid signaling) to the broader systemic catabolic pathways. Its role in processing locally generated oxysterols and DHEA ensures intermediates are either cleared or channeled into the acidic bile acid route, demonstrating an integration of global lipid balance with peripheral steroid metabolism.</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5s99vh50mnj" w:id="13"/>
      <w:bookmarkEnd w:id="13"/>
      <w:r w:rsidDel="00000000" w:rsidR="00000000" w:rsidRPr="00000000">
        <w:rPr>
          <w:b w:val="1"/>
          <w:color w:val="1b1c1d"/>
          <w:sz w:val="34"/>
          <w:szCs w:val="34"/>
          <w:rtl w:val="0"/>
        </w:rPr>
        <w:t xml:space="preserve">V. Microsomal CYPs in Hormone and Xenobiotic Metabolism (CYP1/2/3 Families)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microsomal CYPs reside on the endoplasmic reticulum membrane and function at the intersection of xenobiotic detoxification and endogenous steroid metabolism, a feature that highlights their clinical importance and the basis for numerous drug interactions.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f4ltpxd9ym0" w:id="14"/>
      <w:bookmarkEnd w:id="14"/>
      <w:r w:rsidDel="00000000" w:rsidR="00000000" w:rsidRPr="00000000">
        <w:rPr>
          <w:b w:val="1"/>
          <w:color w:val="1b1c1d"/>
          <w:sz w:val="26"/>
          <w:szCs w:val="26"/>
          <w:rtl w:val="0"/>
        </w:rPr>
        <w:t xml:space="preserve">The Promiscuity of the CYP3A Family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CYP3A4 is recognized as the most abundant human CYP and possesses extraordinary substrate promiscuity, metabolizing the majority of clinically administered drugs.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Beyond xenobiotics, CYP3A enzymes play a critical role in the catabolism of major endogenous steroids, including cortisol, estradiol, and DHEA.</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configuration of CYP3A4 dictates specific regioselectivity. For steroids containing the 3-keto-4-ene moiety (e.g., testosterone), CYP3A4 preferentially catalyzes </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-hydroxylation.</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selection is not solely a function of chemical reactivity but is determined by specific pharmacophoric features—the presence of two hydrophobic rings and two hydrogen-bond donors—that interact with the enzyme pocket to position the C-6 atom precisely for oxidative attack.</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extreme promiscuity of CYP3A4, which includes cooperative substrate binding, means that drugs and endogenous steroids compete directly for the active site volume, establishing a foundation for drug-drug interactions that can unpredictably alter hormone clearance and clinical outcomes.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i17t5newlus" w:id="15"/>
      <w:bookmarkEnd w:id="15"/>
      <w:r w:rsidDel="00000000" w:rsidR="00000000" w:rsidRPr="00000000">
        <w:rPr>
          <w:b w:val="1"/>
          <w:color w:val="1b1c1d"/>
          <w:sz w:val="26"/>
          <w:szCs w:val="26"/>
          <w:rtl w:val="0"/>
        </w:rPr>
        <w:t xml:space="preserve">The CYP1 Family and Estrogen Catabolism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CYP1A1, CYP1A2, and CYP1B1 are integral Phase I enzymes in the catabolism of estrogens, primarily responsible for the 2-hydroxylation and 4-hydroxylation of estradiol and estrone.</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Genetic variation in these enzymes can significantly modulate cumulative exposure to estrogen or its metabolites, thereby influencing the risk of hormone-related cancers and other disorders.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For example, polymorphisms in the </w:t>
      </w:r>
      <w:r w:rsidDel="00000000" w:rsidR="00000000" w:rsidRPr="00000000">
        <w:rPr>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gene, such as the C4887A variant, are linked to a higher degree of estrogen catabolism. This increased clearance is associated with lower levels of free estradiol and increased bone resorption, establishing the P450-mediated rate of estrogen inactivation as a potential genetic risk factor for conditions like osteoporosis.</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74a677eew6d" w:id="16"/>
      <w:bookmarkEnd w:id="16"/>
      <w:r w:rsidDel="00000000" w:rsidR="00000000" w:rsidRPr="00000000">
        <w:rPr>
          <w:b w:val="1"/>
          <w:color w:val="1b1c1d"/>
          <w:sz w:val="26"/>
          <w:szCs w:val="26"/>
          <w:rtl w:val="0"/>
        </w:rPr>
        <w:t xml:space="preserve">The CYP2C and CYP2D Families: Neurosteroid and Lipid Modulation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highly polymorphic CYP2C subfamily (including CYP2C8, 9, 18, and 19) metabolizes numerous xenobiotics and endogenous fatty acids. Notably, CYP2C9 possesses steroid hydroxylase activity.</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Polymorphisms in genes like </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are linked to variations in serum lipid levels and may correlate with the risk of atherosclerotic cardiovascular disease (ASCVD), indicating their importance in localized lipid metabolism alongside their critical roles in drug clearance.</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CYP2D6, while metabolizing approximately 25% of all clinical drugs, is also crucial for metabolizing endogenous neurosteroids, including progesterone (PROG) and allopregnanolone (ALLO), particularly within the brain.</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 expression of CYP2D is demonstrably regulated by sex steroid hormones (estradiol and progesterone) in a gender- and species-specific manner.</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direct regulation implies a feedback mechanism linking systemic endocrine status to neurochemical metabolism. Consequently, drugs that inhibit CYP2D6 activity can lead to altered levels of neurosteroids, suggesting a direct molecular link between pharmaceutical intervention and changes in neurological or psychological function.</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The dual role of these CYPs creates a complex environment where drug metabolism directly influences, and is influenced by, endogenous steroid signaling.</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x1twgzfk78r" w:id="17"/>
      <w:bookmarkEnd w:id="17"/>
      <w:r w:rsidDel="00000000" w:rsidR="00000000" w:rsidRPr="00000000">
        <w:rPr>
          <w:b w:val="1"/>
          <w:color w:val="1b1c1d"/>
          <w:sz w:val="34"/>
          <w:szCs w:val="34"/>
          <w:rtl w:val="0"/>
        </w:rPr>
        <w:t xml:space="preserve">VI. Structural Determinants of Steroid Substrate Specificity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grouping of the steroid-binding cluster relies on the deep structural conservation of the P450 heme domain. However, functional differentiation—the ability to perform highly specific regioselective oxidation—is achieved through minimal variations in the architecture of the substrate recognition sites (SRSs).</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es8pnnt6fmp" w:id="18"/>
      <w:bookmarkEnd w:id="18"/>
      <w:r w:rsidDel="00000000" w:rsidR="00000000" w:rsidRPr="00000000">
        <w:rPr>
          <w:b w:val="1"/>
          <w:color w:val="1b1c1d"/>
          <w:sz w:val="26"/>
          <w:szCs w:val="26"/>
          <w:rtl w:val="0"/>
        </w:rPr>
        <w:t xml:space="preserve">Mapping Specificity to Active Site Geometry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Steroids are rigid, multi-ring hydrophobic molecules that induce conformational changes upon binding to P450 enzymes.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For the desired oxidation reaction (</w:t>
      </w: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occur, the specific carbon-hydrogen bond must be precisely oriented within angstroms of the activated iron-oxo species (Compound I).</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The final regioselectivity and stereochemistry of the product are entirely determined by this precise docking orientation, which is governed by the localized chemical environment within the binding pocket.</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cosxnutzpha" w:id="19"/>
      <w:bookmarkEnd w:id="19"/>
      <w:r w:rsidDel="00000000" w:rsidR="00000000" w:rsidRPr="00000000">
        <w:rPr>
          <w:b w:val="1"/>
          <w:color w:val="1b1c1d"/>
          <w:sz w:val="26"/>
          <w:szCs w:val="26"/>
          <w:rtl w:val="0"/>
        </w:rPr>
        <w:t xml:space="preserve">Comparative Structural Analysis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basis for specificity is profoundly illustrated by comparing P450s with high sequence similarity but functional divergence. Comparisons between bacterial enzymes, such as CYP106A1 and CYP106A2, reveal that different product formation patterns arise because the steroid substrate, such as cortisol, occupies a </w:t>
      </w:r>
      <w:r w:rsidDel="00000000" w:rsidR="00000000" w:rsidRPr="00000000">
        <w:rPr>
          <w:i w:val="1"/>
          <w:color w:val="1b1c1d"/>
          <w:rtl w:val="0"/>
        </w:rPr>
        <w:t xml:space="preserve">completely different orientation</w:t>
      </w:r>
      <w:r w:rsidDel="00000000" w:rsidR="00000000" w:rsidRPr="00000000">
        <w:rPr>
          <w:color w:val="1b1c1d"/>
          <w:rtl w:val="0"/>
        </w:rPr>
        <w:t xml:space="preserve"> in the active site of each isoform.</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Docking and crystallographic studies demonstrate that the binding position is determined by a specific pattern of non-covalent interactions, including hydrophobic contacts and hydrogen bonds, formed between the steroid's functional groups and specific residues within the SRS loops.</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These subtle differences in contact points are sufficient to guide the orientation of the steroid. For instance, CYP106A1's specific orientation favors the reduction of the </w:t>
      </w: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 group to a keto functionality, yielding cortisone.</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This principle—that localized binding geometry dictates reaction site—applies universally, explaining how the highly homologous CYP11B1 and CYP11B2 achieve their unique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/18-hydroxylation specificities. The general capability to house and orient the large hydrophobic steroidal ligand is the common structural denominator that defines the protein cluster.</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xs55auy6j96" w:id="20"/>
      <w:bookmarkEnd w:id="20"/>
      <w:r w:rsidDel="00000000" w:rsidR="00000000" w:rsidRPr="00000000">
        <w:rPr>
          <w:b w:val="1"/>
          <w:color w:val="1b1c1d"/>
          <w:sz w:val="26"/>
          <w:szCs w:val="26"/>
          <w:rtl w:val="0"/>
        </w:rPr>
        <w:t xml:space="preserve">Plant Sterol Desaturases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 also recognizes plant sterol-modifying P450s, such as the CYP710A family, which function as C-22 desaturases.</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Specifically,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CYP710A1 and tomato CYP710A11 catalyze the conversion of phytosterols (e.g.,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-sitosterol) to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-sterols (e.g., stigmasterol) by introducing a double bond at the C-22 position of the side chain.</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These sterols are crucial for plant membrane integrity and development.</w:t>
      </w:r>
      <w:r w:rsidDel="00000000" w:rsidR="00000000" w:rsidRPr="00000000">
        <w:rPr>
          <w:color w:val="444746"/>
          <w:sz w:val="40"/>
          <w:szCs w:val="40"/>
          <w:highlight w:val="white"/>
          <w:vertAlign w:val="superscript"/>
          <w:rtl w:val="0"/>
        </w:rPr>
        <w:t xml:space="preserve">39</w:t>
      </w:r>
      <w:r w:rsidDel="00000000" w:rsidR="00000000" w:rsidRPr="00000000">
        <w:rPr>
          <w:color w:val="1b1c1d"/>
          <w:rtl w:val="0"/>
        </w:rPr>
        <w:t xml:space="preserve"> The inclusion of these desaturases confirms that the fundamental architectural requirement for securing a bulky sterol substrate is the primary common characteristic identified by the protein language model, irrespective of the final chemical process (hydroxylation or desaturation).</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dmgwa177g25" w:id="21"/>
      <w:bookmarkEnd w:id="21"/>
      <w:r w:rsidDel="00000000" w:rsidR="00000000" w:rsidRPr="00000000">
        <w:rPr>
          <w:b w:val="1"/>
          <w:color w:val="1b1c1d"/>
          <w:sz w:val="34"/>
          <w:szCs w:val="34"/>
          <w:rtl w:val="0"/>
        </w:rPr>
        <w:t xml:space="preserve">VII. Analysis of Non-CYP Steroid-Binding Members: GBA3 (Cytosolic </w:t>
      </w:r>
      <w:r w:rsidDel="00000000" w:rsidR="00000000" w:rsidRPr="00000000">
        <w:rPr>
          <w:b w:val="1"/>
          <w:color w:val="1b1c1d"/>
          <w:sz w:val="34"/>
          <w:szCs w:val="34"/>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34"/>
          <w:szCs w:val="34"/>
          <w:rtl w:val="0"/>
        </w:rPr>
        <w:t xml:space="preserve">-Glucosidase)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Cytosolic </w:t>
      </w: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-glucosidase (GBA3), also known as Klotho-related protein (KLrP), represents the non-P450 component of this cluster.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Its inclusion demonstrates that the computational model successfully identifies structurally related binding potential even in enzymes with divergent overall folds and catalytic mechanisms.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53j66oucni6" w:id="22"/>
      <w:bookmarkEnd w:id="22"/>
      <w:r w:rsidDel="00000000" w:rsidR="00000000" w:rsidRPr="00000000">
        <w:rPr>
          <w:b w:val="1"/>
          <w:color w:val="1b1c1d"/>
          <w:sz w:val="26"/>
          <w:szCs w:val="26"/>
          <w:rtl w:val="0"/>
        </w:rPr>
        <w:t xml:space="preserve">Molecular Function and Detoxification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GBA3 is a cytosolic enzyme that operates optimally at neutral pH.</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It is a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-glucosidase capable of hydrolyzing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-D-glucoside and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-D-galactoside linkages through a double displacement mechanism.</w:t>
      </w:r>
      <w:r w:rsidDel="00000000" w:rsidR="00000000" w:rsidRPr="00000000">
        <w:rPr>
          <w:color w:val="444746"/>
          <w:sz w:val="40"/>
          <w:szCs w:val="40"/>
          <w:highlight w:val="white"/>
          <w:vertAlign w:val="superscript"/>
          <w:rtl w:val="0"/>
        </w:rPr>
        <w:t xml:space="preserve">41</w:t>
      </w:r>
      <w:r w:rsidDel="00000000" w:rsidR="00000000" w:rsidRPr="00000000">
        <w:rPr>
          <w:color w:val="1b1c1d"/>
          <w:rtl w:val="0"/>
        </w:rPr>
        <w:t xml:space="preserve"> Its established primary role is associated with the detoxification of glucosylated xenobiotics and plant glycosides.</w:t>
      </w:r>
      <w:r w:rsidDel="00000000" w:rsidR="00000000" w:rsidRPr="00000000">
        <w:rPr>
          <w:color w:val="444746"/>
          <w:sz w:val="40"/>
          <w:szCs w:val="40"/>
          <w:highlight w:val="white"/>
          <w:vertAlign w:val="superscript"/>
          <w:rtl w:val="0"/>
        </w:rPr>
        <w:t xml:space="preserve">41</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specific relevance of GBA3 to this steroid-binding cluster is its proven capacity to hydrolyze steroid-glucosides, such as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-estradiol-</w:t>
      </w: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-D-glucose.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Structural modeling suggests that the binding of the aglycone moiety (the steroid) within GBA3's active site pocket is predominantly governed by strong hydrophobic interactions.</w:t>
      </w:r>
      <w:r w:rsidDel="00000000" w:rsidR="00000000" w:rsidRPr="00000000">
        <w:rPr>
          <w:color w:val="444746"/>
          <w:sz w:val="40"/>
          <w:szCs w:val="40"/>
          <w:highlight w:val="white"/>
          <w:vertAlign w:val="superscript"/>
          <w:rtl w:val="0"/>
        </w:rPr>
        <w:t xml:space="preserve">43</w:t>
      </w:r>
      <w:r w:rsidDel="00000000" w:rsidR="00000000" w:rsidRPr="00000000">
        <w:rPr>
          <w:color w:val="1b1c1d"/>
          <w:rtl w:val="0"/>
        </w:rPr>
        <w:t xml:space="preserve"> Thus, GBA3 co-clusters because it possesses a hydrophobic cavity that effectively recognizes and binds the sterol core, satisfying the clustering criteria based on hydrophobic ligand sequestration, despite its function being hydrolytic rather than oxidative.</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zlys122q8cc" w:id="23"/>
      <w:bookmarkEnd w:id="23"/>
      <w:r w:rsidDel="00000000" w:rsidR="00000000" w:rsidRPr="00000000">
        <w:rPr>
          <w:b w:val="1"/>
          <w:color w:val="1b1c1d"/>
          <w:sz w:val="26"/>
          <w:szCs w:val="26"/>
          <w:rtl w:val="0"/>
        </w:rPr>
        <w:t xml:space="preserve">Pathophysiological Distinction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It is critical to distinguish GBA3 from the lysosomal glucocerebrosidase (GBA), deficiency of which causes Gaucher disease (GD). Although GBA3 has minor neutral glycosylceramidase activity, research indicates that it exhibits poor </w:t>
      </w:r>
      <w:r w:rsidDel="00000000" w:rsidR="00000000" w:rsidRPr="00000000">
        <w:rPr>
          <w:i w:val="1"/>
          <w:color w:val="1b1c1d"/>
          <w:rtl w:val="0"/>
        </w:rPr>
        <w:t xml:space="preserve">in vitro</w:t>
      </w:r>
      <w:r w:rsidDel="00000000" w:rsidR="00000000" w:rsidRPr="00000000">
        <w:rPr>
          <w:color w:val="1b1c1d"/>
          <w:rtl w:val="0"/>
        </w:rPr>
        <w:t xml:space="preserve"> activity toward naturally occurring lipids like glucosylceramide (GlcCer) and does not significantly influence the manifestation or progression of Type 1 Gaucher disease.</w:t>
      </w:r>
      <w:r w:rsidDel="00000000" w:rsidR="00000000" w:rsidRPr="00000000">
        <w:rPr>
          <w:color w:val="444746"/>
          <w:sz w:val="40"/>
          <w:szCs w:val="40"/>
          <w:highlight w:val="white"/>
          <w:vertAlign w:val="superscript"/>
          <w:rtl w:val="0"/>
        </w:rPr>
        <w:t xml:space="preserve">45</w:t>
      </w:r>
      <w:r w:rsidDel="00000000" w:rsidR="00000000" w:rsidRPr="00000000">
        <w:rPr>
          <w:color w:val="1b1c1d"/>
          <w:rtl w:val="0"/>
        </w:rPr>
        <w:t xml:space="preserve"> The existence of common non-functional variants (e.g., 1368T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 that do not result in known major disease phenotypes reinforces GBA3's presumed primary function in auxiliary cytosolic detoxification, as opposed to essential glycosphingolipid catabolism.</w:t>
      </w:r>
      <w:r w:rsidDel="00000000" w:rsidR="00000000" w:rsidRPr="00000000">
        <w:rPr>
          <w:color w:val="444746"/>
          <w:sz w:val="40"/>
          <w:szCs w:val="40"/>
          <w:highlight w:val="white"/>
          <w:vertAlign w:val="superscript"/>
          <w:rtl w:val="0"/>
        </w:rPr>
        <w:t xml:space="preserve">45</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5yilxb8osql" w:id="24"/>
      <w:bookmarkEnd w:id="24"/>
      <w:r w:rsidDel="00000000" w:rsidR="00000000" w:rsidRPr="00000000">
        <w:rPr>
          <w:b w:val="1"/>
          <w:color w:val="1b1c1d"/>
          <w:sz w:val="34"/>
          <w:szCs w:val="34"/>
          <w:rtl w:val="0"/>
        </w:rPr>
        <w:t xml:space="preserve">VIII. Conclusion and Future Directions</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y0mysdvfpad" w:id="25"/>
      <w:bookmarkEnd w:id="25"/>
      <w:r w:rsidDel="00000000" w:rsidR="00000000" w:rsidRPr="00000000">
        <w:rPr>
          <w:b w:val="1"/>
          <w:color w:val="1b1c1d"/>
          <w:sz w:val="26"/>
          <w:szCs w:val="26"/>
          <w:rtl w:val="0"/>
        </w:rPr>
        <w:t xml:space="preserve">Synthesis of Cluster Identity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single comprehensive cluster of steroid-binding proteins is a testament to the evolutionary conservation of the protein architecture necessary to interact with the bulky, hydrophobic sterol scaffold. The computational grouping primarily identified the highly conserved P450 fold, which forms the core catalytic machinery for three major functional divisions: dedicated </w:t>
      </w:r>
      <w:r w:rsidDel="00000000" w:rsidR="00000000" w:rsidRPr="00000000">
        <w:rPr>
          <w:b w:val="1"/>
          <w:color w:val="1b1c1d"/>
          <w:rtl w:val="0"/>
        </w:rPr>
        <w:t xml:space="preserve">Endocrine Synthesis</w:t>
      </w:r>
      <w:r w:rsidDel="00000000" w:rsidR="00000000" w:rsidRPr="00000000">
        <w:rPr>
          <w:color w:val="1b1c1d"/>
          <w:rtl w:val="0"/>
        </w:rPr>
        <w:t xml:space="preserve"> (Mitochondrial CYP11B family), flexible </w:t>
      </w:r>
      <w:r w:rsidDel="00000000" w:rsidR="00000000" w:rsidRPr="00000000">
        <w:rPr>
          <w:b w:val="1"/>
          <w:color w:val="1b1c1d"/>
          <w:rtl w:val="0"/>
        </w:rPr>
        <w:t xml:space="preserve">Homeostasis and Broad Catabolism</w:t>
      </w:r>
      <w:r w:rsidDel="00000000" w:rsidR="00000000" w:rsidRPr="00000000">
        <w:rPr>
          <w:color w:val="1b1c1d"/>
          <w:rtl w:val="0"/>
        </w:rPr>
        <w:t xml:space="preserve"> (Microsomal CYP1, CYP2, CYP3, CYP7 families), and specialized </w:t>
      </w:r>
      <w:r w:rsidDel="00000000" w:rsidR="00000000" w:rsidRPr="00000000">
        <w:rPr>
          <w:b w:val="1"/>
          <w:color w:val="1b1c1d"/>
          <w:rtl w:val="0"/>
        </w:rPr>
        <w:t xml:space="preserve">Conjugate Detoxification</w:t>
      </w:r>
      <w:r w:rsidDel="00000000" w:rsidR="00000000" w:rsidRPr="00000000">
        <w:rPr>
          <w:color w:val="1b1c1d"/>
          <w:rtl w:val="0"/>
        </w:rPr>
        <w:t xml:space="preserve"> (GBA3).</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 structural homology among CYPs allows them to cluster, while functional specialization is achieved via localized modifications to the SRS loops that dictate the precise orientation (regioselectivity) of the steroid substrate toward the active iron-oxo center.</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0ufw05p23nv" w:id="26"/>
      <w:bookmarkEnd w:id="26"/>
      <w:r w:rsidDel="00000000" w:rsidR="00000000" w:rsidRPr="00000000">
        <w:rPr>
          <w:b w:val="1"/>
          <w:color w:val="1b1c1d"/>
          <w:sz w:val="26"/>
          <w:szCs w:val="26"/>
          <w:rtl w:val="0"/>
        </w:rPr>
        <w:t xml:space="preserve">Implications for Pharmacogenomics and Precision Medicine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overlap between microsomal CYPs in metabolizing xenobiotics and endogenous steroids (e.g., CYP3A4, CYP2D6) represents a critical challenge in pharmacology. The high degree of genetic polymorphism in these enzymes results in significant inter-individual variation in metabolism (e.g., ultrarapid vs. poor metabolizers) for both drugs and life-critical hormones.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Recognizing that the precise geometry of the substrate binding pocket determines metabolic outcome is essential for rational drug design. Future therapies must account for structural interactions that minimize competition with endogenous steroids (like cortisol or neurosteroids) while optimizing drug clearance. Understanding the impact of genetic variations in CYP2C and CYP2D families on serum lipid levels and neurosteroid status is crucial for advancing precision medicine strategies that predict therapeutic efficacy and reduce adverse drug reactions in patients with endocrine or cardiovascular conditions.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li1d5qklw3g" w:id="27"/>
      <w:bookmarkEnd w:id="27"/>
      <w:r w:rsidDel="00000000" w:rsidR="00000000" w:rsidRPr="00000000">
        <w:rPr>
          <w:b w:val="1"/>
          <w:color w:val="1b1c1d"/>
          <w:sz w:val="26"/>
          <w:szCs w:val="26"/>
          <w:rtl w:val="0"/>
        </w:rPr>
        <w:t xml:space="preserve">Open Research Challenges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fully elucidate the complex interplay within this cluster, future research must focus on obtaining high-resolution structural data, particularly for highly promiscuous enzymes like CYP3A4, to map the molecular basis of cooperative binding and substrate competition. Furthermore, comprehensive investigation into the epigenetic regulation, such as DNA methylation of </w:t>
      </w: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its influence by environmental and dietary factors is required to fully unravel the pathogenesis of autonomous hormone synthesis disorders.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Clarifying the molecular feedback mechanisms linking systemic sex steroid levels to the localized regulation of brain CYPs (CYP2D) remains a vital area for research into neurological and psychiatric disorders.</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