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c0ag33cyslns" w:id="0"/>
      <w:bookmarkEnd w:id="0"/>
      <w:r w:rsidDel="00000000" w:rsidR="00000000" w:rsidRPr="00000000">
        <w:rPr>
          <w:b w:val="1"/>
          <w:color w:val="1b1c1d"/>
          <w:sz w:val="46"/>
          <w:szCs w:val="46"/>
          <w:rtl w:val="0"/>
        </w:rPr>
        <w:t xml:space="preserve">The HsaA Flavin-Dependent Monooxygenase Cluster (EC 1.14.14.12): Structure, Function, and Therapeutic Relevance in Bacterial Steroid Catabolism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cjyoft8fbab" w:id="1"/>
      <w:bookmarkEnd w:id="1"/>
      <w:r w:rsidDel="00000000" w:rsidR="00000000" w:rsidRPr="00000000">
        <w:rPr>
          <w:b w:val="1"/>
          <w:color w:val="1b1c1d"/>
          <w:sz w:val="34"/>
          <w:szCs w:val="34"/>
          <w:rtl w:val="0"/>
        </w:rPr>
        <w:t xml:space="preserve">I. Introduction to the HsaA Flavin-Dependent Monooxygenase Family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n1rxd2wwirf" w:id="2"/>
      <w:bookmarkEnd w:id="2"/>
      <w:r w:rsidDel="00000000" w:rsidR="00000000" w:rsidRPr="00000000">
        <w:rPr>
          <w:b w:val="1"/>
          <w:color w:val="1b1c1d"/>
          <w:sz w:val="26"/>
          <w:szCs w:val="26"/>
          <w:rtl w:val="0"/>
        </w:rPr>
        <w:t xml:space="preserve">A. Contextualizing HsaA within Microbial Steroid Metabolism and Pathogenesis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capacity to degrade complex steroidal molecules, such as host cholesterol and testosterone, is a crucial metabolic mechanism utilized by various environmental and pathogenic bacteria.</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For the human pathogen </w:t>
      </w:r>
      <w:r w:rsidDel="00000000" w:rsidR="00000000" w:rsidRPr="00000000">
        <w:rPr>
          <w:i w:val="1"/>
          <w:color w:val="1b1c1d"/>
          <w:rtl w:val="0"/>
        </w:rPr>
        <w:t xml:space="preserve">Mycobacterium tuberculosis</w:t>
      </w:r>
      <w:r w:rsidDel="00000000" w:rsidR="00000000" w:rsidRPr="00000000">
        <w:rPr>
          <w:color w:val="1b1c1d"/>
          <w:rtl w:val="0"/>
        </w:rPr>
        <w:t xml:space="preserve"> (Mtb), cholesterol catabolism serves as a critical carbon source, supporting its persistence and survival within the nutrient-restricted macrophage environment during infection.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metabolic capability is mediated by a large, specialized regulon of genes, with the HsaAB system playing an indispensable role in the modification of the aromatic A/B ring structures of steroid degradation intermediates.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functional complexity and essentiality of this pathway have positioned its constituent enzymes as attractive targets for novel antimicrobial therapies.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am5wzsp0spg" w:id="3"/>
      <w:bookmarkEnd w:id="3"/>
      <w:r w:rsidDel="00000000" w:rsidR="00000000" w:rsidRPr="00000000">
        <w:rPr>
          <w:b w:val="1"/>
          <w:color w:val="1b1c1d"/>
          <w:sz w:val="26"/>
          <w:szCs w:val="26"/>
          <w:rtl w:val="0"/>
        </w:rPr>
        <w:t xml:space="preserve">B. Definition and Scope of the HsaA Protein Cluster (IPR054617)</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proteins under investigation are classified based on sequence homology, functional criteria, and modern computational grouping methods, such as protein language model embeddings. This group is formally identified by the Enzyme Commission (EC) number EC 1.14.14.12 and the InterPro identifier IPR054617.</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accepted nomenclature for this enzyme includes 3-hydroxy-9,10-secoandrosta-1,3,5(10)-triene-9,17-dione monooxygenase and 3-hydroxy-9,10-secoandrosta-1,3,5(10)-triene-9,17-dione 4-hydroxylase, with HsaA serving as the common designation for the oxygenase subunit.</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InterPro entry IPR054617 specifically represents the Flavin-dependent monooxygenase, oxygenase subunit HsaA, and related proteins, found primarily in Actinomycetes, including </w:t>
      </w:r>
      <w:r w:rsidDel="00000000" w:rsidR="00000000" w:rsidRPr="00000000">
        <w:rPr>
          <w:i w:val="1"/>
          <w:color w:val="1b1c1d"/>
          <w:rtl w:val="0"/>
        </w:rPr>
        <w:t xml:space="preserve">M. tuberculosis</w:t>
      </w:r>
      <w:r w:rsidDel="00000000" w:rsidR="00000000" w:rsidRPr="00000000">
        <w:rPr>
          <w:color w:val="1b1c1d"/>
          <w:rtl w:val="0"/>
        </w:rPr>
        <w:t xml:space="preserve"> and </w:t>
      </w:r>
      <w:r w:rsidDel="00000000" w:rsidR="00000000" w:rsidRPr="00000000">
        <w:rPr>
          <w:i w:val="1"/>
          <w:color w:val="1b1c1d"/>
          <w:rtl w:val="0"/>
        </w:rPr>
        <w:t xml:space="preserve">Cryptosporangium phraense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Although HsaA shares the basic structural topology with other two-component flavin-dependent monooxygenases (TC-FDM), such as $p$-hydroxyphenyl acetate hydroxylase (pHPAH)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its unique clustering, confirmed by high similarity in protein language model embeddings, underscores a specialized functional adaptation. The shared topology is insufficient to explain this tight grouping. Instead, the specific requirements imposed by the large, bulky $3-\text{HSA}$ substrate have driven the evolutionary conservation of unique structural elements, such as an exceptionally large substrate-binding pocket and a critical dynamic C-terminal flap, which differentiate the HsaA family from broader TC-FDM classes.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structural signature, required for recognizing and processing the seco-steroid intermediate, serves as the fundamental basis for their classification into this discrete functional cluster (IPR054617).</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ma2njl1gwxx" w:id="4"/>
      <w:bookmarkEnd w:id="4"/>
      <w:r w:rsidDel="00000000" w:rsidR="00000000" w:rsidRPr="00000000">
        <w:rPr>
          <w:b w:val="1"/>
          <w:color w:val="1b1c1d"/>
          <w:sz w:val="34"/>
          <w:szCs w:val="34"/>
          <w:rtl w:val="0"/>
        </w:rPr>
        <w:t xml:space="preserve">II. Enzymatic Classification and Reaction Biochemistry (EC 1.14.14.12)</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rcvf9n5wzrh" w:id="5"/>
      <w:bookmarkEnd w:id="5"/>
      <w:r w:rsidDel="00000000" w:rsidR="00000000" w:rsidRPr="00000000">
        <w:rPr>
          <w:b w:val="1"/>
          <w:color w:val="1b1c1d"/>
          <w:sz w:val="26"/>
          <w:szCs w:val="26"/>
          <w:rtl w:val="0"/>
        </w:rPr>
        <w:t xml:space="preserve">A. Detailed Reaction Catalysis and Mechanism</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HsaA is classified as an oxidoreductase, specifically acting on paired donors, incorporating two oxygen atoms into the donor with $\text{O}_2$ as the oxidant, falling under EC 1.14.14.12.</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enzyme performs a crucial $o$-hydroxylation step in steroid catabolism, acting on 3-hydroxy-9,10-secoandrosta-1,3,5(10)-triene-9,17-dione (3-HSA).</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reaction yields a catechol structure, 3,4-dihydroxy-9,10-secoandrosta-1,3,5(10)-triene-9,17-dione, which is then poised for subsequent aromatic ring cleavage.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pPr>
      <w:r w:rsidDel="00000000" w:rsidR="00000000" w:rsidRPr="00000000">
        <w:rPr>
          <w:rtl w:val="0"/>
        </w:rPr>
        <w:t xml:space="preserve">The reaction catalyzed is formally expressed as:</w:t>
      </w:r>
    </w:p>
    <w:p w:rsidR="00000000" w:rsidDel="00000000" w:rsidP="00000000" w:rsidRDefault="00000000" w:rsidRPr="00000000" w14:paraId="0000000D">
      <w:pPr>
        <w:rPr>
          <w:color w:val="1b1c1d"/>
        </w:rPr>
      </w:pPr>
      <w:r w:rsidDel="00000000" w:rsidR="00000000" w:rsidRPr="00000000">
        <w:rPr>
          <w:color w:val="1b1c1d"/>
          <w:rtl w:val="0"/>
        </w:rPr>
        <w:t xml:space="preserve">$$\text{3-hydroxy-9,10-secoandrosta-1,3,5(10)-triene-9,17-dione} + \text{FMNH}_2 + \text{O}_2 \rightarrow \text{3,4-dihydroxy-9,10-secoandrosta-1,3,5(10)-triene-9,17-dione} + \text{FMN} + \text{H}_2\text{O} + \text{H}^+$$</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 is flexible in its cofactor requirement, capable of utilizing either reduced flavin mononucleotide ($\text{FMNH}_2$) or reduced flavin adenine dinucleotide ($\text{FADH}$) as the flavin cofactor.</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eijddi3ece5" w:id="6"/>
      <w:bookmarkEnd w:id="6"/>
      <w:r w:rsidDel="00000000" w:rsidR="00000000" w:rsidRPr="00000000">
        <w:rPr>
          <w:b w:val="1"/>
          <w:color w:val="1b1c1d"/>
          <w:sz w:val="26"/>
          <w:szCs w:val="26"/>
          <w:rtl w:val="0"/>
        </w:rPr>
        <w:t xml:space="preserve">B. The Two-Component HsaAB System</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HsaA functions as the oxygenase component within a two-component system, requiring the corresponding reductase component, HsaB, for sustained activity.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genetic organization typically sees the two genes, </w:t>
      </w:r>
      <w:r w:rsidDel="00000000" w:rsidR="00000000" w:rsidRPr="00000000">
        <w:rPr>
          <w:i w:val="1"/>
          <w:color w:val="1b1c1d"/>
          <w:rtl w:val="0"/>
        </w:rPr>
        <w:t xml:space="preserve">hsaA</w:t>
      </w:r>
      <w:r w:rsidDel="00000000" w:rsidR="00000000" w:rsidRPr="00000000">
        <w:rPr>
          <w:color w:val="1b1c1d"/>
          <w:rtl w:val="0"/>
        </w:rPr>
        <w:t xml:space="preserve"> and </w:t>
      </w:r>
      <w:r w:rsidDel="00000000" w:rsidR="00000000" w:rsidRPr="00000000">
        <w:rPr>
          <w:i w:val="1"/>
          <w:color w:val="1b1c1d"/>
          <w:rtl w:val="0"/>
        </w:rPr>
        <w:t xml:space="preserve">hsaB</w:t>
      </w:r>
      <w:r w:rsidDel="00000000" w:rsidR="00000000" w:rsidRPr="00000000">
        <w:rPr>
          <w:color w:val="1b1c1d"/>
          <w:rtl w:val="0"/>
        </w:rPr>
        <w:t xml:space="preserve">, clustered together in the genome.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role of HsaB is the utilization of NADH to reduce the flavin cofactor, which is subsequently transferred to the HsaA oxygenase subunit.</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flavin shuttling mechanism is characteristic of TC-FDM enzymes. In the context of </w:t>
      </w:r>
      <w:r w:rsidDel="00000000" w:rsidR="00000000" w:rsidRPr="00000000">
        <w:rPr>
          <w:i w:val="1"/>
          <w:color w:val="1b1c1d"/>
          <w:rtl w:val="0"/>
        </w:rPr>
        <w:t xml:space="preserve">M. tuberculosis</w:t>
      </w:r>
      <w:r w:rsidDel="00000000" w:rsidR="00000000" w:rsidRPr="00000000">
        <w:rPr>
          <w:color w:val="1b1c1d"/>
          <w:rtl w:val="0"/>
        </w:rPr>
        <w:t xml:space="preserve">, the importance of these two components differs significantly. Studies involving transposon mutagenesis in Mtb indicated that while the deletion of </w:t>
      </w:r>
      <w:r w:rsidDel="00000000" w:rsidR="00000000" w:rsidRPr="00000000">
        <w:rPr>
          <w:i w:val="1"/>
          <w:color w:val="1b1c1d"/>
          <w:rtl w:val="0"/>
        </w:rPr>
        <w:t xml:space="preserve">hsaA</w:t>
      </w:r>
      <w:r w:rsidDel="00000000" w:rsidR="00000000" w:rsidRPr="00000000">
        <w:rPr>
          <w:color w:val="1b1c1d"/>
          <w:rtl w:val="0"/>
        </w:rPr>
        <w:t xml:space="preserve"> (Mtb </w:t>
      </w:r>
      <w:r w:rsidDel="00000000" w:rsidR="00000000" w:rsidRPr="00000000">
        <w:rPr>
          <w:i w:val="1"/>
          <w:color w:val="1b1c1d"/>
          <w:rtl w:val="0"/>
        </w:rPr>
        <w:t xml:space="preserve">3570c</w:t>
      </w:r>
      <w:r w:rsidDel="00000000" w:rsidR="00000000" w:rsidRPr="00000000">
        <w:rPr>
          <w:color w:val="1b1c1d"/>
          <w:rtl w:val="0"/>
        </w:rPr>
        <w:t xml:space="preserve">) was detrimental to the microorganism's survival in macrophages, the deletion of </w:t>
      </w:r>
      <w:r w:rsidDel="00000000" w:rsidR="00000000" w:rsidRPr="00000000">
        <w:rPr>
          <w:i w:val="1"/>
          <w:color w:val="1b1c1d"/>
          <w:rtl w:val="0"/>
        </w:rPr>
        <w:t xml:space="preserve">hsaB</w:t>
      </w:r>
      <w:r w:rsidDel="00000000" w:rsidR="00000000" w:rsidRPr="00000000">
        <w:rPr>
          <w:color w:val="1b1c1d"/>
          <w:rtl w:val="0"/>
        </w:rPr>
        <w:t xml:space="preserve"> (</w:t>
      </w:r>
      <w:r w:rsidDel="00000000" w:rsidR="00000000" w:rsidRPr="00000000">
        <w:rPr>
          <w:i w:val="1"/>
          <w:color w:val="1b1c1d"/>
          <w:rtl w:val="0"/>
        </w:rPr>
        <w:t xml:space="preserve">3567c</w:t>
      </w:r>
      <w:r w:rsidDel="00000000" w:rsidR="00000000" w:rsidRPr="00000000">
        <w:rPr>
          <w:color w:val="1b1c1d"/>
          <w:rtl w:val="0"/>
        </w:rPr>
        <w:t xml:space="preserve">) did not show the same negative effect.</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observed functional difference implies that the activity of HsaB, flavin reduction, can be readily complemented or performed by other endogenous flavin-reducing enzymes present in the cell.</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Consequently, the essential metabolic function—the specific $o$-hydroxylation required for downstream ring cleavage—resides uniquely and non-redundantly with HsaA. This makes HsaA the sole metabolic bottleneck for processing $3-\text{HSA}$. This analysis of functional redundancy highlights HsaA as a superior therapeutic target in drug discovery programs, as targeting the HsaB component alone risks compensatory mechanisms from other cellular reductases, whereas HsaA inhibition directly blocks a necessary, unique, and non-bypassed stereospecific hydroxylation step required for effective ring degradation.</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2kze3wof3zo" w:id="7"/>
      <w:bookmarkEnd w:id="7"/>
      <w:r w:rsidDel="00000000" w:rsidR="00000000" w:rsidRPr="00000000">
        <w:rPr>
          <w:b w:val="1"/>
          <w:color w:val="1b1c1d"/>
          <w:sz w:val="34"/>
          <w:szCs w:val="34"/>
          <w:rtl w:val="0"/>
        </w:rPr>
        <w:t xml:space="preserve">III. Substrate Profile and Kinetic Analysis</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sa37c8esta2" w:id="8"/>
      <w:bookmarkEnd w:id="8"/>
      <w:r w:rsidDel="00000000" w:rsidR="00000000" w:rsidRPr="00000000">
        <w:rPr>
          <w:b w:val="1"/>
          <w:color w:val="1b1c1d"/>
          <w:sz w:val="26"/>
          <w:szCs w:val="26"/>
          <w:rtl w:val="0"/>
        </w:rPr>
        <w:t xml:space="preserve">A. Position in the Steroid Degradation Pathway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HsaA's role is situated at a critical juncture in the aerobic degradation pathway of cholesterol and testosterone. Following the initial cleavage and modification of the steroid rings, cholesterol is processed down to the seco-androstane derivative, 3-HSA, which possesses an open, aromatic A-ring bearing a hydroxyl group.</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HsaA performs the necessary C4 hydroxylation to introduce a second hydroxyl group adjacent to the existing C3 hydroxyl group, creating the 3,4-catechol structure (3,4-dihydroxy-9,10-secoandrosta-1,3,5(10)-triene-9,17-dione).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catechol product is the required substrate for the downstream catechol dioxygenase (HsaC), which cleaves the aromatic ring, enabling the bacterium to continue metabolizing the steroid skeleton.</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isf2eo4a33y" w:id="9"/>
      <w:bookmarkEnd w:id="9"/>
      <w:r w:rsidDel="00000000" w:rsidR="00000000" w:rsidRPr="00000000">
        <w:rPr>
          <w:b w:val="1"/>
          <w:color w:val="1b1c1d"/>
          <w:sz w:val="26"/>
          <w:szCs w:val="26"/>
          <w:rtl w:val="0"/>
        </w:rPr>
        <w:t xml:space="preserve">B. Quantitative Kinetic Characterization of Mtb HsaAB</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Quantitative enzymatic studies performed on the purified HsaAB system from </w:t>
      </w:r>
      <w:r w:rsidDel="00000000" w:rsidR="00000000" w:rsidRPr="00000000">
        <w:rPr>
          <w:i w:val="1"/>
          <w:color w:val="1b1c1d"/>
          <w:rtl w:val="0"/>
        </w:rPr>
        <w:t xml:space="preserve">M. tuberculosis</w:t>
      </w:r>
      <w:r w:rsidDel="00000000" w:rsidR="00000000" w:rsidRPr="00000000">
        <w:rPr>
          <w:color w:val="1b1c1d"/>
          <w:rtl w:val="0"/>
        </w:rPr>
        <w:t xml:space="preserve"> reveal the enzyme's kinetic efficiency and substrate preference.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These measurements utilize the specificity number, $k_{cat}/K_m$, which accurately reflects the enzyme’s efficiency when substrate concentrations are low (physiological conditions).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kinetic data strongly confirm the high specificity of HsaA for its physiological substrate, 3-HSA.</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HsaA Enzymatic Parameters and Substrate Specificity (Mtb HsaAB System)</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285"/>
        <w:gridCol w:w="2565"/>
        <w:tblGridChange w:id="0">
          <w:tblGrid>
            <w:gridCol w:w="2880"/>
            <w:gridCol w:w="3285"/>
            <w:gridCol w:w="256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Substrate/Parameter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Value/Description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Functional Implication</w:t>
            </w:r>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Primary Substrate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3-hydroxy-9,10-secoandrosta-1,3,5(10)-triene-9,17-dione (3-HSA)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Intermediate of cholesterol and testosterone catabolism </w:t>
            </w:r>
            <w:r w:rsidDel="00000000" w:rsidR="00000000" w:rsidRPr="00000000">
              <w:rPr>
                <w:color w:val="444746"/>
                <w:sz w:val="40"/>
                <w:szCs w:val="40"/>
                <w:highlight w:val="white"/>
                <w:vertAlign w:val="superscript"/>
                <w:rtl w:val="0"/>
              </w:rPr>
              <w:t xml:space="preserve">1</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$k_{cat}/K_m$ (3-HSA)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$1000 \pm 100 \text{ M}^{-1} \text{ s}^{-1}$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Highest efficiency achieved with primary metabolite </w:t>
            </w:r>
            <w:r w:rsidDel="00000000" w:rsidR="00000000" w:rsidRPr="00000000">
              <w:rPr>
                <w:color w:val="444746"/>
                <w:sz w:val="40"/>
                <w:szCs w:val="40"/>
                <w:highlight w:val="white"/>
                <w:vertAlign w:val="superscript"/>
                <w:rtl w:val="0"/>
              </w:rPr>
              <w:t xml:space="preserve">3</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$k_{cat}/K_m$ (3,17-DHSA)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$700 \pm 100 \text{ M}^{-1} \text{ s}^{-1}$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Reduction of C17 ketone is tolerated </w:t>
            </w:r>
            <w:r w:rsidDel="00000000" w:rsidR="00000000" w:rsidRPr="00000000">
              <w:rPr>
                <w:color w:val="444746"/>
                <w:sz w:val="40"/>
                <w:szCs w:val="40"/>
                <w:highlight w:val="white"/>
                <w:vertAlign w:val="superscript"/>
                <w:rtl w:val="0"/>
              </w:rPr>
              <w:t xml:space="preserve">3</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$k_{cat}/K_m$ (3,9-DHSA)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$80 \pm 40 \text{ M}^{-1} \text{ s}^{-1}$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C9 ketone is critical for optimal activity and orientation </w:t>
            </w:r>
            <w:r w:rsidDel="00000000" w:rsidR="00000000" w:rsidRPr="00000000">
              <w:rPr>
                <w:color w:val="444746"/>
                <w:sz w:val="40"/>
                <w:szCs w:val="40"/>
                <w:highlight w:val="white"/>
                <w:vertAlign w:val="superscript"/>
                <w:rtl w:val="0"/>
              </w:rPr>
              <w:t xml:space="preserve">3</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$K_{m, app}$ for $\text{O}_2$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$100 \pm 10 \text{ \mu 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Efficient oxygen usage under physiological conditions </w:t>
            </w:r>
            <w:r w:rsidDel="00000000" w:rsidR="00000000" w:rsidRPr="00000000">
              <w:rPr>
                <w:color w:val="444746"/>
                <w:sz w:val="40"/>
                <w:szCs w:val="40"/>
                <w:highlight w:val="white"/>
                <w:vertAlign w:val="superscript"/>
                <w:rtl w:val="0"/>
              </w:rPr>
              <w:t xml:space="preserve">3</w:t>
            </w:r>
          </w:p>
        </w:tc>
      </w:tr>
    </w:tbl>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 exhibits the highest specificity for 3-HSA, with an apparent $k_{cat}/K_m$ of $1000 \pm 100 \text{ M}^{-1} \text{ s}^{-1}$.</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Structural-activity relationships are evident through the testing of related steroid metabolites. The enzyme demonstrates tolerance for the reduction of the C17 ketone (3,17-DHSA, $k_{cat}/K_m$ of $700 \pm 100 \text{ M}^{-1} \text{ s}^{-1}$), but exhibits significantly poor activity towards 3,9-dihydroxy-9,10-seconandrost-1,3,5(10)-triene-9-one (3,9-DHSA, $k_{cat}/K_m$ of $80 \pm 40 \text{ M}^{-1} \text{ s}^{-1}$).</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indicates a critical requirement for the C9 ketone group for proper substrate recognition and optimal turnover. The enzyme also shows efficient usage of the co-substrate oxygen, with an apparent $K_m$ for $\text{O}_2$ of $100 \pm 10 \text{ \mu M}$ in the presence of 3-HSA.</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46g4rez6x2" w:id="10"/>
      <w:bookmarkEnd w:id="10"/>
      <w:r w:rsidDel="00000000" w:rsidR="00000000" w:rsidRPr="00000000">
        <w:rPr>
          <w:b w:val="1"/>
          <w:color w:val="1b1c1d"/>
          <w:sz w:val="26"/>
          <w:szCs w:val="26"/>
          <w:rtl w:val="0"/>
        </w:rPr>
        <w:t xml:space="preserve">C. Structural Determinants of Catalytic Efficiency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measured $k_{cat}/K_m$ value for the primary substrate, 3-HSA, is relatively moderate ($\sim 10^3 \text{ M}^{-1} \text{ s}^{-1}$) when compared to enzymes that operate near the theoretical diffusion limit ($\sim 10^8 \text{ M}^{-1} \text{ s}^{-1}$).</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observation suggests that the catalytic turnover of HsaA is not solely limited by the chemical rate of hydroxylation but is significantly constrained by physical or conformational barriers inherent to its structural architecture.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HsaA mechanism requires several complex sequential steps: delivery of the large 3-HSA substrate, shuttling and binding of the reduced flavin cofactor, oxygen activation, hydroxylation, and, finally, product release.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enzyme’s necessity to accommodate the bulky seco-steroid structure requires an enlarged active site (H-subsite).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Furthermore, the enzyme utilizes a dynamic C-terminal flap that must undergo a conformational change to gate flavin access.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 is highly probable that the structural dynamics, particularly the rigid body rotation of the flap and the time required for proper maneuvering of the large substrate into the specialized H-subsite, introduce kinetic bottlenecks. These conformational requirements consume a substantial portion of the catalytic cycle, thereby limiting the maximum turnover rate observed for HsaA.</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architectural trade-off between accommodating a massive, complex substrate and achieving rapid turnover explains the enzyme's moderate efficiency.</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6of48uc9wrv" w:id="11"/>
      <w:bookmarkEnd w:id="11"/>
      <w:r w:rsidDel="00000000" w:rsidR="00000000" w:rsidRPr="00000000">
        <w:rPr>
          <w:b w:val="1"/>
          <w:color w:val="1b1c1d"/>
          <w:sz w:val="34"/>
          <w:szCs w:val="34"/>
          <w:rtl w:val="0"/>
        </w:rPr>
        <w:t xml:space="preserve">IV. Structural Biology and Active Site Architecture</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bu6b6uodh8c" w:id="12"/>
      <w:bookmarkEnd w:id="12"/>
      <w:r w:rsidDel="00000000" w:rsidR="00000000" w:rsidRPr="00000000">
        <w:rPr>
          <w:b w:val="1"/>
          <w:color w:val="1b1c1d"/>
          <w:sz w:val="26"/>
          <w:szCs w:val="26"/>
          <w:rtl w:val="0"/>
        </w:rPr>
        <w:t xml:space="preserve">A. Overall Fold and Structural Homology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structural analysis of HsaA, derived from crystal structures (e.g., PDB 3AFF, 2rfq), confirmed that the enzyme possesses the canonical fold of the Two-Component Flavin-Dependent Monooxygenase (TC-FDM) family.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Initial structure determination often relied on molecular replacement using the structure of substrate-free pHPAH as a template, highlighting the shared topological framework within this family.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active form of HsaA has been observed crystallographically to assemble as a homo-octamer ($A_8$), exhibiting dihedral $D_4$ global symmetry.</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6x6g5pxhzpp" w:id="13"/>
      <w:bookmarkEnd w:id="13"/>
      <w:r w:rsidDel="00000000" w:rsidR="00000000" w:rsidRPr="00000000">
        <w:rPr>
          <w:b w:val="1"/>
          <w:color w:val="1b1c1d"/>
          <w:sz w:val="26"/>
          <w:szCs w:val="26"/>
          <w:rtl w:val="0"/>
        </w:rPr>
        <w:t xml:space="preserve">B. Distinct Active Site Architecture: H-subsite vs. F-subsite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Structural superposition revealed that the HsaA active site is optimally adapted for the steroid metabolite, differentiating it from related TC-FDM structures.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binding pocket is organized into two adjacent subsites:</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F-subsite (Flavin-Binding Site):</w:t>
      </w:r>
      <w:r w:rsidDel="00000000" w:rsidR="00000000" w:rsidRPr="00000000">
        <w:rPr>
          <w:color w:val="1b1c1d"/>
          <w:rtl w:val="0"/>
        </w:rPr>
        <w:t xml:space="preserve"> This region binds the reduced flavin cofactor and is highly conserved among related monooxygenases. First-shell residues involved in coordinating the flavin, such as $\text{Trp}84$, $\text{Trp}141$, and $\text{Ser}143$, are conserved when compared to pHPAH.</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conservation is critical for ensuring correct flavin orientation and oxygen activation necessary for the hydroxylation reaction.</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H-subsite (Steroid-Binding Site):</w:t>
      </w:r>
      <w:r w:rsidDel="00000000" w:rsidR="00000000" w:rsidRPr="00000000">
        <w:rPr>
          <w:color w:val="1b1c1d"/>
          <w:rtl w:val="0"/>
        </w:rPr>
        <w:t xml:space="preserve"> This subsite binds the 3-HSA substrate (historically termed the phenol-binding pocket). The H-subsite in HsaA is significantly larger than the corresponding site in pHPAH.</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necessary enlargement accommodates the bulky, polycyclic structure of the seco-androstane derivative, providing the structural basis for HsaA's specific substrate acceptance within the steroid catabolism pathway.</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be5m0yso9wb" w:id="14"/>
      <w:bookmarkEnd w:id="14"/>
      <w:r w:rsidDel="00000000" w:rsidR="00000000" w:rsidRPr="00000000">
        <w:rPr>
          <w:b w:val="1"/>
          <w:color w:val="1b1c1d"/>
          <w:sz w:val="26"/>
          <w:szCs w:val="26"/>
          <w:rtl w:val="0"/>
        </w:rPr>
        <w:t xml:space="preserve">C. Dynamic Gating Mechanism: The C-Terminal Flap</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definitive and unique structural feature of HsaA is the C-terminal loop, or flap, encompassing residues $\text{Val}367-\text{Val}394$.</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Crystallographic analysis of a second crystal form of HsaA revealed that this flap is highly dynamic, capable of adopting two distinct conformations separated by a $25^\circ$ rigid body rotation around the hinge residue $\text{Arg}366$.</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rotation is not merely structural noise; it serves a crucial regulatory function, appearing to gate the entrance to the active site where the flavin is transferred.</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observed "closed conformation" is specifically linked to the enzyme’s ability to rationalize its high substrate specificity.</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structure suggests that substrate recognition and flavin delivery are kinetically and conformationally coupled. The presence of the large 3-HSA substrate, when correctly seated in the H-subsite, likely triggers or stabilizes the flap's closed conformation. This closing mechanism is vital for protecting the highly reactive reduced flavin from premature reaction with solvent oxygen, thereby ensuring that the oxygen activation and transfer steps occur only in the presence of a productive substrate. This structural sensor mechanism guarantees efficient utilization of the high-energy $\text{FMNH}_2$ cofactor and prevents wasteful auto-oxidation, making the coordinated dynamic movement of the C-terminal flap essential for the enzyme's catalytic fidelity.</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qhl5ay2ho23" w:id="15"/>
      <w:bookmarkEnd w:id="15"/>
      <w:r w:rsidDel="00000000" w:rsidR="00000000" w:rsidRPr="00000000">
        <w:rPr>
          <w:b w:val="1"/>
          <w:color w:val="1b1c1d"/>
          <w:sz w:val="34"/>
          <w:szCs w:val="34"/>
          <w:rtl w:val="0"/>
        </w:rPr>
        <w:t xml:space="preserve">V. Biological Function and Pathophysiological Role</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s0iyl7y3vfo" w:id="16"/>
      <w:bookmarkEnd w:id="16"/>
      <w:r w:rsidDel="00000000" w:rsidR="00000000" w:rsidRPr="00000000">
        <w:rPr>
          <w:b w:val="1"/>
          <w:color w:val="1b1c1d"/>
          <w:sz w:val="26"/>
          <w:szCs w:val="26"/>
          <w:rtl w:val="0"/>
        </w:rPr>
        <w:t xml:space="preserve">A. Phylogenetic Distribution and Genetic Context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HsaA and its orthologs (sometimes denoted TesA1 in the context of testosterone catabolism) are widespread in bacterial taxa known for steroid degradation, primarily Actinomycetes such as </w:t>
      </w:r>
      <w:r w:rsidDel="00000000" w:rsidR="00000000" w:rsidRPr="00000000">
        <w:rPr>
          <w:i w:val="1"/>
          <w:color w:val="1b1c1d"/>
          <w:rtl w:val="0"/>
        </w:rPr>
        <w:t xml:space="preserve">Rhodococcus jostii</w:t>
      </w:r>
      <w:r w:rsidDel="00000000" w:rsidR="00000000" w:rsidRPr="00000000">
        <w:rPr>
          <w:color w:val="1b1c1d"/>
          <w:rtl w:val="0"/>
        </w:rPr>
        <w:t xml:space="preserve"> RHA1 and </w:t>
      </w:r>
      <w:r w:rsidDel="00000000" w:rsidR="00000000" w:rsidRPr="00000000">
        <w:rPr>
          <w:i w:val="1"/>
          <w:color w:val="1b1c1d"/>
          <w:rtl w:val="0"/>
        </w:rPr>
        <w:t xml:space="preserve">M. tuberculosis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Phylogenetic investigation of key steroid degradation enzymes, including HsaA, reveals two major clades corresponding to Actinobacteria and Proteobacteria.</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Within Actinobacteria, subclades are further delineated based on the primary steroid substrate utilized (cholesterol or cholate).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phylogenetic congruency with $16\text{S rRNA}$ genes suggests co-evolution of the enzymes with their host organisms in Actinobacteria. In contrast, Proteobacterial proteins show phylogeny less congruent with $16\text{S rRNA}$ genes and include mixed subclades from both beta- and gammaproteobacteria.</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observed evolutionary divergence between Actinobacterial and Proteobacterial HsaA orthologs suggests that selective pressures related to the primary environmental sterol source have molded the enzyme's structure. Actinobacteria, particularly those residing in host environments like Mtb, rely critically on cholesterol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which necessitates the highly specific HsaA structure optimized for the large, bulky 3-HSA intermediate. The sequence divergence identified within the HsaA cluster is thus hypothesized to map onto subtle but critical structural variations in the H-subsite, allowing species to adaptively fine-tune substrate recognition to maximize the catabolism of their specific niche-relevant sterols, whether they are cholesterol, cholate, or testosterone derivatives.</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ji2ytujc78" w:id="17"/>
      <w:bookmarkEnd w:id="17"/>
      <w:r w:rsidDel="00000000" w:rsidR="00000000" w:rsidRPr="00000000">
        <w:rPr>
          <w:b w:val="1"/>
          <w:color w:val="1b1c1d"/>
          <w:sz w:val="26"/>
          <w:szCs w:val="26"/>
          <w:rtl w:val="0"/>
        </w:rPr>
        <w:t xml:space="preserve">B. HsaA in </w:t>
      </w:r>
      <w:r w:rsidDel="00000000" w:rsidR="00000000" w:rsidRPr="00000000">
        <w:rPr>
          <w:b w:val="1"/>
          <w:i w:val="1"/>
          <w:color w:val="1b1c1d"/>
          <w:sz w:val="26"/>
          <w:szCs w:val="26"/>
          <w:rtl w:val="0"/>
        </w:rPr>
        <w:t xml:space="preserve">Mycobacterium tuberculosis</w:t>
      </w:r>
      <w:r w:rsidDel="00000000" w:rsidR="00000000" w:rsidRPr="00000000">
        <w:rPr>
          <w:b w:val="1"/>
          <w:color w:val="1b1c1d"/>
          <w:sz w:val="26"/>
          <w:szCs w:val="26"/>
          <w:rtl w:val="0"/>
        </w:rPr>
        <w:t xml:space="preserve"> Pathogenesis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The role of HsaA is non-negotiable for the infectivity and persistence of </w:t>
      </w:r>
      <w:r w:rsidDel="00000000" w:rsidR="00000000" w:rsidRPr="00000000">
        <w:rPr>
          <w:i w:val="1"/>
          <w:color w:val="1b1c1d"/>
          <w:rtl w:val="0"/>
        </w:rPr>
        <w:t xml:space="preserve">M. tuberculosis</w:t>
      </w:r>
      <w:r w:rsidDel="00000000" w:rsidR="00000000" w:rsidRPr="00000000">
        <w:rPr>
          <w:color w:val="1b1c1d"/>
          <w:rtl w:val="0"/>
        </w:rPr>
        <w:t xml:space="preserve">. The microorganism utilizes host cholesterol as a primary carbon source, which is critical for supporting minimal growth and survival, especially during chronic infection within the macrophage.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Carbon Source and Virulence:</w:t>
      </w:r>
      <w:r w:rsidDel="00000000" w:rsidR="00000000" w:rsidRPr="00000000">
        <w:rPr>
          <w:color w:val="1b1c1d"/>
          <w:rtl w:val="0"/>
        </w:rPr>
        <w:t xml:space="preserve"> The breakdown of the steroid skeleton, initiated by systems like HsaAB, feeds carbon fragments, specifically propionyl-CoA (Pr-CoA), into the metabolic pool. Pr-CoA is subsequently incorporated into lipid virulence factors essential for Mtb's pathogenic mechanisms.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Survival Impact:</w:t>
      </w:r>
      <w:r w:rsidDel="00000000" w:rsidR="00000000" w:rsidRPr="00000000">
        <w:rPr>
          <w:color w:val="1b1c1d"/>
          <w:rtl w:val="0"/>
        </w:rPr>
        <w:t xml:space="preserve"> Genetic studies confirm the essentiality of HsaA, as deletion mutants (</w:t>
      </w:r>
      <w:r w:rsidDel="00000000" w:rsidR="00000000" w:rsidRPr="00000000">
        <w:rPr>
          <w:i w:val="1"/>
          <w:color w:val="1b1c1d"/>
          <w:rtl w:val="0"/>
        </w:rPr>
        <w:t xml:space="preserve">\Delta hsaA</w:t>
      </w:r>
      <w:r w:rsidDel="00000000" w:rsidR="00000000" w:rsidRPr="00000000">
        <w:rPr>
          <w:color w:val="1b1c1d"/>
          <w:rtl w:val="0"/>
        </w:rPr>
        <w:t xml:space="preserve">) show compromised survival rates within the macrophage environment.</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direct link between the C4 hydroxylation step and survival establishes HsaA as a linchpin in Mtb persistence.</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Inhibitor Validation:</w:t>
      </w:r>
      <w:r w:rsidDel="00000000" w:rsidR="00000000" w:rsidRPr="00000000">
        <w:rPr>
          <w:color w:val="1b1c1d"/>
          <w:rtl w:val="0"/>
        </w:rPr>
        <w:t xml:space="preserve"> Chemical inhibition of HsaA prevents Mtb from supporting even minimal growth when cholesterol is the sole carbon source </w:t>
      </w:r>
      <w:r w:rsidDel="00000000" w:rsidR="00000000" w:rsidRPr="00000000">
        <w:rPr>
          <w:i w:val="1"/>
          <w:color w:val="1b1c1d"/>
          <w:rtl w:val="0"/>
        </w:rPr>
        <w:t xml:space="preserve">in vitro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Furthermore, inhibitor treatment results in the accumulation of the upstream metabolite, 3-HSA, confirming that HsaA is the enzyme being successfully blocked.</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avsx4k1m35g" w:id="18"/>
      <w:bookmarkEnd w:id="18"/>
      <w:r w:rsidDel="00000000" w:rsidR="00000000" w:rsidRPr="00000000">
        <w:rPr>
          <w:b w:val="1"/>
          <w:color w:val="1b1c1d"/>
          <w:sz w:val="34"/>
          <w:szCs w:val="34"/>
          <w:rtl w:val="0"/>
        </w:rPr>
        <w:t xml:space="preserve">VI. HsaA as a Drug Target: Inhibition and Translational Applications</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f9lt03bwime" w:id="19"/>
      <w:bookmarkEnd w:id="19"/>
      <w:r w:rsidDel="00000000" w:rsidR="00000000" w:rsidRPr="00000000">
        <w:rPr>
          <w:b w:val="1"/>
          <w:color w:val="1b1c1d"/>
          <w:sz w:val="26"/>
          <w:szCs w:val="26"/>
          <w:rtl w:val="0"/>
        </w:rPr>
        <w:t xml:space="preserve">A. Rationale for Targeting HsaA in Anti-Mtb Therapy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dependency of </w:t>
      </w:r>
      <w:r w:rsidDel="00000000" w:rsidR="00000000" w:rsidRPr="00000000">
        <w:rPr>
          <w:i w:val="1"/>
          <w:color w:val="1b1c1d"/>
          <w:rtl w:val="0"/>
        </w:rPr>
        <w:t xml:space="preserve">M. tuberculosis</w:t>
      </w:r>
      <w:r w:rsidDel="00000000" w:rsidR="00000000" w:rsidRPr="00000000">
        <w:rPr>
          <w:color w:val="1b1c1d"/>
          <w:rtl w:val="0"/>
        </w:rPr>
        <w:t xml:space="preserve"> on cholesterol catabolism for long-term persistence, coupled with the clear functional bottleneck represented by HsaA, solidifies this enzyme's status as a high-priority target for drug development against tuberculosis.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strategic advantage of HsaA lies in its non-redundancy, in contrast to the potentially redundant reductase subunit HsaB.</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Inhibitors targeting HsaA directly disrupt the catabolic flux at a point of unique stereochemical complexity, leading to carbon starvation when the bacterium relies on host sterols.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mn39ydk082h" w:id="20"/>
      <w:bookmarkEnd w:id="20"/>
      <w:r w:rsidDel="00000000" w:rsidR="00000000" w:rsidRPr="00000000">
        <w:rPr>
          <w:b w:val="1"/>
          <w:color w:val="1b1c1d"/>
          <w:sz w:val="26"/>
          <w:szCs w:val="26"/>
          <w:rtl w:val="0"/>
        </w:rPr>
        <w:t xml:space="preserve">B. Development and Analysis of Small-Molecule Inhibitors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Drug discovery programs have focused efforts on identifying potent inhibitors of the HsaA oxygenase subunit. A notable compound, GSK2556286, has been identified as a novel inhibitor of the HsaA monooxygenase.</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 Vitro Efficacy:</w:t>
      </w:r>
      <w:r w:rsidDel="00000000" w:rsidR="00000000" w:rsidRPr="00000000">
        <w:rPr>
          <w:color w:val="1b1c1d"/>
          <w:rtl w:val="0"/>
        </w:rPr>
        <w:t xml:space="preserve"> Compounds that target the HsaAB system, including GSK2556286, have been shown to be bacteriostatic against Mtb in laboratory media where cholesterol is provided as the exclusive carbon source.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Metabolite Confirmation:</w:t>
      </w:r>
      <w:r w:rsidDel="00000000" w:rsidR="00000000" w:rsidRPr="00000000">
        <w:rPr>
          <w:color w:val="1b1c1d"/>
          <w:rtl w:val="0"/>
        </w:rPr>
        <w:t xml:space="preserve"> The therapeutic effect is validated by metabolite analysis, which demonstrates the accumulation of 3-HSA after treatment, indicating a successful upstream blockade of the steroid degradation pathway and confirming that the carbons released from the cholesterol side chain are degraded, while the sterol ring structure accumulates due to HsaA inhibition.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Ongoing research continues to explore new chemical scaffolds, such as thiadiazole derivatives, for their potential inhibitory activity against HsaA.</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m8tpwpkbg4j" w:id="21"/>
      <w:bookmarkEnd w:id="21"/>
      <w:r w:rsidDel="00000000" w:rsidR="00000000" w:rsidRPr="00000000">
        <w:rPr>
          <w:b w:val="1"/>
          <w:color w:val="1b1c1d"/>
          <w:sz w:val="26"/>
          <w:szCs w:val="26"/>
          <w:rtl w:val="0"/>
        </w:rPr>
        <w:t xml:space="preserve">C. Pharmacological Exploitation of Structural Dynamics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inhibitor design can capitalize on the unique and specialized structure of HsaA, particularly the dynamic features critical for catalysis.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dynamic C-terminal flap (Val367–Val394), which pivots around $\text{Arg}366$ to gate flavin access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represents a structural vulnerability that can be exploited pharmacologically. Designing an allosteric inhibitor that binds to a region proximal to the $\text{Arg}366$ hinge could lock the flap into an unfavorable, static conformation (either constitutively open or constitutively closed non-productively). This mechanism would effectively disrupt the tightly controlled sequence of flavin transfer and substrate orientation required for turnover.</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By focusing on allosteric inhibition that stabilizes a non-catalytic protein conformation, drug candidates could avoid direct competitive antagonism with the large, natural 3-HSA substrate or the ubiquitous flavin cofactors. This approach offers the potential for high-specificity drug candidates that minimize off-target effects against host enzymes and overcome the kinetic challenges inherent to competing for a voluminous active site.</w:t>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7nysxg0779p" w:id="22"/>
      <w:bookmarkEnd w:id="22"/>
      <w:r w:rsidDel="00000000" w:rsidR="00000000" w:rsidRPr="00000000">
        <w:rPr>
          <w:b w:val="1"/>
          <w:color w:val="1b1c1d"/>
          <w:sz w:val="34"/>
          <w:szCs w:val="34"/>
          <w:rtl w:val="0"/>
        </w:rPr>
        <w:t xml:space="preserve">VII. Conclusion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Flavin-dependent monooxygenase, oxygenase subunit HsaA (EC 1.14.14.12), and its highly conserved cluster of orthologs (IPR054617), are metabolically central to steroid degradation in critical bacterial species, particularly </w:t>
      </w:r>
      <w:r w:rsidDel="00000000" w:rsidR="00000000" w:rsidRPr="00000000">
        <w:rPr>
          <w:i w:val="1"/>
          <w:color w:val="1b1c1d"/>
          <w:rtl w:val="0"/>
        </w:rPr>
        <w:t xml:space="preserve">M. tuberculosis</w:t>
      </w:r>
      <w:r w:rsidDel="00000000" w:rsidR="00000000" w:rsidRPr="00000000">
        <w:rPr>
          <w:color w:val="1b1c1d"/>
          <w:rtl w:val="0"/>
        </w:rPr>
        <w:t xml:space="preserve">. Structural studies reveal a specialized TC-FDM architecture featuring an enlarged substrate-binding pocket tailored for the bulky 3-HSA intermediate, along with a critical, dynamic C-terminal flap that gates the entrance for the reduced flavin cofactor. Kinetic data confirm that HsaA's specific activity is intrinsically linked to the chemical nature of the seco-steroid's ketone groups and is likely limited by the physical constraints imposed by flavin shuttling and conformational gating.</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non-redundant and essential role of HsaA in Mtb virulence and survival within the host validates its suitability as a potent drug target, evidenced by the success of inhibitors like GSK2556286. Future therapeutic development should move beyond simple competitive inhibition, focusing instead on high-resolution structural analysis of the protein complex and the rational design of allosteric modulators that specifically disrupt the dynamic, rate-limiting movement of the C-terminal gating mechanism. Such targeted intervention offers a powerful strategy to halt the critical step in Mtb's carbon metabolism, providing a path toward novel anti-tubercular agents.</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