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line="275.9999942779541" w:lineRule="auto"/>
        <w:rPr/>
      </w:pPr>
      <w:r w:rsidDel="00000000" w:rsidR="00000000" w:rsidRPr="00000000">
        <w:rPr>
          <w:rtl w:val="0"/>
        </w:rPr>
      </w:r>
    </w:p>
    <w:p w:rsidR="00000000" w:rsidDel="00000000" w:rsidP="00000000" w:rsidRDefault="00000000" w:rsidRPr="00000000" w14:paraId="00000002">
      <w:pPr>
        <w:pStyle w:val="Heading1"/>
        <w:keepNext w:val="0"/>
        <w:keepLines w:val="0"/>
        <w:widowControl w:val="0"/>
        <w:spacing w:before="0" w:line="275.9999942779541" w:lineRule="auto"/>
        <w:rPr>
          <w:rFonts w:ascii="Google Sans" w:cs="Google Sans" w:eastAsia="Google Sans" w:hAnsi="Google Sans"/>
          <w:b w:val="1"/>
          <w:color w:val="1b1c1d"/>
          <w:sz w:val="48"/>
          <w:szCs w:val="48"/>
        </w:rPr>
      </w:pPr>
      <w:r w:rsidDel="00000000" w:rsidR="00000000" w:rsidRPr="00000000">
        <w:rPr>
          <w:rFonts w:ascii="Google Sans" w:cs="Google Sans" w:eastAsia="Google Sans" w:hAnsi="Google Sans"/>
          <w:b w:val="1"/>
          <w:color w:val="1b1c1d"/>
          <w:sz w:val="48"/>
          <w:szCs w:val="48"/>
          <w:rtl w:val="0"/>
        </w:rPr>
        <w:t xml:space="preserve">The RhCE Polypeptide Cluster (CD240CE): Reconciling Essential Erythrocyte Structure and Gas Transport with Novel Computational Annotations of Steroid Binding</w:t>
      </w:r>
    </w:p>
    <w:p w:rsidR="00000000" w:rsidDel="00000000" w:rsidP="00000000" w:rsidRDefault="00000000" w:rsidRPr="00000000" w14:paraId="00000003">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keepNext w:val="0"/>
        <w:keepLines w:val="0"/>
        <w:widowControl w:val="0"/>
        <w:spacing w:before="0" w:line="275.9999942779541" w:lineRule="auto"/>
        <w:rPr>
          <w:rFonts w:ascii="Google Sans" w:cs="Google Sans" w:eastAsia="Google Sans" w:hAnsi="Google Sans"/>
          <w:b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I. Executive Summary and The Dual Identity of Rhesus C/E Antigens</w:t>
      </w:r>
    </w:p>
    <w:p w:rsidR="00000000" w:rsidDel="00000000" w:rsidP="00000000" w:rsidRDefault="00000000" w:rsidRPr="00000000" w14:paraId="00000006">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Rhesus C/E polypeptide (RhCE), identified by UniProt entry  and various aliases including Rh polypeptide 1, RhPI, Rh30A, RhIXB, and  antigen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an integral component of the erythrocyte membrane. Historically, its significance has been defined by its role in clinical hematology as a key determinant of the Rh blood group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At the molecular level, RhCE performs a critical structural function by anchoring the membrane skeleton, and a crucial physiological function by facilitating transmembrane gas exchange.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RhCE is encoded by the </w:t>
      </w:r>
      <w:r w:rsidDel="00000000" w:rsidR="00000000" w:rsidRPr="00000000">
        <w:rPr>
          <w:rFonts w:ascii="Google Sans Text" w:cs="Google Sans Text" w:eastAsia="Google Sans Text" w:hAnsi="Google Sans Text"/>
          <w:i w:val="1"/>
          <w:color w:val="1b1c1d"/>
          <w:rtl w:val="0"/>
        </w:rPr>
        <w:t xml:space="preserve">RHCE</w:t>
      </w:r>
      <w:r w:rsidDel="00000000" w:rsidR="00000000" w:rsidRPr="00000000">
        <w:rPr>
          <w:rFonts w:ascii="Google Sans Text" w:cs="Google Sans Text" w:eastAsia="Google Sans Text" w:hAnsi="Google Sans Text"/>
          <w:color w:val="1b1c1d"/>
          <w:rtl w:val="0"/>
        </w:rPr>
        <w:t xml:space="preserve"> gene, a paralog of </w:t>
      </w:r>
      <w:r w:rsidDel="00000000" w:rsidR="00000000" w:rsidRPr="00000000">
        <w:rPr>
          <w:rFonts w:ascii="Google Sans Text" w:cs="Google Sans Text" w:eastAsia="Google Sans Text" w:hAnsi="Google Sans Text"/>
          <w:i w:val="1"/>
          <w:color w:val="1b1c1d"/>
          <w:rtl w:val="0"/>
        </w:rPr>
        <w:t xml:space="preserve">RHD</w:t>
      </w:r>
      <w:r w:rsidDel="00000000" w:rsidR="00000000" w:rsidRPr="00000000">
        <w:rPr>
          <w:rFonts w:ascii="Google Sans Text" w:cs="Google Sans Text" w:eastAsia="Google Sans Text" w:hAnsi="Google Sans Text"/>
          <w:color w:val="1b1c1d"/>
          <w:rtl w:val="0"/>
        </w:rPr>
        <w:t xml:space="preserve">, with both derived from an ancient duplication of the  gene.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Its established functions center on maintaining erythrocyte stability and shape, largely mediated by its association with the  () complex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and participating in the transport of carbon dioxide ().</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significant challenge arises from recent advances in computational biology. Analysis utilizing protein language model (PLM) embeddings—deep learning methods trained on billions of protein sequences—has clustered  within a functional group predominantly annotated as steroid-binding proteins.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This annotation suggests a highly specific biochemical function not observed through traditional functional assays. The primary objective of this report is to integrate these established mechanical and transport functions with the new computational prediction, critically assessing whether the PLM is detecting genuine regulatory steroid binding, or a conserved sequence motif related to structural lipid (sterol) interaction necessary for membrane stability.</w:t>
      </w:r>
    </w:p>
    <w:p w:rsidR="00000000" w:rsidDel="00000000" w:rsidP="00000000" w:rsidRDefault="00000000" w:rsidRPr="00000000" w14:paraId="0000000A">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I provides a structured overview of the confirmed and computationally annotated functions of the RhCE polypeptide, framing the scope of this investigation.</w:t>
      </w:r>
    </w:p>
    <w:p w:rsidR="00000000" w:rsidDel="00000000" w:rsidP="00000000" w:rsidRDefault="00000000" w:rsidRPr="00000000" w14:paraId="0000000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I: RhCE Polypeptide: Summary of Confirmed Physiological Roles and Computational Annotations</w:t>
      </w:r>
    </w:p>
    <w:p w:rsidR="00000000" w:rsidDel="00000000" w:rsidP="00000000" w:rsidRDefault="00000000" w:rsidRPr="00000000" w14:paraId="0000000C">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Functional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Molecular Role / Antigen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Mechanism /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Key Supporting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Classical Hematology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Rhesus C/E Blood Group Antigen (CD240CE)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Extracellular domains define blood type specificity and antigenicity.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Serological Identification, Immunoprecipitation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Erythrocyte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Membrane Skeleton Anchor ( Complex)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Cytoplasmic domains bind  () and  to tether spectrin. Essential for RBC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 binding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phenotype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Gas Transport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Carbon Dioxide Channel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Putative 12-TM helix structure facilitates  permeability.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Ancestral  function,  response in orthologues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Computational Prediction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Steroid-Binding Protein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Clustered by Protein Language Model (PLM) embeddings as functionally similar to known steroid binders.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Deep Learning/Sequence Clustering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r>
    </w:tbl>
    <w:p w:rsidR="00000000" w:rsidDel="00000000" w:rsidP="00000000" w:rsidRDefault="00000000" w:rsidRPr="00000000" w14:paraId="00000021">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2">
      <w:pPr>
        <w:pStyle w:val="Heading2"/>
        <w:keepNext w:val="0"/>
        <w:keepLines w:val="0"/>
        <w:widowControl w:val="0"/>
        <w:spacing w:before="0" w:line="275.9999942779541" w:lineRule="auto"/>
        <w:rPr>
          <w:rFonts w:ascii="Google Sans" w:cs="Google Sans" w:eastAsia="Google Sans" w:hAnsi="Google Sans"/>
          <w:b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II. Structural and Molecular Basis of Erythrocyte Stability</w:t>
      </w:r>
    </w:p>
    <w:p w:rsidR="00000000" w:rsidDel="00000000" w:rsidP="00000000" w:rsidRDefault="00000000" w:rsidRPr="00000000" w14:paraId="00000023">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established role of  is its participation in maintaining the integrity and shape of the erythrocyte membrane.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function is accomplished through its specific organization within a large, highly organized protein complex.</w:t>
      </w:r>
    </w:p>
    <w:p w:rsidR="00000000" w:rsidDel="00000000" w:rsidP="00000000" w:rsidRDefault="00000000" w:rsidRPr="00000000" w14:paraId="00000025">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6">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A. The Rh Heterotrimer and Complex Organization</w:t>
      </w:r>
    </w:p>
    <w:p w:rsidR="00000000" w:rsidDel="00000000" w:rsidP="00000000" w:rsidRDefault="00000000" w:rsidRPr="00000000" w14:paraId="00000027">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8">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RhCE is defined as a non-glycosylated protein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that constitutes the core of the  macrocomplex. This structure is typically organized as a heterotrimer, specifically designated as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Topological modeling suggests that , like other members of the  superfamily, possesses 12 transmembrane (TM) helices, with both the N- and C- termini residing in the cytoplasm.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structural model represents a refinement of earlier hypotheses regarding the quaternary structure of the Rh complex. Initially, some models proposed a tetrameric organization. However, detailed homology modeling, which utilizes the structure of the bacterial ammonia channel  as a template, combined with analysis of sequencing yield data, led to a critical reassessment that strongly supports the trimeric organization for the erythrocyte complex.</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overall structural architecture of the Rh complex is fundamental to its ability to stabilize the red cell.</w:t>
      </w:r>
    </w:p>
    <w:p w:rsidR="00000000" w:rsidDel="00000000" w:rsidP="00000000" w:rsidRDefault="00000000" w:rsidRPr="00000000" w14:paraId="0000002A">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B">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B. RhCE as the Primary Cytoskeletal Anchor</w:t>
      </w:r>
    </w:p>
    <w:p w:rsidR="00000000" w:rsidDel="00000000" w:rsidP="00000000" w:rsidRDefault="00000000" w:rsidRPr="00000000" w14:paraId="0000002C">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D">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RhCE serves a mechanical function as a critical component of the  () complex.</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Within this macrocomplex,  mediates the primary membrane attachment site for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 essential for tethering the underlying spectrin-based cytoskeleton to the plasma membrane, thereby dictating the size, structure, and characteristic biconcave shape of the erythrocyte.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E">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Structural analysis, particularly high-resolution studies of the  complex, confirms the precise molecular interface.  binds specifically to both the N- and C-termini of the  polypeptide.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This binding is achieved via the first five ankyrin repeats (AR1–5) of , which are strategically oriented parallel to the membrane surface.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Further biochemical studies, including yeast two-hybrid systems, have confirmed a direct interaction between the cytoplasmic tails of  and  and the second repeat domain (D2) of .</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2F">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critical and highly localized nature of this interaction is evident in disease states. Mutations that disrupt this interface lead to profound pathology. For instance, the substitution of  in the cytoplasmic tail of —which is analogous to a key site in —is sufficient to entirely impair interaction with the  domain of , resulting in a deficiency of the entire  complex.</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Disruption of the  complex directly compromises membrane-skeleton linkage, leading to the clinical presentation of stomato-spherocytosis, which is characteristic of  red cells.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0">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absolute necessity of the cytoplasmic tails for  tethering places significant evolutionary and structural constraints on these specific domains. Since the binding site is highly mutation-sensitive and essential for cellular survival, these regions must maintain a specific conformation to interact with . Consequently, it is structurally highly improbable that these cytoplasmic tails would also adopt the necessary geometry to act as highly specific, regulatory binding pockets for large, flexible signaling steroid hormones. The observation that this mechanical role is conserved between  and its functional paralog , despite their divergence in transport specialization, underscores the functional priority of cytoskeletal anchoring.</w:t>
      </w:r>
    </w:p>
    <w:p w:rsidR="00000000" w:rsidDel="00000000" w:rsidP="00000000" w:rsidRDefault="00000000" w:rsidRPr="00000000" w14:paraId="00000031">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II details the specific molecular interactions central to RhCE’s structural function.</w:t>
      </w:r>
    </w:p>
    <w:p w:rsidR="00000000" w:rsidDel="00000000" w:rsidP="00000000" w:rsidRDefault="00000000" w:rsidRPr="00000000" w14:paraId="00000032">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II: Erythrocyte Rh Complex: Key Interacting Partners and Binding Domains</w:t>
      </w:r>
    </w:p>
    <w:p w:rsidR="00000000" w:rsidDel="00000000" w:rsidP="00000000" w:rsidRDefault="00000000" w:rsidRPr="00000000" w14:paraId="00000033">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Partner Protein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RhCE Function Mediated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RhCE Interaction Domain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Partner Domain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Rh-Associated Glycoprotein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Heterotrimerization/Transport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Transmembrane helices (forms  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Transmembrane helices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Membrane Skeleton Tethering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Cytoplasmic N- and C-termini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 repeats AR1-5 (peptide binding groove) and AR6-10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rPr>
                <w:rFonts w:ascii="Google Sans Text" w:cs="Google Sans Text" w:eastAsia="Google Sans Text" w:hAnsi="Google Sans Text"/>
                <w:color w:val="444746"/>
                <w:sz w:val="24"/>
                <w:szCs w:val="24"/>
                <w:vertAlign w:val="superscrip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Complex Stabilization/Band 3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Indirectly via  interface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Binds  exterior surface (AR1-13) </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Membrane Lipids/Cholesterol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Membrane Positioning/Stability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Hydrophobic surfaces of TM domains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Lipid Bilayer Environment </w:t>
            </w:r>
            <w:r w:rsidDel="00000000" w:rsidR="00000000" w:rsidRPr="00000000">
              <w:rPr>
                <w:rFonts w:ascii="Google Sans Text" w:cs="Google Sans Text" w:eastAsia="Google Sans Text" w:hAnsi="Google Sans Text"/>
                <w:color w:val="444746"/>
                <w:sz w:val="24"/>
                <w:szCs w:val="24"/>
                <w:vertAlign w:val="superscript"/>
                <w:rtl w:val="0"/>
              </w:rPr>
              <w:t xml:space="preserve">13</w:t>
            </w:r>
          </w:p>
        </w:tc>
      </w:tr>
    </w:tbl>
    <w:p w:rsidR="00000000" w:rsidDel="00000000" w:rsidP="00000000" w:rsidRDefault="00000000" w:rsidRPr="00000000" w14:paraId="00000048">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9">
      <w:pPr>
        <w:pStyle w:val="Heading2"/>
        <w:keepNext w:val="0"/>
        <w:keepLines w:val="0"/>
        <w:widowControl w:val="0"/>
        <w:spacing w:before="0" w:line="275.9999942779541" w:lineRule="auto"/>
        <w:rPr>
          <w:rFonts w:ascii="Google Sans" w:cs="Google Sans" w:eastAsia="Google Sans" w:hAnsi="Google Sans"/>
          <w:b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III. RhCE as a Gas Channel: Comparative Molecular Physiology</w:t>
      </w:r>
    </w:p>
    <w:p w:rsidR="00000000" w:rsidDel="00000000" w:rsidP="00000000" w:rsidRDefault="00000000" w:rsidRPr="00000000" w14:paraId="0000004A">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addition to its structural role,  is a component of the  family, which belongs to the larger  (Ammonium) superfamily of transporters.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familial context dictates its overall 12-TM architecture but also highlights a critical functional specialization unique to the erythroid Rh proteins.</w:t>
      </w:r>
    </w:p>
    <w:p w:rsidR="00000000" w:rsidDel="00000000" w:rsidP="00000000" w:rsidRDefault="00000000" w:rsidRPr="00000000" w14:paraId="0000004C">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D">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A. The Rh/Amt Superfamily Context</w:t>
      </w:r>
    </w:p>
    <w:p w:rsidR="00000000" w:rsidDel="00000000" w:rsidP="00000000" w:rsidRDefault="00000000" w:rsidRPr="00000000" w14:paraId="0000004E">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Mammalian  proteins share significant structural homology with the prokaryotic ammonia channel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relationship establishes a fundamental 12-TM helix architecture as the shared molecular scaffold across the superfamily.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Within mammals, the  family includes the erythroid proteins , , and , as well as the non-erythroid paralogs  and , which are expressed in epithelia and function as specialized ammonia () transporters critical for processes like renal metabolism.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0">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1">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B. Functional Divergence: CO2 Transport in Erythroid Rh Proteins</w:t>
      </w:r>
    </w:p>
    <w:p w:rsidR="00000000" w:rsidDel="00000000" w:rsidP="00000000" w:rsidRDefault="00000000" w:rsidRPr="00000000" w14:paraId="00000052">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3">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Despite the shared ancestry,  and  exhibit notable functional divergence from the core  function. Studies indicate that  and  specifically do not transport ammonia.</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Comparative homology models suggest that if these proteins function as ammonia channels at all, they must employ a mechanism distinct from that of  or  due to a "different arrangement of residues" within the channel pore.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5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structural variation is interpreted as an evolutionary adaptation that subtly modified the transport pore, enabling a switch in substrate specificity. The evolutionary pressure on  was clearly not to optimize  transport, but rather to fine-tune the channel to exclude the protonated species () while accommodating small, less polar molecules. This specialization leads to the primary transport function observed in red blood cells.</w:t>
      </w:r>
    </w:p>
    <w:p w:rsidR="00000000" w:rsidDel="00000000" w:rsidP="00000000" w:rsidRDefault="00000000" w:rsidRPr="00000000" w14:paraId="00000055">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 and  are hypothesized to be implicated primarily in the transport of carbon dioxide () across the red cell membrane.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physiological significance of this function is high, as the  complex, in concert with aquaporin-1 (), accounts for approximately 50 percent of the normal  permeability of the erythrocyte membrane.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function is critical for maintaining rapid gas exchange, which in turn helps preserve the flexible, flattened shape of the red cell.</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5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role of  proteins as gas channels is supported by evolutionary studies; physiological work conducted on </w:t>
      </w:r>
      <w:r w:rsidDel="00000000" w:rsidR="00000000" w:rsidRPr="00000000">
        <w:rPr>
          <w:rFonts w:ascii="Google Sans Text" w:cs="Google Sans Text" w:eastAsia="Google Sans Text" w:hAnsi="Google Sans Text"/>
          <w:i w:val="1"/>
          <w:color w:val="1b1c1d"/>
          <w:rtl w:val="0"/>
        </w:rPr>
        <w:t xml:space="preserve">Chlamydomonas reinhardtii</w:t>
      </w:r>
      <w:r w:rsidDel="00000000" w:rsidR="00000000" w:rsidRPr="00000000">
        <w:rPr>
          <w:rFonts w:ascii="Google Sans Text" w:cs="Google Sans Text" w:eastAsia="Google Sans Text" w:hAnsi="Google Sans Text"/>
          <w:color w:val="1b1c1d"/>
          <w:rtl w:val="0"/>
        </w:rPr>
        <w:t xml:space="preserve">—one of the simplest organisms possessing  proteins—indicates that  transport is the ancestral function of this protein family.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Furthermore, functional data suggests that  and  are functionally redundant concerning  transport.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This functional redundancy in a vital process like gas exchange provides an essential layer of biological robustness. Given the similarity in their transport roles, the major functional distinction between  and  primarily resides in their extracellular antigenic domains, suggesting that immunological identity (antigenicity) may have been the dominant selective pressure distinguishing these two paralogous genes rather than divergence in basic transport mechanics.</w:t>
      </w:r>
    </w:p>
    <w:p w:rsidR="00000000" w:rsidDel="00000000" w:rsidP="00000000" w:rsidRDefault="00000000" w:rsidRPr="00000000" w14:paraId="00000057">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8">
      <w:pPr>
        <w:pStyle w:val="Heading2"/>
        <w:keepNext w:val="0"/>
        <w:keepLines w:val="0"/>
        <w:widowControl w:val="0"/>
        <w:spacing w:before="0" w:line="275.9999942779541" w:lineRule="auto"/>
        <w:rPr>
          <w:rFonts w:ascii="Google Sans" w:cs="Google Sans" w:eastAsia="Google Sans" w:hAnsi="Google Sans"/>
          <w:b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IV. Lipid Environment, Post-Translational Modifications, and Membrane Integration</w:t>
      </w:r>
    </w:p>
    <w:p w:rsidR="00000000" w:rsidDel="00000000" w:rsidP="00000000" w:rsidRDefault="00000000" w:rsidRPr="00000000" w14:paraId="00000059">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functional context of  as a 12-TM integral membrane protein necessitates a detailed consideration of its interaction with the surrounding lipid bilayer. This interaction is key to bridging its known structural roles with the computationally predicted function of steroid binding.</w:t>
      </w:r>
    </w:p>
    <w:p w:rsidR="00000000" w:rsidDel="00000000" w:rsidP="00000000" w:rsidRDefault="00000000" w:rsidRPr="00000000" w14:paraId="0000005B">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5C">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A. Interaction with the Lipid Bilayer</w:t>
      </w:r>
    </w:p>
    <w:p w:rsidR="00000000" w:rsidDel="00000000" w:rsidP="00000000" w:rsidRDefault="00000000" w:rsidRPr="00000000" w14:paraId="0000005D">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complex’s contribution to the structure and stability of the red blood cell membrane is significant.</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This stability is intrinsically linked to the surrounding lipid environment, particularly cholesterol. Cholesterol-protein interactions are acknowledged as essential for the architectural organization of cellular membranes.</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Within the erythrocyte, the overall accessibility of cholesterol is known to be significantly influenced by non-cholesterol lipids, such as various phospholipid classes.</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Therefore,  is not merely anchored to the cytoskeleton; it must maintain a stable, functional orientation within the highly complex, cholesterol-rich lipid environment of the plasma membrane.</w:t>
      </w:r>
    </w:p>
    <w:p w:rsidR="00000000" w:rsidDel="00000000" w:rsidP="00000000" w:rsidRDefault="00000000" w:rsidRPr="00000000" w14:paraId="0000005F">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0">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B. Palmitoylation as a Key Post-Translational Modification</w:t>
      </w:r>
    </w:p>
    <w:p w:rsidR="00000000" w:rsidDel="00000000" w:rsidP="00000000" w:rsidRDefault="00000000" w:rsidRPr="00000000" w14:paraId="00000061">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dynamic interaction of membrane proteins with the lipid bilayer is often modulated by post-translational modifications (PTMs). Palmitoylation, the reversible thioesterification of a cysteine residue with a 16-carbon fatty acid, significantly increases a protein's hydrophobicity.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This PTM is crucial for facilitating stronger membrane association and promoting the protein’s segregation into specific lipid domains, processes vital for maintaining structural stability.</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Palmitoylation often occurs at sites where amino acids like Cysteine (), Leucine (), Lysine (), Arginine (), Serine (), and Methionine () are abundant.</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3">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that  must serve as the firm, primary membrane attachment site for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it is structurally imperative that it resists lateral movement and extraction from the bilayer. Dynamic lipid modification, such as palmitoylation, represents a highly effective, reversible mechanism for reinforcing membrane insertion independent of the transmembrane helices. Although specific palmitoylation sites on  are not explicitly defined in current literature, the requirement for robust cytoskeletal tethering strongly suggests that conserved cysteine residues located in the membrane-proximal cytoplasmic domains are highly plausible targets for this modification, directly linking PTMs to enhanced membrane stability.</w:t>
      </w:r>
    </w:p>
    <w:p w:rsidR="00000000" w:rsidDel="00000000" w:rsidP="00000000" w:rsidRDefault="00000000" w:rsidRPr="00000000" w14:paraId="00000064">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clustering of  as a "steroid-binding protein" by PLMs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must be viewed through this context of lipid interaction. Since sterols (like cholesterol) are structurally analogous to signaling steroids, and highly hydrophobic proteins often possess specialized motifs to bind cholesterol for stabilization, it is hypothesized that the PLM detected a conserved sterol-recognition motif. Such a motif, located within the transmembrane bundle and contacting membrane cholesterol, might be generically identified by the computational model as a "steroid-binding" function, even if the primary physiological role of that binding is structural stabilization rather than regulatory signaling.</w:t>
      </w:r>
    </w:p>
    <w:p w:rsidR="00000000" w:rsidDel="00000000" w:rsidP="00000000" w:rsidRDefault="00000000" w:rsidRPr="00000000" w14:paraId="00000065">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6">
      <w:pPr>
        <w:pStyle w:val="Heading2"/>
        <w:keepNext w:val="0"/>
        <w:keepLines w:val="0"/>
        <w:widowControl w:val="0"/>
        <w:spacing w:before="0" w:line="275.9999942779541" w:lineRule="auto"/>
        <w:rPr>
          <w:rFonts w:ascii="Google Sans" w:cs="Google Sans" w:eastAsia="Google Sans" w:hAnsi="Google Sans"/>
          <w:b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V. Critical Analysis: The Computational Prediction of Steroid Binding</w:t>
      </w:r>
    </w:p>
    <w:p w:rsidR="00000000" w:rsidDel="00000000" w:rsidP="00000000" w:rsidRDefault="00000000" w:rsidRPr="00000000" w14:paraId="00000067">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8">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annotation of  as a steroid-binding protein challenges the classical definition of its function and requires a detailed deconstruction of how protein language models (PLMs) operate and what structural features might drive such a prediction.</w:t>
      </w:r>
    </w:p>
    <w:p w:rsidR="00000000" w:rsidDel="00000000" w:rsidP="00000000" w:rsidRDefault="00000000" w:rsidRPr="00000000" w14:paraId="00000069">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A">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A. The Mechanism of Protein Language Model Clustering</w:t>
      </w:r>
    </w:p>
    <w:p w:rsidR="00000000" w:rsidDel="00000000" w:rsidP="00000000" w:rsidRDefault="00000000" w:rsidRPr="00000000" w14:paraId="0000006B">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Protein language models (PLMs), exemplified by architectures such as  </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b1c1d"/>
          <w:rtl w:val="0"/>
        </w:rPr>
        <w:t xml:space="preserve">, represent a transformative force in structural bioinformatics.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These models, borrowing principles from natural language processing, analyze billions of amino acid sequences to generate high-dimensional embeddings. These embeddings effectively encode complex evolutionary, structural, and functional information.</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6D">
      <w:pPr>
        <w:widowControl w:val="0"/>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clustering of  within a steroid-binding protein group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signifies that its sequence embedding space is statistically closer to known steroid or sterol-interacting proteins than to typical channels or structural proteins.</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This suggests the presence of sequence patterns within  that are conserved across proteins involved in steroid/lipid management, even if these patterns are distal in the sequence or form complex tertiary structures only detectable by the PLM's attention networks.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predictive power of these models for structural features is high; for instance,  predictions often achieve  above 0.7, indicating shared backbone structure, and scores around 0.8 are deemed appropriate for applications such as ligand binding experiments.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E">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utility of the PLM here is its ability to detect structural motifs independent of prior functional annotation. The model likely registers that the </w:t>
      </w:r>
      <w:r w:rsidDel="00000000" w:rsidR="00000000" w:rsidRPr="00000000">
        <w:rPr>
          <w:rFonts w:ascii="Google Sans Text" w:cs="Google Sans Text" w:eastAsia="Google Sans Text" w:hAnsi="Google Sans Text"/>
          <w:b w:val="1"/>
          <w:color w:val="1b1c1d"/>
          <w:rtl w:val="0"/>
        </w:rPr>
        <w:t xml:space="preserve">method of membrane insertion or stabilization</w:t>
      </w:r>
      <w:r w:rsidDel="00000000" w:rsidR="00000000" w:rsidRPr="00000000">
        <w:rPr>
          <w:rFonts w:ascii="Google Sans Text" w:cs="Google Sans Text" w:eastAsia="Google Sans Text" w:hAnsi="Google Sans Text"/>
          <w:color w:val="1b1c1d"/>
          <w:rtl w:val="0"/>
        </w:rPr>
        <w:t xml:space="preserve">—which relies heavily on conserved hydrophobic residues contacting sterols—is the specific feature shared with other steroid-binding proteins, leading to the functional label. This implies the PLM is predicting a hidden, yet essential, structural requirement rather than a primary physiological function.</w:t>
      </w:r>
    </w:p>
    <w:p w:rsidR="00000000" w:rsidDel="00000000" w:rsidP="00000000" w:rsidRDefault="00000000" w:rsidRPr="00000000" w14:paraId="0000006F">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0">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B. Defining Established Steroid and Cholesterol Binding Sites</w:t>
      </w:r>
    </w:p>
    <w:p w:rsidR="00000000" w:rsidDel="00000000" w:rsidP="00000000" w:rsidRDefault="00000000" w:rsidRPr="00000000" w14:paraId="00000071">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rigorously evaluate the PLM prediction, the sequence features of  must be compared against established motifs for steroid recognition:</w:t>
      </w:r>
    </w:p>
    <w:p w:rsidR="00000000" w:rsidDel="00000000" w:rsidP="00000000" w:rsidRDefault="00000000" w:rsidRPr="00000000" w14:paraId="00000073">
      <w:pPr>
        <w:widowControl w:val="0"/>
        <w:numPr>
          <w:ilvl w:val="0"/>
          <w:numId w:val="3"/>
        </w:numP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Hydrophobic Interfaces:</w:t>
      </w:r>
      <w:r w:rsidDel="00000000" w:rsidR="00000000" w:rsidRPr="00000000">
        <w:rPr>
          <w:rFonts w:ascii="Google Sans Text" w:cs="Google Sans Text" w:eastAsia="Google Sans Text" w:hAnsi="Google Sans Text"/>
          <w:color w:val="1b1c1d"/>
          <w:rtl w:val="0"/>
        </w:rPr>
        <w:t xml:space="preserve"> Binding sites for both cholesterol and regulatory steroid hormones fundamentally involve extensive hydrophobic interaction. The steroid molecule is typically positioned between protein domains, interacting with non-polar residues such as  (),  (),  (), and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74">
      <w:pPr>
        <w:widowControl w:val="0"/>
        <w:numPr>
          <w:ilvl w:val="0"/>
          <w:numId w:val="3"/>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Consensus Sequences:</w:t>
      </w:r>
      <w:r w:rsidDel="00000000" w:rsidR="00000000" w:rsidRPr="00000000">
        <w:rPr>
          <w:rFonts w:ascii="Google Sans Text" w:cs="Google Sans Text" w:eastAsia="Google Sans Text" w:hAnsi="Google Sans Text"/>
          <w:color w:val="1b1c1d"/>
          <w:rtl w:val="0"/>
        </w:rPr>
        <w:t xml:space="preserve"> Specific short-sequence motifs define binding capacity in known protein families. For classical steroidogenic enzymes (, ) and hormone receptors, a sequence consensus has been proposed, characterized by conserved hydrophobic and charged residues, such as .</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75">
      <w:pPr>
        <w:widowControl w:val="0"/>
        <w:numPr>
          <w:ilvl w:val="0"/>
          <w:numId w:val="3"/>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Cholesterol-Specific Domains:</w:t>
      </w:r>
      <w:r w:rsidDel="00000000" w:rsidR="00000000" w:rsidRPr="00000000">
        <w:rPr>
          <w:rFonts w:ascii="Google Sans Text" w:cs="Google Sans Text" w:eastAsia="Google Sans Text" w:hAnsi="Google Sans Text"/>
          <w:color w:val="1b1c1d"/>
          <w:rtl w:val="0"/>
        </w:rPr>
        <w:t xml:space="preserve"> Membrane proteins often utilize Cholesterol-Recognition Amino Acid Consensus () domains, which exhibit high nanomolar affinity for cholesterol.</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For instance, the  protein uses such a domain in its -terminus to facilitate cholesterol translocation into the inner mitochondrial membrane.</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76">
      <w:pPr>
        <w:widowControl w:val="0"/>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7">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C. Evaluation of Biological Plausibility and Interpretation</w:t>
      </w:r>
    </w:p>
    <w:p w:rsidR="00000000" w:rsidDel="00000000" w:rsidP="00000000" w:rsidRDefault="00000000" w:rsidRPr="00000000" w14:paraId="00000078">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interpretation of the PLM prediction must be anchored in the biological context of the erythrocyte.  is a structural component of a terminally differentiated cell that is largely transcriptionally and metabolically inert. A role for  in binding and transducing signals from circulating glucocorticoids or other regulatory hormones (as seen in nuclear receptors or focal adhesion proteins like  </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is biologically improbable.</w:t>
      </w:r>
    </w:p>
    <w:p w:rsidR="00000000" w:rsidDel="00000000" w:rsidP="00000000" w:rsidRDefault="00000000" w:rsidRPr="00000000" w14:paraId="0000007A">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plausible interpretation is that the PLM cluster assignment reflects an unannotated, constitutive interaction with the major membrane sterol, cholesterol. Cholesterol binding would serve a purely structural role, necessary for stabilizing the packing of the 12  helices and ensuring the  protein is correctly positioned and stabilized within the lipid microenvironment, which is a prerequisite for its function as a cytoskeletal anchor. This hypothesis implies that the PLM detected conservation related to a structural lipid-recognition mechanism, which is evolutionarily related to, but physiologically distinct from, the regulatory binding mechanisms found in steroid receptors.</w:t>
      </w:r>
    </w:p>
    <w:p w:rsidR="00000000" w:rsidDel="00000000" w:rsidP="00000000" w:rsidRDefault="00000000" w:rsidRPr="00000000" w14:paraId="0000007B">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next critical research requirement is to map the sequence of  () against established sterol-recognition motifs. The location of such motifs—specifically within the  segments or at the lipid-exposed surface—would validate the PLM's predictive grouping, confirming the existence of a structural sterol-binding pocket. While  uses cholesterol binding for translocation </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the conservation detected by the PLM in  is likely limited to the use of a common hydrophobic interface, with the physiological output being structural rigidity rather than metabolic transport.</w:t>
      </w:r>
    </w:p>
    <w:p w:rsidR="00000000" w:rsidDel="00000000" w:rsidP="00000000" w:rsidRDefault="00000000" w:rsidRPr="00000000" w14:paraId="0000007C">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III summarizes the analytical framework for validating the computational annotation.</w:t>
      </w:r>
    </w:p>
    <w:p w:rsidR="00000000" w:rsidDel="00000000" w:rsidP="00000000" w:rsidRDefault="00000000" w:rsidRPr="00000000" w14:paraId="0000007D">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Table III: Analysis of the PLM Steroid-Binding Cluster: Interpretation and Validation Roadmap</w:t>
      </w:r>
    </w:p>
    <w:p w:rsidR="00000000" w:rsidDel="00000000" w:rsidP="00000000" w:rsidRDefault="00000000" w:rsidRPr="00000000" w14:paraId="0000007E">
      <w:pPr>
        <w:widowControl w:val="0"/>
        <w:spacing w:line="275.9999942779541" w:lineRule="auto"/>
        <w:rPr>
          <w:rFonts w:ascii="Google Sans Text" w:cs="Google Sans Text" w:eastAsia="Google Sans Text" w:hAnsi="Google Sans Text"/>
          <w:color w:val="1b1c1d"/>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Observation/Annotation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Hypothesized Interpretation in RhCE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widowControl w:val="0"/>
              <w:spacing w:after="120" w:before="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Empirical Validation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PLM Cluster Annotation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Steroid-Binding Protein Cluster </w:t>
            </w:r>
            <w:r w:rsidDel="00000000" w:rsidR="00000000" w:rsidRPr="00000000">
              <w:rPr>
                <w:rFonts w:ascii="Google Sans Text" w:cs="Google Sans Text" w:eastAsia="Google Sans Text" w:hAnsi="Google Sans Text"/>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Detection of conserved hydrophobic/sterol-recognition amino acid motifs.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High-resolution structure determination of RhCE with bound sterol/cholesterol.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Structural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Integral 12-TM Erythrocyte Protein </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Constitutive binding of cholesterol necessary for TM helix packing and overall trimer stability.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In vitro</w:t>
            </w:r>
            <w:r w:rsidDel="00000000" w:rsidR="00000000" w:rsidRPr="00000000">
              <w:rPr>
                <w:rFonts w:ascii="Google Sans Text" w:cs="Google Sans Text" w:eastAsia="Google Sans Text" w:hAnsi="Google Sans Text"/>
                <w:color w:val="1b1c1d"/>
                <w:rtl w:val="0"/>
              </w:rPr>
              <w:t xml:space="preserve"> binding assays measuring  affinity for cholesterol vs. signaling hormones.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Known Analogous Motif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 domain in  </w:t>
            </w:r>
            <w:r w:rsidDel="00000000" w:rsidR="00000000" w:rsidRPr="00000000">
              <w:rPr>
                <w:rFonts w:ascii="Google Sans Text" w:cs="Google Sans Text" w:eastAsia="Google Sans Text" w:hAnsi="Google Sans Text"/>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 may possess an unannotated  domain in its  segments that ensures proper immersion depth.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Site-directed mutagenesis of predicted  domain residues, followed by membrane stability tests.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Functional Constraint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widowControl w:val="0"/>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Essential Cytoskeletal Anchor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Sterol binding may be a prerequisite for conformational changes needed for high-affinity  interaction.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widowControl w:val="0"/>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Test  binding affinity in lipid environments depleted vs. enriched in specific sterols.</w:t>
            </w:r>
          </w:p>
        </w:tc>
      </w:tr>
    </w:tbl>
    <w:p w:rsidR="00000000" w:rsidDel="00000000" w:rsidP="00000000" w:rsidRDefault="00000000" w:rsidRPr="00000000" w14:paraId="00000093">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4">
      <w:pPr>
        <w:pStyle w:val="Heading2"/>
        <w:keepNext w:val="0"/>
        <w:keepLines w:val="0"/>
        <w:widowControl w:val="0"/>
        <w:spacing w:before="0" w:line="275.9999942779541" w:lineRule="auto"/>
        <w:rPr>
          <w:rFonts w:ascii="Google Sans" w:cs="Google Sans" w:eastAsia="Google Sans" w:hAnsi="Google Sans"/>
          <w:b w:val="1"/>
          <w:color w:val="1b1c1d"/>
          <w:sz w:val="36"/>
          <w:szCs w:val="36"/>
        </w:rPr>
      </w:pPr>
      <w:r w:rsidDel="00000000" w:rsidR="00000000" w:rsidRPr="00000000">
        <w:rPr>
          <w:rFonts w:ascii="Google Sans" w:cs="Google Sans" w:eastAsia="Google Sans" w:hAnsi="Google Sans"/>
          <w:b w:val="1"/>
          <w:color w:val="1b1c1d"/>
          <w:sz w:val="36"/>
          <w:szCs w:val="36"/>
          <w:rtl w:val="0"/>
        </w:rPr>
        <w:t xml:space="preserve">VI. Conclusion and Future Research Directions</w:t>
      </w:r>
    </w:p>
    <w:p w:rsidR="00000000" w:rsidDel="00000000" w:rsidP="00000000" w:rsidRDefault="00000000" w:rsidRPr="00000000" w14:paraId="00000095">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RhCE polypeptide occupies a critical, multifaceted role in erythrocyte physiology, serving as both a core cytoskeletal anchor and a specialized  gas channel. Its established functions are paramount to cellular stability, as evidenced by the severe clinical phenotype of  syndrome. The recent clustering of  within a steroid-binding protein group by protein language models provides a novel hypothesis regarding its molecular requirements for stability and membrane integration.</w:t>
      </w:r>
    </w:p>
    <w:p w:rsidR="00000000" w:rsidDel="00000000" w:rsidP="00000000" w:rsidRDefault="00000000" w:rsidRPr="00000000" w14:paraId="00000097">
      <w:pPr>
        <w:widowControl w:val="0"/>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strongly supports the conclusion that the computational prediction of "steroid binding" is not indicative of a regulatory hormonal function—which is implausible for a mature red blood cell protein—but rather reflects a hidden, essential </w:t>
      </w:r>
      <w:r w:rsidDel="00000000" w:rsidR="00000000" w:rsidRPr="00000000">
        <w:rPr>
          <w:rFonts w:ascii="Google Sans Text" w:cs="Google Sans Text" w:eastAsia="Google Sans Text" w:hAnsi="Google Sans Text"/>
          <w:b w:val="1"/>
          <w:color w:val="1b1c1d"/>
          <w:rtl w:val="0"/>
        </w:rPr>
        <w:t xml:space="preserve">structural requirement</w:t>
      </w:r>
      <w:r w:rsidDel="00000000" w:rsidR="00000000" w:rsidRPr="00000000">
        <w:rPr>
          <w:rFonts w:ascii="Google Sans Text" w:cs="Google Sans Text" w:eastAsia="Google Sans Text" w:hAnsi="Google Sans Text"/>
          <w:color w:val="1b1c1d"/>
          <w:rtl w:val="0"/>
        </w:rPr>
        <w:t xml:space="preserve"> for constitutive binding of membrane sterols (e.g., cholesterol). This interaction would be necessary to stabilize the transmembrane domains, ensure optimal membrane positioning, and potentially facilitate the necessary conformation for high-affinity binding to . The PLM has successfully revealed sequence features related to membrane integration that were previously undetectable using traditional functional screens.</w:t>
      </w:r>
    </w:p>
    <w:p w:rsidR="00000000" w:rsidDel="00000000" w:rsidP="00000000" w:rsidRDefault="00000000" w:rsidRPr="00000000" w14:paraId="00000098">
      <w:pPr>
        <w:widowControl w:val="0"/>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9">
      <w:pPr>
        <w:pStyle w:val="Heading3"/>
        <w:keepNext w:val="0"/>
        <w:keepLines w:val="0"/>
        <w:widowControl w:val="0"/>
        <w:spacing w:after="120" w:before="0" w:line="275.9999942779541" w:lineRule="auto"/>
        <w:rPr>
          <w:rFonts w:ascii="Google Sans" w:cs="Google Sans" w:eastAsia="Google Sans" w:hAnsi="Google Sans"/>
          <w:b w:val="1"/>
          <w:color w:val="1b1c1d"/>
        </w:rPr>
      </w:pPr>
      <w:r w:rsidDel="00000000" w:rsidR="00000000" w:rsidRPr="00000000">
        <w:rPr>
          <w:rFonts w:ascii="Google Sans" w:cs="Google Sans" w:eastAsia="Google Sans" w:hAnsi="Google Sans"/>
          <w:b w:val="1"/>
          <w:color w:val="1b1c1d"/>
          <w:rtl w:val="0"/>
        </w:rPr>
        <w:t xml:space="preserve">A. Detailed Roadmap for Empirical Validation</w:t>
      </w:r>
    </w:p>
    <w:p w:rsidR="00000000" w:rsidDel="00000000" w:rsidP="00000000" w:rsidRDefault="00000000" w:rsidRPr="00000000" w14:paraId="0000009A">
      <w:pPr>
        <w:widowControl w:val="0"/>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widowControl w:val="0"/>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bridge the gap between computational prediction and molecular confirmation, the following research priorities are recommended:</w:t>
      </w:r>
    </w:p>
    <w:p w:rsidR="00000000" w:rsidDel="00000000" w:rsidP="00000000" w:rsidRDefault="00000000" w:rsidRPr="00000000" w14:paraId="0000009C">
      <w:pPr>
        <w:widowControl w:val="0"/>
        <w:numPr>
          <w:ilvl w:val="0"/>
          <w:numId w:val="2"/>
        </w:numP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High-Resolution Structural Determination:</w:t>
      </w:r>
      <w:r w:rsidDel="00000000" w:rsidR="00000000" w:rsidRPr="00000000">
        <w:rPr>
          <w:rFonts w:ascii="Google Sans Text" w:cs="Google Sans Text" w:eastAsia="Google Sans Text" w:hAnsi="Google Sans Text"/>
          <w:color w:val="1b1c1d"/>
          <w:rtl w:val="0"/>
        </w:rPr>
        <w:t xml:space="preserve"> The most definitive validation requires structural biology. Advanced cryo-electron microscopy (cryo-EM)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studies of the  trimer, reconstituted in defined liposomes with varying cholesterol concentrations, must be performed. The visualization of sterol density specifically situated within or adjacent to the  transmembrane interface would empirically confirm the structural binding site predicted by the PLM.</w:t>
      </w:r>
    </w:p>
    <w:p w:rsidR="00000000" w:rsidDel="00000000" w:rsidP="00000000" w:rsidRDefault="00000000" w:rsidRPr="00000000" w14:paraId="0000009D">
      <w:pPr>
        <w:widowControl w:val="0"/>
        <w:numPr>
          <w:ilvl w:val="0"/>
          <w:numId w:val="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Biochemical Binding Kinetics:</w:t>
      </w:r>
      <w:r w:rsidDel="00000000" w:rsidR="00000000" w:rsidRPr="00000000">
        <w:rPr>
          <w:rFonts w:ascii="Google Sans Text" w:cs="Google Sans Text" w:eastAsia="Google Sans Text" w:hAnsi="Google Sans Text"/>
          <w:color w:val="1b1c1d"/>
          <w:rtl w:val="0"/>
        </w:rPr>
        <w:t xml:space="preserve"> Quantitative </w:t>
      </w:r>
      <w:r w:rsidDel="00000000" w:rsidR="00000000" w:rsidRPr="00000000">
        <w:rPr>
          <w:rFonts w:ascii="Google Sans Text" w:cs="Google Sans Text" w:eastAsia="Google Sans Text" w:hAnsi="Google Sans Text"/>
          <w:i w:val="1"/>
          <w:color w:val="1b1c1d"/>
          <w:rtl w:val="0"/>
        </w:rPr>
        <w:t xml:space="preserve">in vitro</w:t>
      </w:r>
      <w:r w:rsidDel="00000000" w:rsidR="00000000" w:rsidRPr="00000000">
        <w:rPr>
          <w:rFonts w:ascii="Google Sans Text" w:cs="Google Sans Text" w:eastAsia="Google Sans Text" w:hAnsi="Google Sans Text"/>
          <w:color w:val="1b1c1d"/>
          <w:rtl w:val="0"/>
        </w:rPr>
        <w:t xml:space="preserve"> assays are essential to determine the affinity and specificity of  for its ligands. Measurements should compare the binding kinetics of membrane cholesterol and related sterols (e.g., cholesterol sulfate) against representative signaling steroid hormones (e.g., cortisol). A high affinity in the nanomolar or micromolar range for cholesterol, coupled with negligible affinity for signaling steroids, would conclusively validate the structural binding hypothesis derived from the PLM clustering.</w:t>
      </w:r>
    </w:p>
    <w:p w:rsidR="00000000" w:rsidDel="00000000" w:rsidP="00000000" w:rsidRDefault="00000000" w:rsidRPr="00000000" w14:paraId="0000009E">
      <w:pPr>
        <w:widowControl w:val="0"/>
        <w:numPr>
          <w:ilvl w:val="0"/>
          <w:numId w:val="2"/>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Site-Directed Mutagenesis and Functional Analysis:</w:t>
      </w:r>
      <w:r w:rsidDel="00000000" w:rsidR="00000000" w:rsidRPr="00000000">
        <w:rPr>
          <w:rFonts w:ascii="Google Sans Text" w:cs="Google Sans Text" w:eastAsia="Google Sans Text" w:hAnsi="Google Sans Text"/>
          <w:color w:val="1b1c1d"/>
          <w:rtl w:val="0"/>
        </w:rPr>
        <w:t xml:space="preserve"> If structural modeling successfully identifies putative sterol-recognition motifs (such as  or -like hydrophobic sequences), focused site-directed mutagenesis (SDM) should be applied to these predicted residues. Subsequent functional testing must determine the impact of these mutations on: (a) the protein’s thermal stability and membrane insertion depth, and (b) the affinity of the cytoplasmic domains for  binding. Establishing a causal relationship between sterol interaction and cytoskeletal tethering would fully elucidate this structural role.</w:t>
      </w:r>
    </w:p>
    <w:p w:rsidR="00000000" w:rsidDel="00000000" w:rsidP="00000000" w:rsidRDefault="00000000" w:rsidRPr="00000000" w14:paraId="0000009F">
      <w:pPr>
        <w:widowControl w:val="0"/>
        <w:numPr>
          <w:ilvl w:val="0"/>
          <w:numId w:val="2"/>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Refinement of Protein Language Models:</w:t>
      </w:r>
      <w:r w:rsidDel="00000000" w:rsidR="00000000" w:rsidRPr="00000000">
        <w:rPr>
          <w:rFonts w:ascii="Google Sans Text" w:cs="Google Sans Text" w:eastAsia="Google Sans Text" w:hAnsi="Google Sans Text"/>
          <w:color w:val="1b1c1d"/>
          <w:rtl w:val="0"/>
        </w:rPr>
        <w:t xml:space="preserve"> Future research must utilize explainable AI techniques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to precisely identify the sequence features within  that contributed most significantly to the "steroid-binding" annotation. This feedback loop is crucial for refining PLM architectures, enabling them to better discriminate between sequences responsible for structural lipid maintenance and those governing regulatory hormone binding in future high-throughput functional predictions.</w:t>
      </w:r>
    </w:p>
    <w:p w:rsidR="00000000" w:rsidDel="00000000" w:rsidP="00000000" w:rsidRDefault="00000000" w:rsidRPr="00000000" w14:paraId="000000A0">
      <w:pPr>
        <w:pStyle w:val="Heading4"/>
        <w:keepNext w:val="0"/>
        <w:keepLines w:val="0"/>
        <w:widowControl w:val="0"/>
        <w:spacing w:after="255" w:before="255" w:line="240" w:lineRule="auto"/>
        <w:rPr>
          <w:rFonts w:ascii="Google Sans" w:cs="Google Sans" w:eastAsia="Google Sans" w:hAnsi="Google Sans"/>
          <w:b w:val="1"/>
          <w:color w:val="000000"/>
        </w:rPr>
      </w:pPr>
      <w:r w:rsidDel="00000000" w:rsidR="00000000" w:rsidRPr="00000000">
        <w:rPr>
          <w:rFonts w:ascii="Google Sans" w:cs="Google Sans" w:eastAsia="Google Sans" w:hAnsi="Google Sans"/>
          <w:b w:val="1"/>
          <w:color w:val="000000"/>
          <w:rtl w:val="0"/>
        </w:rPr>
        <w:t xml:space="preserve">Works cited</w:t>
      </w:r>
    </w:p>
    <w:p w:rsidR="00000000" w:rsidDel="00000000" w:rsidP="00000000" w:rsidRDefault="00000000" w:rsidRPr="00000000" w14:paraId="000000A1">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RHCE - Blood group Rh(CE) polypeptide - Homo sapiens (Human ...,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https://www.uniprot.org/uniprotkb/P18577/entry</w:t>
        </w:r>
      </w:hyperlink>
      <w:r w:rsidDel="00000000" w:rsidR="00000000" w:rsidRPr="00000000">
        <w:rPr>
          <w:rtl w:val="0"/>
        </w:rPr>
      </w:r>
    </w:p>
    <w:p w:rsidR="00000000" w:rsidDel="00000000" w:rsidP="00000000" w:rsidRDefault="00000000" w:rsidRPr="00000000" w14:paraId="000000A2">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SLC42 family of Rhesus glycoprotein ammonium transporters - C,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https://www.guidetopharmacology.org/GRAC/ObjectDisplayForward?objectId=1200</w:t>
        </w:r>
      </w:hyperlink>
      <w:r w:rsidDel="00000000" w:rsidR="00000000" w:rsidRPr="00000000">
        <w:rPr>
          <w:rtl w:val="0"/>
        </w:rPr>
      </w:r>
    </w:p>
    <w:p w:rsidR="00000000" w:rsidDel="00000000" w:rsidP="00000000" w:rsidRDefault="00000000" w:rsidRPr="00000000" w14:paraId="000000A3">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Elucidation of the molecular bases of the Rh system and its ...,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https://aob.amegroups.org/article/view/8450/html</w:t>
        </w:r>
      </w:hyperlink>
      <w:r w:rsidDel="00000000" w:rsidR="00000000" w:rsidRPr="00000000">
        <w:rPr>
          <w:rtl w:val="0"/>
        </w:rPr>
      </w:r>
    </w:p>
    <w:p w:rsidR="00000000" w:rsidDel="00000000" w:rsidP="00000000" w:rsidRDefault="00000000" w:rsidRPr="00000000" w14:paraId="000000A4">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Molecular physiology of the Rh ammonia transport proteins - PMC,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https://pmc.ncbi.nlm.nih.gov/articles/PMC3662795/</w:t>
        </w:r>
      </w:hyperlink>
      <w:r w:rsidDel="00000000" w:rsidR="00000000" w:rsidRPr="00000000">
        <w:rPr>
          <w:rtl w:val="0"/>
        </w:rPr>
      </w:r>
    </w:p>
    <w:p w:rsidR="00000000" w:rsidDel="00000000" w:rsidP="00000000" w:rsidRDefault="00000000" w:rsidRPr="00000000" w14:paraId="000000A5">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Biological gas channels for NH3 and CO2: evidence that Rh (Rhesus) proteins are CO2 channels - PubMed,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https://pubmed.ncbi.nlm.nih.gov/16563833/</w:t>
        </w:r>
      </w:hyperlink>
      <w:r w:rsidDel="00000000" w:rsidR="00000000" w:rsidRPr="00000000">
        <w:rPr>
          <w:rtl w:val="0"/>
        </w:rPr>
      </w:r>
    </w:p>
    <w:p w:rsidR="00000000" w:rsidDel="00000000" w:rsidP="00000000" w:rsidRDefault="00000000" w:rsidRPr="00000000" w14:paraId="000000A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Bilingual language model for protein sequence and structure - PubMed,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https://pubmed.ncbi.nlm.nih.gov/39633723/</w:t>
        </w:r>
      </w:hyperlink>
      <w:r w:rsidDel="00000000" w:rsidR="00000000" w:rsidRPr="00000000">
        <w:rPr>
          <w:rtl w:val="0"/>
        </w:rPr>
      </w:r>
    </w:p>
    <w:p w:rsidR="00000000" w:rsidDel="00000000" w:rsidP="00000000" w:rsidRDefault="00000000" w:rsidRPr="00000000" w14:paraId="000000A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(RhAG)2(RhCE) trimer a, The structure of the (RhAG)2(RhCE) trimer as viewed from the cytoplasm (right panel), and as viewed in the plane membrane (central and right panels). RhCE is colored in purple, RhAG1 in light blue and RhAG2 in dark blue. Two molecules of cholesterol (yellow) are bound to each RhAG. b, The 2.4 Å cryo-EM density map of the (RhAG)2(RhCE) complex. Densities corresponding to RhCE, RhAG1 and RhAG2 and cholesterol are colored as in a. c, Refined atomic B factors, averaged per residue. RhCE has higher B factors than RhAG, likely indicating more flexibility/mobility. d, Cryo-EM density map of the Band 3-III-GPA, (RhAG)2(RhCE) and GPB that mediates the interaction between the two. e, Close up of the interaction region between GPB and RhAG1. The side chain of M71 is located in a hydrophobic pocket in the surface of RhAG1, and the key residues that mediate the interactions are shown as sticks. - ResearchGate,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https://www.researchgate.net/figure/RhAG2RhCE-trimer-a-The-structure-of-the-RhAG2RhCE-trimer-as-viewed-from-the_fig5_362003941</w:t>
        </w:r>
      </w:hyperlink>
      <w:r w:rsidDel="00000000" w:rsidR="00000000" w:rsidRPr="00000000">
        <w:rPr>
          <w:rtl w:val="0"/>
        </w:rPr>
      </w:r>
    </w:p>
    <w:p w:rsidR="00000000" w:rsidDel="00000000" w:rsidP="00000000" w:rsidRDefault="00000000" w:rsidRPr="00000000" w14:paraId="000000A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Rh-RhAG/ankyrin-R, a new interaction site between the membrane bilayer and the red cell skeleton, is impaired by Rh(null)-associated mutation - PubMed,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https://pubmed.ncbi.nlm.nih.gov/12719424/</w:t>
        </w:r>
      </w:hyperlink>
      <w:r w:rsidDel="00000000" w:rsidR="00000000" w:rsidRPr="00000000">
        <w:rPr>
          <w:rtl w:val="0"/>
        </w:rPr>
      </w:r>
    </w:p>
    <w:p w:rsidR="00000000" w:rsidDel="00000000" w:rsidP="00000000" w:rsidRDefault="00000000" w:rsidRPr="00000000" w14:paraId="000000A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Structure and topology of Rh polypeptides. (A) Alignment of RhD with RhCE alleles - ResearchGate,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https://www.researchgate.net/figure/Structure-and-topology-of-Rh-polypeptides-A-Alignment-of-RhD-with-RhCE-alleles-ce_fig1_12525257</w:t>
        </w:r>
      </w:hyperlink>
      <w:r w:rsidDel="00000000" w:rsidR="00000000" w:rsidRPr="00000000">
        <w:rPr>
          <w:rtl w:val="0"/>
        </w:rPr>
      </w:r>
    </w:p>
    <w:p w:rsidR="00000000" w:rsidDel="00000000" w:rsidP="00000000" w:rsidRDefault="00000000" w:rsidRPr="00000000" w14:paraId="000000A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Researchers glimpse the inner workings of protein language models | MIT News,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https://news.mit.edu/2025/researchers-glimpse-inner-workings-protein-language-models-0818</w:t>
        </w:r>
      </w:hyperlink>
      <w:r w:rsidDel="00000000" w:rsidR="00000000" w:rsidRPr="00000000">
        <w:rPr>
          <w:rtl w:val="0"/>
        </w:rPr>
      </w:r>
    </w:p>
    <w:p w:rsidR="00000000" w:rsidDel="00000000" w:rsidP="00000000" w:rsidRDefault="00000000" w:rsidRPr="00000000" w14:paraId="000000AB">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Architecture of the human erythrocyte ankyrin-1 complex - PMC - PubMed Central,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https://pmc.ncbi.nlm.nih.gov/articles/PMC10373098/</w:t>
        </w:r>
      </w:hyperlink>
      <w:r w:rsidDel="00000000" w:rsidR="00000000" w:rsidRPr="00000000">
        <w:rPr>
          <w:rtl w:val="0"/>
        </w:rPr>
      </w:r>
    </w:p>
    <w:p w:rsidR="00000000" w:rsidDel="00000000" w:rsidP="00000000" w:rsidRDefault="00000000" w:rsidRPr="00000000" w14:paraId="000000AC">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Modelling the human rhesus proteins: implications for structure and function - PubMed,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https://pubmed.ncbi.nlm.nih.gov/16281947/</w:t>
        </w:r>
      </w:hyperlink>
      <w:r w:rsidDel="00000000" w:rsidR="00000000" w:rsidRPr="00000000">
        <w:rPr>
          <w:rtl w:val="0"/>
        </w:rPr>
      </w:r>
    </w:p>
    <w:p w:rsidR="00000000" w:rsidDel="00000000" w:rsidP="00000000" w:rsidRDefault="00000000" w:rsidRPr="00000000" w14:paraId="000000AD">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Red Blood Cells: Chasing Interactions - PMC,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https://pmc.ncbi.nlm.nih.gov/articles/PMC6684843/</w:t>
        </w:r>
      </w:hyperlink>
      <w:r w:rsidDel="00000000" w:rsidR="00000000" w:rsidRPr="00000000">
        <w:rPr>
          <w:rtl w:val="0"/>
        </w:rPr>
      </w:r>
    </w:p>
    <w:p w:rsidR="00000000" w:rsidDel="00000000" w:rsidP="00000000" w:rsidRDefault="00000000" w:rsidRPr="00000000" w14:paraId="000000AE">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Variability of cholesterol accessibility in human red blood cells measured using a bacterial cholesterol-binding toxin | eLife,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https://elifesciences.org/articles/23355</w:t>
        </w:r>
      </w:hyperlink>
      <w:r w:rsidDel="00000000" w:rsidR="00000000" w:rsidRPr="00000000">
        <w:rPr>
          <w:rtl w:val="0"/>
        </w:rPr>
      </w:r>
    </w:p>
    <w:p w:rsidR="00000000" w:rsidDel="00000000" w:rsidP="00000000" w:rsidRDefault="00000000" w:rsidRPr="00000000" w14:paraId="000000AF">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Common structural features of cholesterol binding sites in crystallized soluble proteins - PMC - PubMed Central,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https://pmc.ncbi.nlm.nih.gov/articles/PMC5454519/</w:t>
        </w:r>
      </w:hyperlink>
      <w:r w:rsidDel="00000000" w:rsidR="00000000" w:rsidRPr="00000000">
        <w:rPr>
          <w:rtl w:val="0"/>
        </w:rPr>
      </w:r>
    </w:p>
    <w:p w:rsidR="00000000" w:rsidDel="00000000" w:rsidP="00000000" w:rsidRDefault="00000000" w:rsidRPr="00000000" w14:paraId="000000B0">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Synthetic Fluorogenic Peptides Reveal Dynamic Substrate Specificity of Depalmitoylases - Stanford Medicine,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https://med.stanford.edu/content/dam/sm/bogyolab/documents/AmaraetalCellChemBio.pdf</w:t>
        </w:r>
      </w:hyperlink>
      <w:r w:rsidDel="00000000" w:rsidR="00000000" w:rsidRPr="00000000">
        <w:rPr>
          <w:rtl w:val="0"/>
        </w:rPr>
      </w:r>
    </w:p>
    <w:p w:rsidR="00000000" w:rsidDel="00000000" w:rsidP="00000000" w:rsidRDefault="00000000" w:rsidRPr="00000000" w14:paraId="000000B1">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Identifying Residues That Determine Palmitoylation Using Association Rule Mining,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https://pubmed.ncbi.nlm.nih.gov/30649192/</w:t>
        </w:r>
      </w:hyperlink>
      <w:r w:rsidDel="00000000" w:rsidR="00000000" w:rsidRPr="00000000">
        <w:rPr>
          <w:rtl w:val="0"/>
        </w:rPr>
      </w:r>
    </w:p>
    <w:p w:rsidR="00000000" w:rsidDel="00000000" w:rsidP="00000000" w:rsidRDefault="00000000" w:rsidRPr="00000000" w14:paraId="000000B2">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Protein–Peptide Docking with ESMFold Language Model | Request PDF - ResearchGate,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https://www.researchgate.net/publication/389654111_Protein-Peptide_Docking_with_ESMFold_Language_Model</w:t>
        </w:r>
      </w:hyperlink>
      <w:r w:rsidDel="00000000" w:rsidR="00000000" w:rsidRPr="00000000">
        <w:rPr>
          <w:rtl w:val="0"/>
        </w:rPr>
      </w:r>
    </w:p>
    <w:p w:rsidR="00000000" w:rsidDel="00000000" w:rsidP="00000000" w:rsidRDefault="00000000" w:rsidRPr="00000000" w14:paraId="000000B3">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Accelerate protein structure prediction with the ESMFold language model on Amazon SageMaker | Artificial Intelligence - AWS,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https://aws.amazon.com/blogs/machine-learning/accelerate-protein-structure-prediction-with-the-esmfold-language-model-on-amazon-sagemaker/</w:t>
        </w:r>
      </w:hyperlink>
      <w:r w:rsidDel="00000000" w:rsidR="00000000" w:rsidRPr="00000000">
        <w:rPr>
          <w:rtl w:val="0"/>
        </w:rPr>
      </w:r>
    </w:p>
    <w:p w:rsidR="00000000" w:rsidDel="00000000" w:rsidP="00000000" w:rsidRDefault="00000000" w:rsidRPr="00000000" w14:paraId="000000B4">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 Comprehensive Review of Protein Language Models - arXiv,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https://arxiv.org/html/2502.06881v1</w:t>
        </w:r>
      </w:hyperlink>
      <w:r w:rsidDel="00000000" w:rsidR="00000000" w:rsidRPr="00000000">
        <w:rPr>
          <w:rtl w:val="0"/>
        </w:rPr>
      </w:r>
    </w:p>
    <w:p w:rsidR="00000000" w:rsidDel="00000000" w:rsidP="00000000" w:rsidRDefault="00000000" w:rsidRPr="00000000" w14:paraId="000000B5">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Advances in the Application of Protein Language Modeling for Nucleic Acid Protein Binding Site Prediction - PubMed,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https://pubmed.ncbi.nlm.nih.gov/39202449/</w:t>
        </w:r>
      </w:hyperlink>
      <w:r w:rsidDel="00000000" w:rsidR="00000000" w:rsidRPr="00000000">
        <w:rPr>
          <w:rtl w:val="0"/>
        </w:rPr>
      </w:r>
    </w:p>
    <w:p w:rsidR="00000000" w:rsidDel="00000000" w:rsidP="00000000" w:rsidRDefault="00000000" w:rsidRPr="00000000" w14:paraId="000000B6">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Homologous sequences in steroidogenic enzymes, steroid receptors and a steroid binding protein suggest a consensus steroid-binding sequence - PubMed,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https://pubmed.ncbi.nlm.nih.gov/3265473/</w:t>
        </w:r>
      </w:hyperlink>
      <w:r w:rsidDel="00000000" w:rsidR="00000000" w:rsidRPr="00000000">
        <w:rPr>
          <w:rtl w:val="0"/>
        </w:rPr>
      </w:r>
    </w:p>
    <w:p w:rsidR="00000000" w:rsidDel="00000000" w:rsidP="00000000" w:rsidRDefault="00000000" w:rsidRPr="00000000" w14:paraId="000000B7">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Cholesterol transport in steroid biosynthesis: Role of protein-protein interactions and implications in disease states - PMC - PubMed Central,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https://pmc.ncbi.nlm.nih.gov/articles/PMC2757135/</w:t>
        </w:r>
      </w:hyperlink>
      <w:r w:rsidDel="00000000" w:rsidR="00000000" w:rsidRPr="00000000">
        <w:rPr>
          <w:rtl w:val="0"/>
        </w:rPr>
      </w:r>
    </w:p>
    <w:p w:rsidR="00000000" w:rsidDel="00000000" w:rsidP="00000000" w:rsidRDefault="00000000" w:rsidRPr="00000000" w14:paraId="000000B8">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Interaction of the ??2 Transcriptional Activation Domain of Glucocorticoid Receptor with a Novel Steroid Receptor Coactivator, Hic-5, Which Localizes to Both Focal Adhesions and the Nuclear Matrix | Request PDF - ResearchGate,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https://www.researchgate.net/publication/12469152_Interaction_of_the_2_Transcriptional_Activation_Domain_of_Glucocorticoid_Receptor_with_a_Novel_Steroid_Receptor_Coactivator_Hic-5_Which_Localizes_to_Both_Focal_Adhesions_and_the_Nuclear_Matrix</w:t>
        </w:r>
      </w:hyperlink>
      <w:r w:rsidDel="00000000" w:rsidR="00000000" w:rsidRPr="00000000">
        <w:rPr>
          <w:rtl w:val="0"/>
        </w:rPr>
      </w:r>
    </w:p>
    <w:p w:rsidR="00000000" w:rsidDel="00000000" w:rsidP="00000000" w:rsidRDefault="00000000" w:rsidRPr="00000000" w14:paraId="000000B9">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Cryo-EM reveals the steric zipper structure of a light chain-derived amyloid fibril - The Grigorieff Lab,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https://grigoriefflab.umassmed.edu/sites/default/files/2019-01/Schmidt_PNAS2016.pdf</w:t>
        </w:r>
      </w:hyperlink>
      <w:r w:rsidDel="00000000" w:rsidR="00000000" w:rsidRPr="00000000">
        <w:rPr>
          <w:rtl w:val="0"/>
        </w:rPr>
      </w:r>
    </w:p>
    <w:p w:rsidR="00000000" w:rsidDel="00000000" w:rsidP="00000000" w:rsidRDefault="00000000" w:rsidRPr="00000000" w14:paraId="000000BA">
      <w:pPr>
        <w:widowControl w:val="0"/>
        <w:numPr>
          <w:ilvl w:val="0"/>
          <w:numId w:val="1"/>
        </w:numPr>
        <w:spacing w:line="240" w:lineRule="auto"/>
        <w:ind w:left="600" w:hanging="360"/>
      </w:pPr>
      <w:r w:rsidDel="00000000" w:rsidR="00000000" w:rsidRPr="00000000">
        <w:rPr>
          <w:rFonts w:ascii="Google Sans" w:cs="Google Sans" w:eastAsia="Google Sans" w:hAnsi="Google Sans"/>
          <w:sz w:val="24"/>
          <w:szCs w:val="24"/>
          <w:rtl w:val="0"/>
        </w:rPr>
        <w:t xml:space="preserve">Introduction to Cryo EM | Cryo EM Workflows | Thermo Fisher Scientific - US,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https://www.thermofisher.com/us/en/home/electron-microscopy/life-sciences/getting-started-in-cryo-em.html</w:t>
        </w:r>
      </w:hyperlink>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5454519/" TargetMode="External"/><Relationship Id="rId22" Type="http://schemas.openxmlformats.org/officeDocument/2006/relationships/hyperlink" Target="https://pubmed.ncbi.nlm.nih.gov/30649192/" TargetMode="External"/><Relationship Id="rId21" Type="http://schemas.openxmlformats.org/officeDocument/2006/relationships/hyperlink" Target="https://med.stanford.edu/content/dam/sm/bogyolab/documents/AmaraetalCellChemBio.pdf" TargetMode="External"/><Relationship Id="rId24" Type="http://schemas.openxmlformats.org/officeDocument/2006/relationships/hyperlink" Target="https://aws.amazon.com/blogs/machine-learning/accelerate-protein-structure-prediction-with-the-esmfold-language-model-on-amazon-sagemaker/" TargetMode="External"/><Relationship Id="rId23" Type="http://schemas.openxmlformats.org/officeDocument/2006/relationships/hyperlink" Target="https://www.researchgate.net/publication/389654111_Protein-Peptide_Docking_with_ESMFold_Language_Mod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3662795/" TargetMode="External"/><Relationship Id="rId26" Type="http://schemas.openxmlformats.org/officeDocument/2006/relationships/hyperlink" Target="https://pubmed.ncbi.nlm.nih.gov/39202449/" TargetMode="External"/><Relationship Id="rId25" Type="http://schemas.openxmlformats.org/officeDocument/2006/relationships/hyperlink" Target="https://arxiv.org/html/2502.06881v1" TargetMode="External"/><Relationship Id="rId28" Type="http://schemas.openxmlformats.org/officeDocument/2006/relationships/hyperlink" Target="https://pmc.ncbi.nlm.nih.gov/articles/PMC2757135/" TargetMode="External"/><Relationship Id="rId27" Type="http://schemas.openxmlformats.org/officeDocument/2006/relationships/hyperlink" Target="https://pubmed.ncbi.nlm.nih.gov/3265473/" TargetMode="External"/><Relationship Id="rId5" Type="http://schemas.openxmlformats.org/officeDocument/2006/relationships/styles" Target="styles.xml"/><Relationship Id="rId6" Type="http://schemas.openxmlformats.org/officeDocument/2006/relationships/hyperlink" Target="https://www.uniprot.org/uniprotkb/P18577/entry" TargetMode="External"/><Relationship Id="rId29" Type="http://schemas.openxmlformats.org/officeDocument/2006/relationships/hyperlink" Target="https://www.researchgate.net/publication/12469152_Interaction_of_the_2_Transcriptional_Activation_Domain_of_Glucocorticoid_Receptor_with_a_Novel_Steroid_Receptor_Coactivator_Hic-5_Which_Localizes_to_Both_Focal_Adhesions_and_the_Nuclear_Matrix" TargetMode="External"/><Relationship Id="rId7" Type="http://schemas.openxmlformats.org/officeDocument/2006/relationships/hyperlink" Target="https://www.guidetopharmacology.org/GRAC/ObjectDisplayForward?objectId=1200" TargetMode="External"/><Relationship Id="rId8" Type="http://schemas.openxmlformats.org/officeDocument/2006/relationships/hyperlink" Target="https://aob.amegroups.org/article/view/8450/html" TargetMode="External"/><Relationship Id="rId31" Type="http://schemas.openxmlformats.org/officeDocument/2006/relationships/hyperlink" Target="https://www.thermofisher.com/us/en/home/electron-microscopy/life-sciences/getting-started-in-cryo-em.html" TargetMode="External"/><Relationship Id="rId30" Type="http://schemas.openxmlformats.org/officeDocument/2006/relationships/hyperlink" Target="https://grigoriefflab.umassmed.edu/sites/default/files/2019-01/Schmidt_PNAS2016.pdf" TargetMode="External"/><Relationship Id="rId11" Type="http://schemas.openxmlformats.org/officeDocument/2006/relationships/hyperlink" Target="https://pubmed.ncbi.nlm.nih.gov/39633723/" TargetMode="External"/><Relationship Id="rId10" Type="http://schemas.openxmlformats.org/officeDocument/2006/relationships/hyperlink" Target="https://pubmed.ncbi.nlm.nih.gov/16563833/" TargetMode="External"/><Relationship Id="rId13" Type="http://schemas.openxmlformats.org/officeDocument/2006/relationships/hyperlink" Target="https://pubmed.ncbi.nlm.nih.gov/12719424/" TargetMode="External"/><Relationship Id="rId12" Type="http://schemas.openxmlformats.org/officeDocument/2006/relationships/hyperlink" Target="https://www.researchgate.net/figure/RhAG2RhCE-trimer-a-The-structure-of-the-RhAG2RhCE-trimer-as-viewed-from-the_fig5_362003941" TargetMode="External"/><Relationship Id="rId15" Type="http://schemas.openxmlformats.org/officeDocument/2006/relationships/hyperlink" Target="https://news.mit.edu/2025/researchers-glimpse-inner-workings-protein-language-models-0818" TargetMode="External"/><Relationship Id="rId14" Type="http://schemas.openxmlformats.org/officeDocument/2006/relationships/hyperlink" Target="https://www.researchgate.net/figure/Structure-and-topology-of-Rh-polypeptides-A-Alignment-of-RhD-with-RhCE-alleles-ce_fig1_12525257" TargetMode="External"/><Relationship Id="rId17" Type="http://schemas.openxmlformats.org/officeDocument/2006/relationships/hyperlink" Target="https://pubmed.ncbi.nlm.nih.gov/16281947/" TargetMode="External"/><Relationship Id="rId16" Type="http://schemas.openxmlformats.org/officeDocument/2006/relationships/hyperlink" Target="https://pmc.ncbi.nlm.nih.gov/articles/PMC10373098/" TargetMode="External"/><Relationship Id="rId19" Type="http://schemas.openxmlformats.org/officeDocument/2006/relationships/hyperlink" Target="https://elifesciences.org/articles/23355" TargetMode="External"/><Relationship Id="rId18" Type="http://schemas.openxmlformats.org/officeDocument/2006/relationships/hyperlink" Target="https://pmc.ncbi.nlm.nih.gov/articles/PMC66848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