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68EAF">
      <w:pPr>
        <w:pStyle w:val="3"/>
        <w:jc w:val="center"/>
      </w:pPr>
      <w:bookmarkStart w:id="0" w:name="_GoBack"/>
      <w:r>
        <w:rPr>
          <w:rStyle w:val="24"/>
          <w:rFonts w:hint="eastAsia"/>
          <w:sz w:val="40"/>
          <w:szCs w:val="22"/>
        </w:rPr>
        <w:t>湖南省律师和律师事务所避免利益冲突规定</w:t>
      </w:r>
      <w:bookmarkEnd w:id="0"/>
    </w:p>
    <w:p w14:paraId="04D6B0D5">
      <w:pPr>
        <w:pStyle w:val="3"/>
      </w:pPr>
      <w:r>
        <w:rPr>
          <w:rFonts w:hint="eastAsia"/>
        </w:rPr>
        <w:t>（2012年7月25日</w:t>
      </w:r>
      <w:r>
        <w:t xml:space="preserve"> </w:t>
      </w:r>
      <w:r>
        <w:rPr>
          <w:rFonts w:hint="eastAsia"/>
        </w:rPr>
        <w:t>湘司发〔2012〕67号）</w:t>
      </w:r>
    </w:p>
    <w:p w14:paraId="6EEE7C90">
      <w:pPr>
        <w:pStyle w:val="3"/>
      </w:pPr>
      <w:r>
        <w:rPr>
          <w:rFonts w:hint="eastAsia"/>
        </w:rPr>
        <w:t>第一条</w:t>
      </w:r>
      <w:r>
        <w:t xml:space="preserve"> </w:t>
      </w:r>
      <w:r>
        <w:rPr>
          <w:rFonts w:hint="eastAsia"/>
        </w:rPr>
        <w:t>为了规范律师和律师事务所的执业活动,维护当事人的利益,</w:t>
      </w:r>
      <w:r>
        <w:t xml:space="preserve"> </w:t>
      </w:r>
      <w:r>
        <w:rPr>
          <w:rFonts w:hint="eastAsia"/>
        </w:rPr>
        <w:t>推进律师诚信建设，提升律师行业的公信力，根据《中华人民共和国律师法》等有关规定，结合我省实际，制定本规定。</w:t>
      </w:r>
    </w:p>
    <w:p w14:paraId="28FC3B85">
      <w:pPr>
        <w:pStyle w:val="3"/>
      </w:pPr>
      <w:r>
        <w:rPr>
          <w:rFonts w:hint="eastAsia"/>
        </w:rPr>
        <w:t>第二条</w:t>
      </w:r>
      <w:r>
        <w:t xml:space="preserve"> </w:t>
      </w:r>
      <w:r>
        <w:rPr>
          <w:rFonts w:hint="eastAsia"/>
        </w:rPr>
        <w:t>本规定适用于在湖南省依法设立的律师事务所和获准执业的律师。</w:t>
      </w:r>
    </w:p>
    <w:p w14:paraId="6129231B">
      <w:pPr>
        <w:pStyle w:val="3"/>
      </w:pPr>
      <w:r>
        <w:rPr>
          <w:rFonts w:hint="eastAsia"/>
        </w:rPr>
        <w:t>第三条</w:t>
      </w:r>
      <w:r>
        <w:t xml:space="preserve"> </w:t>
      </w:r>
      <w:r>
        <w:rPr>
          <w:rFonts w:hint="eastAsia"/>
        </w:rPr>
        <w:t>本规定所称法律事务，是指当事人委托代理或者办理的各类法律事项，包括刑事辩护、诉讼代理、非诉讼代理、常年或者专项法律顾问以及我国法律没有禁止的可以由律师、律师事务所代理的其他法律业务。</w:t>
      </w:r>
    </w:p>
    <w:p w14:paraId="225CB286">
      <w:pPr>
        <w:pStyle w:val="3"/>
      </w:pPr>
      <w:r>
        <w:rPr>
          <w:rFonts w:hint="eastAsia"/>
        </w:rPr>
        <w:t>第四条</w:t>
      </w:r>
      <w:r>
        <w:t xml:space="preserve"> </w:t>
      </w:r>
      <w:r>
        <w:rPr>
          <w:rFonts w:hint="eastAsia"/>
        </w:rPr>
        <w:t>本规定所称利益冲突，是指同一律师事务所拟受理或者已代理的委托事项的委托人与该所其他委托事项的委托人之间有利益上的冲突，代理或者继续代理会直接影响到相关委托人利益的情形，以及本规定规定的直接影响相关委托人利益的情形。</w:t>
      </w:r>
    </w:p>
    <w:p w14:paraId="6EF2130F">
      <w:pPr>
        <w:pStyle w:val="3"/>
      </w:pPr>
      <w:r>
        <w:rPr>
          <w:rFonts w:hint="eastAsia"/>
        </w:rPr>
        <w:t>第五条</w:t>
      </w:r>
      <w:r>
        <w:t xml:space="preserve"> </w:t>
      </w:r>
      <w:r>
        <w:rPr>
          <w:rFonts w:hint="eastAsia"/>
        </w:rPr>
        <w:t>律师、律师事务所在承办法律事务过程中，应当恪守职业道德和执业纪律，避免因利益冲突给委托人造成损害。</w:t>
      </w:r>
    </w:p>
    <w:p w14:paraId="25879EBD">
      <w:pPr>
        <w:pStyle w:val="3"/>
      </w:pPr>
      <w:r>
        <w:rPr>
          <w:rFonts w:hint="eastAsia"/>
        </w:rPr>
        <w:t>第六条</w:t>
      </w:r>
      <w:r>
        <w:t xml:space="preserve"> </w:t>
      </w:r>
      <w:r>
        <w:rPr>
          <w:rFonts w:hint="eastAsia"/>
        </w:rPr>
        <w:t>律师事务所应当建立利益冲突审查制度。律师事务所在接受委托之前，应当进行利益冲突审查并作出是否接受委托的决定。</w:t>
      </w:r>
    </w:p>
    <w:p w14:paraId="4D78E753">
      <w:pPr>
        <w:pStyle w:val="3"/>
      </w:pPr>
      <w:r>
        <w:rPr>
          <w:rFonts w:hint="eastAsia"/>
        </w:rPr>
        <w:t>第七条</w:t>
      </w:r>
      <w:r>
        <w:t xml:space="preserve"> </w:t>
      </w:r>
      <w:r>
        <w:rPr>
          <w:rFonts w:hint="eastAsia"/>
        </w:rPr>
        <w:t>办理委托法律事务的律师与委托人之间存在利益冲突的，不得承办该法律事务并应当主动提出回避。</w:t>
      </w:r>
    </w:p>
    <w:p w14:paraId="5C702DA7">
      <w:pPr>
        <w:pStyle w:val="3"/>
      </w:pPr>
      <w:r>
        <w:rPr>
          <w:rFonts w:hint="eastAsia"/>
        </w:rPr>
        <w:t>第八条</w:t>
      </w:r>
      <w:r>
        <w:t xml:space="preserve"> </w:t>
      </w:r>
      <w:r>
        <w:rPr>
          <w:rFonts w:hint="eastAsia"/>
        </w:rPr>
        <w:t>有下列情形之一的，律师、律师事务所不得与当事人建立或者维持委托关系：</w:t>
      </w:r>
    </w:p>
    <w:p w14:paraId="64D8AD25">
      <w:pPr>
        <w:pStyle w:val="3"/>
      </w:pPr>
      <w:r>
        <w:rPr>
          <w:rFonts w:hint="eastAsia"/>
        </w:rPr>
        <w:t>（一）律师在同一案件中为双方当事人担任代理人，或者代理与本人及其近亲属有利益冲突的法律事务的；</w:t>
      </w:r>
    </w:p>
    <w:p w14:paraId="4BA01CD0">
      <w:pPr>
        <w:pStyle w:val="3"/>
      </w:pPr>
      <w:r>
        <w:rPr>
          <w:rFonts w:hint="eastAsia"/>
        </w:rPr>
        <w:t>（二）律师办理诉讼或者非诉讼案件，其近亲属是对方当事人的法定代表人或者代理人的；</w:t>
      </w:r>
    </w:p>
    <w:p w14:paraId="6889192A">
      <w:pPr>
        <w:pStyle w:val="3"/>
      </w:pPr>
      <w:r>
        <w:rPr>
          <w:rFonts w:hint="eastAsia"/>
        </w:rPr>
        <w:t>（三）律师担任常年或者专项法律顾问期间，在诉讼或者仲裁案件中接受顾问单位的对方当事人委托的；</w:t>
      </w:r>
    </w:p>
    <w:p w14:paraId="19793472">
      <w:pPr>
        <w:pStyle w:val="3"/>
      </w:pPr>
      <w:r>
        <w:rPr>
          <w:rFonts w:hint="eastAsia"/>
        </w:rPr>
        <w:t>（四）曾经亲自处理或者审理过某一事项或者案件的行政机关工作人员、审判人员、检察人员、仲裁员，成为律师后又代理该事项或者案件的；</w:t>
      </w:r>
    </w:p>
    <w:p w14:paraId="6E8B0C1B">
      <w:pPr>
        <w:pStyle w:val="3"/>
      </w:pPr>
      <w:r>
        <w:rPr>
          <w:rFonts w:hint="eastAsia"/>
        </w:rPr>
        <w:t>（五）同一律师事务所的不同律师同时担任同一刑事案件的被害人的代理人和犯罪嫌疑人、被告人的辩护人，但在县区域内只有一家律师事务所，事先征得委托人书面同意的除外；</w:t>
      </w:r>
    </w:p>
    <w:p w14:paraId="42EED165">
      <w:pPr>
        <w:pStyle w:val="3"/>
      </w:pPr>
      <w:r>
        <w:rPr>
          <w:rFonts w:hint="eastAsia"/>
        </w:rPr>
        <w:t>（六）在同一刑事案件中，律师邀集本所或者其他律师事务所的律师，并约定或者安排分别担任不同犯罪嫌疑人、被告人的辩护人的；</w:t>
      </w:r>
    </w:p>
    <w:p w14:paraId="75FA51E3">
      <w:pPr>
        <w:pStyle w:val="3"/>
      </w:pPr>
      <w:r>
        <w:rPr>
          <w:rFonts w:hint="eastAsia"/>
        </w:rPr>
        <w:t>（七）在民事诉讼、行政诉讼、仲裁案件中，同一律师事务所的不同律师同时担任争议双方当事人的代理人，或者本所或其工作人员为一方当事人，本所其他律师担任对方当事人的代理人的；</w:t>
      </w:r>
    </w:p>
    <w:p w14:paraId="0BFCF099">
      <w:pPr>
        <w:pStyle w:val="3"/>
      </w:pPr>
      <w:r>
        <w:rPr>
          <w:rFonts w:hint="eastAsia"/>
        </w:rPr>
        <w:t>（八）在非诉讼业务中，除各方当事人共同委托外，同一律师事务所的律师同时担任彼此有利害关系的各方当事人的代理人的；</w:t>
      </w:r>
    </w:p>
    <w:p w14:paraId="1AF2FE20">
      <w:pPr>
        <w:pStyle w:val="3"/>
      </w:pPr>
      <w:r>
        <w:rPr>
          <w:rFonts w:hint="eastAsia"/>
        </w:rPr>
        <w:t>（九）在委托关系终止后，同一律师事务所或者同一律师在同一案件后续审理或者处理中又接受对方当事人委托的；</w:t>
      </w:r>
    </w:p>
    <w:p w14:paraId="51A62778">
      <w:pPr>
        <w:pStyle w:val="3"/>
      </w:pPr>
      <w:r>
        <w:rPr>
          <w:rFonts w:hint="eastAsia"/>
        </w:rPr>
        <w:t>（十）其他与本条第（一）至第（九）项情形相似，且依据律师执业经验和行业常识能够判断为应当主动回避且不得办理的利益冲突情形。</w:t>
      </w:r>
    </w:p>
    <w:p w14:paraId="1F2ECE8A">
      <w:pPr>
        <w:pStyle w:val="3"/>
      </w:pPr>
      <w:r>
        <w:rPr>
          <w:rFonts w:hint="eastAsia"/>
        </w:rPr>
        <w:t>第九条</w:t>
      </w:r>
      <w:r>
        <w:t xml:space="preserve"> </w:t>
      </w:r>
      <w:r>
        <w:rPr>
          <w:rFonts w:hint="eastAsia"/>
        </w:rPr>
        <w:t>有下列情形之一的，律师应当告知委托人并主动提出回避，但委托人书面同意其代理或者继续承办的除外：</w:t>
      </w:r>
    </w:p>
    <w:p w14:paraId="6FFE3C71">
      <w:pPr>
        <w:pStyle w:val="3"/>
      </w:pPr>
      <w:r>
        <w:rPr>
          <w:rFonts w:hint="eastAsia"/>
        </w:rPr>
        <w:t>（一）接受民事诉讼、行政诉讼、仲裁案件一方当事人的委托，而同所的其他律师是该案件中对方当事人或者法定代表人的近亲属的；</w:t>
      </w:r>
    </w:p>
    <w:p w14:paraId="4787EDB3">
      <w:pPr>
        <w:pStyle w:val="3"/>
      </w:pPr>
      <w:r>
        <w:rPr>
          <w:rFonts w:hint="eastAsia"/>
        </w:rPr>
        <w:t>（二）担任刑事案件犯罪嫌疑人、被告人的辩护人，而同所的其他律师是该案件被害人的近亲属的；</w:t>
      </w:r>
    </w:p>
    <w:p w14:paraId="37DC27CD">
      <w:pPr>
        <w:pStyle w:val="3"/>
      </w:pPr>
      <w:r>
        <w:rPr>
          <w:rFonts w:hint="eastAsia"/>
        </w:rPr>
        <w:t>（三）在同一刑事案件中，同一律师事务所不同律师分别担任不同犯罪嫌疑人、被告人的辩护人；</w:t>
      </w:r>
    </w:p>
    <w:p w14:paraId="0790A612">
      <w:pPr>
        <w:pStyle w:val="3"/>
      </w:pPr>
      <w:r>
        <w:rPr>
          <w:rFonts w:hint="eastAsia"/>
        </w:rPr>
        <w:t>（四）同一律师事务所接受正在代理的诉讼案件或者非诉讼业务当事人的对方当事人所委托的其他法律业务的；</w:t>
      </w:r>
    </w:p>
    <w:p w14:paraId="5DDC3929">
      <w:pPr>
        <w:pStyle w:val="3"/>
      </w:pPr>
      <w:r>
        <w:rPr>
          <w:rFonts w:hint="eastAsia"/>
        </w:rPr>
        <w:t>（五）律师事务所与委托人存在法律服务关系，在某一诉讼或者仲裁案件中该委托人未要求该律师事务所律师担任其代理人，而该律师事务所其他律师担任该委托人对方当事人的代理人的；</w:t>
      </w:r>
    </w:p>
    <w:p w14:paraId="1255801B">
      <w:pPr>
        <w:pStyle w:val="3"/>
      </w:pPr>
      <w:r>
        <w:rPr>
          <w:rFonts w:hint="eastAsia"/>
        </w:rPr>
        <w:t>(六)在委托关系终止后一年内，律师又就同一法律事务接受与原委托人有利害关系的对方当事人的委托的；</w:t>
      </w:r>
    </w:p>
    <w:p w14:paraId="397DDB25">
      <w:pPr>
        <w:pStyle w:val="3"/>
      </w:pPr>
      <w:r>
        <w:rPr>
          <w:rFonts w:hint="eastAsia"/>
        </w:rPr>
        <w:t>（七）其他与本条第（一）至第（六）项情况相似，且依据律师执业经验和行业常识能够判断的其他情形。</w:t>
      </w:r>
    </w:p>
    <w:p w14:paraId="328DD571">
      <w:pPr>
        <w:pStyle w:val="3"/>
      </w:pPr>
      <w:r>
        <w:rPr>
          <w:rFonts w:hint="eastAsia"/>
        </w:rPr>
        <w:t>第十条</w:t>
      </w:r>
      <w:r>
        <w:t xml:space="preserve"> </w:t>
      </w:r>
      <w:r>
        <w:rPr>
          <w:rFonts w:hint="eastAsia"/>
        </w:rPr>
        <w:t>有本规定第八条第五项所列除外情形和第九条所列情形的，律师和律师事务所应当告知委托人利益冲突的事实和可能产生的对委托人不利的后果，由委托人决定是否建立或者维持委托关系。</w:t>
      </w:r>
    </w:p>
    <w:p w14:paraId="00CAD4BA">
      <w:pPr>
        <w:pStyle w:val="3"/>
      </w:pPr>
      <w:r>
        <w:rPr>
          <w:rFonts w:hint="eastAsia"/>
        </w:rPr>
        <w:t>委托人决定建立或者维持委托关系的，应当签署知情同意书，表明委托人人已经知悉存在利益冲突的基本事实和可能产生的对委托人不利的后果并明确同意与律师事务所和律师建立或者维持委托关系。</w:t>
      </w:r>
    </w:p>
    <w:p w14:paraId="493E2C84">
      <w:pPr>
        <w:pStyle w:val="3"/>
      </w:pPr>
      <w:r>
        <w:rPr>
          <w:rFonts w:hint="eastAsia"/>
        </w:rPr>
        <w:t>第十一条</w:t>
      </w:r>
      <w:r>
        <w:t xml:space="preserve"> </w:t>
      </w:r>
      <w:r>
        <w:rPr>
          <w:rFonts w:hint="eastAsia"/>
        </w:rPr>
        <w:t>委托人知情并签署知情同意书的，承办律师在办理案件的过程中应当对各自委托人的案件信息予以保密，不得将与案件有关的信息披露给对方承办律师。</w:t>
      </w:r>
    </w:p>
    <w:p w14:paraId="5083C92B">
      <w:pPr>
        <w:pStyle w:val="3"/>
      </w:pPr>
      <w:r>
        <w:rPr>
          <w:rFonts w:hint="eastAsia"/>
        </w:rPr>
        <w:t>第十二条</w:t>
      </w:r>
      <w:r>
        <w:t xml:space="preserve"> </w:t>
      </w:r>
      <w:r>
        <w:rPr>
          <w:rFonts w:hint="eastAsia"/>
        </w:rPr>
        <w:t>曾经在前一法律事务中代理一方法律事务的律师，不得在以后相同或者相似法律事务中运用来自该前一法律事务中不利前任委托人的相关信息，除非经该前任委托人书面同意，或者有足够证据证明这些信息已为人所共知。</w:t>
      </w:r>
    </w:p>
    <w:p w14:paraId="1876F1AC">
      <w:pPr>
        <w:pStyle w:val="3"/>
      </w:pPr>
      <w:r>
        <w:rPr>
          <w:rFonts w:hint="eastAsia"/>
        </w:rPr>
        <w:t>第十三条</w:t>
      </w:r>
      <w:r>
        <w:t xml:space="preserve"> </w:t>
      </w:r>
      <w:r>
        <w:rPr>
          <w:rFonts w:hint="eastAsia"/>
        </w:rPr>
        <w:t>律师事务所应当履行管理职责，对本所律师在执业中出现的利益冲突情况，应当通过下列方式进行防止和补救：</w:t>
      </w:r>
    </w:p>
    <w:p w14:paraId="30BC6A97">
      <w:pPr>
        <w:pStyle w:val="3"/>
      </w:pPr>
      <w:r>
        <w:rPr>
          <w:rFonts w:hint="eastAsia"/>
        </w:rPr>
        <w:t>（一）督促律师履行告知义务；</w:t>
      </w:r>
    </w:p>
    <w:p w14:paraId="01FC4582">
      <w:pPr>
        <w:pStyle w:val="3"/>
      </w:pPr>
      <w:r>
        <w:rPr>
          <w:rFonts w:hint="eastAsia"/>
        </w:rPr>
        <w:t>（二）查验相关委托人的知情同意书；</w:t>
      </w:r>
    </w:p>
    <w:p w14:paraId="0BDA7F49">
      <w:pPr>
        <w:pStyle w:val="3"/>
      </w:pPr>
      <w:r>
        <w:rPr>
          <w:rFonts w:hint="eastAsia"/>
        </w:rPr>
        <w:t>（三）指令律师不得接受委托；</w:t>
      </w:r>
    </w:p>
    <w:p w14:paraId="50BB71BF">
      <w:pPr>
        <w:pStyle w:val="3"/>
      </w:pPr>
      <w:r>
        <w:rPr>
          <w:rFonts w:hint="eastAsia"/>
        </w:rPr>
        <w:t>（四）不予签署委托代理合同；</w:t>
      </w:r>
    </w:p>
    <w:p w14:paraId="031CE155">
      <w:pPr>
        <w:pStyle w:val="3"/>
      </w:pPr>
      <w:r>
        <w:rPr>
          <w:rFonts w:hint="eastAsia"/>
        </w:rPr>
        <w:t>（五）及时终止委托代理合同。</w:t>
      </w:r>
    </w:p>
    <w:p w14:paraId="5E242CF4">
      <w:pPr>
        <w:pStyle w:val="3"/>
      </w:pPr>
      <w:r>
        <w:rPr>
          <w:rFonts w:hint="eastAsia"/>
        </w:rPr>
        <w:t>第十四条</w:t>
      </w:r>
      <w:r>
        <w:t xml:space="preserve"> </w:t>
      </w:r>
      <w:r>
        <w:rPr>
          <w:rFonts w:hint="eastAsia"/>
        </w:rPr>
        <w:t>发现利益冲突的情形，律师事务所应当主动调整，消除利益冲突。</w:t>
      </w:r>
    </w:p>
    <w:p w14:paraId="77A280BD">
      <w:pPr>
        <w:pStyle w:val="3"/>
      </w:pPr>
      <w:r>
        <w:rPr>
          <w:rFonts w:hint="eastAsia"/>
        </w:rPr>
        <w:t>除与有关当事人协商调整外，调整顺序一般为已建立的委托优于拟建立的委托，先建立的委托先于后建立的委托。委托关系的建立时间，以与当事人签订委托合同的时间为准。</w:t>
      </w:r>
    </w:p>
    <w:p w14:paraId="6F4FA413">
      <w:pPr>
        <w:pStyle w:val="3"/>
      </w:pPr>
      <w:r>
        <w:rPr>
          <w:rFonts w:hint="eastAsia"/>
        </w:rPr>
        <w:t>第十五条</w:t>
      </w:r>
      <w:r>
        <w:t xml:space="preserve"> </w:t>
      </w:r>
      <w:r>
        <w:rPr>
          <w:rFonts w:hint="eastAsia"/>
        </w:rPr>
        <w:t>律师和律师事务所违反本规定，由司法行政机关、律师协会根据有关规定给予行政处罚或者行业处分。</w:t>
      </w:r>
    </w:p>
    <w:p w14:paraId="3A35A315">
      <w:pPr>
        <w:pStyle w:val="3"/>
      </w:pPr>
      <w:r>
        <w:rPr>
          <w:rFonts w:hint="eastAsia"/>
        </w:rPr>
        <w:t>第十六条</w:t>
      </w:r>
      <w:r>
        <w:t xml:space="preserve"> </w:t>
      </w:r>
      <w:r>
        <w:rPr>
          <w:rFonts w:hint="eastAsia"/>
        </w:rPr>
        <w:t>律师事务所在进行利益冲突审查时，因委托人未如实说明利益冲突情况，导致律师、律师事务所在执业中出现委托人利益冲突结果的，对律师、律师事务所可以从轻、减轻或者不予处罚（分）。</w:t>
      </w:r>
    </w:p>
    <w:p w14:paraId="10A5674C">
      <w:pPr>
        <w:pStyle w:val="3"/>
      </w:pPr>
      <w:r>
        <w:rPr>
          <w:rFonts w:hint="eastAsia"/>
        </w:rPr>
        <w:t>第十七条</w:t>
      </w:r>
      <w:r>
        <w:t xml:space="preserve"> </w:t>
      </w:r>
      <w:r>
        <w:rPr>
          <w:rFonts w:hint="eastAsia"/>
        </w:rPr>
        <w:t>本规定自发布之日起施行。</w:t>
      </w:r>
    </w:p>
    <w:p w14:paraId="6B37C1BF">
      <w:pPr>
        <w:pStyle w:val="3"/>
      </w:pPr>
      <w:r>
        <w:rPr>
          <w:rFonts w:hint="eastAsia"/>
        </w:rPr>
        <w:t>第十八条</w:t>
      </w:r>
      <w:r>
        <w:t xml:space="preserve"> </w:t>
      </w:r>
      <w:r>
        <w:rPr>
          <w:rFonts w:hint="eastAsia"/>
        </w:rPr>
        <w:t>本规定由湖南省司法厅负责解释。</w:t>
      </w:r>
    </w:p>
    <w:p w14:paraId="67AB0DF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04E8A"/>
    <w:rsid w:val="301D7787"/>
    <w:rsid w:val="3E347AD7"/>
    <w:rsid w:val="421A6F14"/>
    <w:rsid w:val="4E1E3790"/>
    <w:rsid w:val="5D655668"/>
    <w:rsid w:val="64A36AC6"/>
    <w:rsid w:val="6868750A"/>
    <w:rsid w:val="6B146A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9" w:name="heading 2"/>
    <w:lsdException w:unhideWhenUsed="0" w:uiPriority="0" w:semiHidden="0" w:name="heading 3"/>
    <w:lsdException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24"/>
    <w:uiPriority w:val="0"/>
    <w:pPr>
      <w:keepNext/>
      <w:keepLines/>
      <w:spacing w:before="340" w:beforeLines="0" w:beforeAutospacing="0" w:after="330" w:afterLines="0" w:afterAutospacing="0" w:line="576" w:lineRule="auto"/>
      <w:jc w:val="center"/>
      <w:outlineLvl w:val="0"/>
    </w:pPr>
    <w:rPr>
      <w:rFonts w:ascii="Times New Roman" w:hAnsi="Times New Roman" w:eastAsia="宋体" w:cs="Times New Roman"/>
      <w:b/>
      <w:kern w:val="44"/>
      <w:sz w:val="44"/>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5">
    <w:name w:val="heading 3"/>
    <w:basedOn w:val="1"/>
    <w:next w:val="3"/>
    <w:link w:val="23"/>
    <w:uiPriority w:val="0"/>
    <w:pPr>
      <w:keepNext/>
      <w:keepLines/>
      <w:spacing w:before="160" w:after="80"/>
      <w:outlineLvl w:val="2"/>
    </w:pPr>
    <w:rPr>
      <w:rFonts w:asciiTheme="minorAscii" w:hAnsiTheme="minorAscii" w:eastAsiaTheme="majorEastAsia" w:cstheme="majorBidi"/>
      <w:b/>
      <w:color w:val="000000" w:themeColor="text1"/>
      <w:sz w:val="28"/>
      <w:szCs w:val="28"/>
      <w14:textFill>
        <w14:solidFill>
          <w14:schemeClr w14:val="tx1"/>
        </w14:solidFill>
      </w14:textFill>
    </w:rPr>
  </w:style>
  <w:style w:type="paragraph" w:styleId="6">
    <w:name w:val="heading 4"/>
    <w:basedOn w:val="1"/>
    <w:next w:val="3"/>
    <w:link w:val="25"/>
    <w:uiPriority w:val="0"/>
    <w:pPr>
      <w:keepNext/>
      <w:keepLines/>
      <w:spacing w:before="80" w:after="40"/>
      <w:outlineLvl w:val="3"/>
    </w:pPr>
    <w:rPr>
      <w:rFonts w:asciiTheme="minorAscii" w:hAnsiTheme="minorAscii" w:eastAsiaTheme="majorEastAsia" w:cstheme="majorBidi"/>
      <w:iCs/>
      <w:color w:val="2E54A1" w:themeColor="accent1" w:themeShade="BF"/>
      <w:sz w:val="24"/>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2E54A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uiPriority w:val="0"/>
    <w:pPr>
      <w:spacing w:after="120" w:afterLines="0" w:afterAutospacing="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afterLines="-2147483648" w:afterAutospacing="0"/>
      <w:ind w:left="480" w:right="480" w:firstLine="0"/>
    </w:pPr>
    <w:rPr>
      <w:rFonts w:asciiTheme="minorHAnsi" w:hAnsiTheme="minorHAnsi" w:eastAsiaTheme="minorEastAsia" w:cstheme="minorBidi"/>
      <w:sz w:val="24"/>
      <w:szCs w:val="24"/>
      <w:lang w:val="en-US" w:eastAsia="zh-CN" w:bidi="ar-SA"/>
    </w:r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9"/>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4874CB" w:themeColor="accent1"/>
      <w14:textFill>
        <w14:solidFill>
          <w14:schemeClr w14:val="accent1"/>
        </w14:solidFill>
      </w14:textFill>
    </w:rPr>
  </w:style>
  <w:style w:type="character" w:customStyle="1" w:styleId="21">
    <w:name w:val="Body Text Char"/>
    <w:basedOn w:val="19"/>
    <w:link w:val="3"/>
    <w:qFormat/>
    <w:uiPriority w:val="0"/>
    <w:rPr>
      <w:rFonts w:asciiTheme="minorHAnsi" w:hAnsiTheme="minorHAnsi" w:eastAsiaTheme="minorEastAsia" w:cstheme="minorBidi"/>
      <w:sz w:val="24"/>
      <w:szCs w:val="24"/>
      <w:lang w:val="en-US" w:eastAsia="zh-CN" w:bidi="ar-SA"/>
    </w:rPr>
  </w:style>
  <w:style w:type="character" w:styleId="22">
    <w:name w:val="footnote reference"/>
    <w:basedOn w:val="21"/>
    <w:qFormat/>
    <w:uiPriority w:val="0"/>
    <w:rPr>
      <w:vertAlign w:val="superscript"/>
    </w:rPr>
  </w:style>
  <w:style w:type="character" w:customStyle="1" w:styleId="23">
    <w:name w:val="Heading 3 Char"/>
    <w:basedOn w:val="19"/>
    <w:link w:val="5"/>
    <w:semiHidden/>
    <w:qFormat/>
    <w:uiPriority w:val="9"/>
    <w:rPr>
      <w:rFonts w:asciiTheme="minorAscii" w:hAnsiTheme="minorAscii" w:eastAsiaTheme="majorEastAsia" w:cstheme="majorBidi"/>
      <w:b/>
      <w:color w:val="000000" w:themeColor="text1"/>
      <w:sz w:val="28"/>
      <w:szCs w:val="28"/>
      <w:lang w:val="en-US" w:eastAsia="zh-CN" w:bidi="ar-SA"/>
      <w14:textFill>
        <w14:solidFill>
          <w14:schemeClr w14:val="tx1"/>
        </w14:solidFill>
      </w14:textFill>
    </w:rPr>
  </w:style>
  <w:style w:type="character" w:customStyle="1" w:styleId="24">
    <w:name w:val="Heading 1 Char"/>
    <w:basedOn w:val="19"/>
    <w:link w:val="2"/>
    <w:qFormat/>
    <w:uiPriority w:val="9"/>
    <w:rPr>
      <w:rFonts w:ascii="Times New Roman" w:hAnsi="Times New Roman" w:eastAsia="宋体" w:cs="Times New Roman"/>
      <w:b/>
      <w:kern w:val="44"/>
      <w:sz w:val="44"/>
      <w:szCs w:val="24"/>
      <w:lang w:val="en-US" w:eastAsia="zh-CN" w:bidi="ar-SA"/>
    </w:rPr>
  </w:style>
  <w:style w:type="character" w:customStyle="1" w:styleId="25">
    <w:name w:val="Heading 4 Char"/>
    <w:basedOn w:val="19"/>
    <w:link w:val="6"/>
    <w:semiHidden/>
    <w:qFormat/>
    <w:uiPriority w:val="9"/>
    <w:rPr>
      <w:rFonts w:asciiTheme="minorAscii" w:hAnsiTheme="minorAscii" w:eastAsiaTheme="majorEastAsia" w:cstheme="majorBidi"/>
      <w:iCs/>
      <w:color w:val="2E54A1" w:themeColor="accent1" w:themeShade="BF"/>
      <w:sz w:val="24"/>
      <w:szCs w:val="24"/>
      <w:lang w:val="en-US" w:eastAsia="zh-CN" w:bidi="ar-SA"/>
    </w:rPr>
  </w:style>
  <w:style w:type="paragraph" w:customStyle="1" w:styleId="26">
    <w:name w:val="First Paragraph"/>
    <w:basedOn w:val="3"/>
    <w:next w:val="3"/>
    <w:qFormat/>
    <w:uiPriority w:val="0"/>
    <w:pPr>
      <w:spacing w:before="180" w:after="180" w:afterLines="-2147483648" w:afterAutospacing="0"/>
    </w:pPr>
    <w:rPr>
      <w:rFonts w:asciiTheme="minorHAnsi" w:hAnsiTheme="minorHAnsi" w:eastAsiaTheme="minorEastAsia" w:cstheme="minorBidi"/>
      <w:sz w:val="24"/>
      <w:szCs w:val="24"/>
      <w:lang w:val="en-US" w:eastAsia="zh-CN" w:bidi="ar-SA"/>
    </w:rPr>
  </w:style>
  <w:style w:type="paragraph" w:customStyle="1" w:styleId="27">
    <w:name w:val="Compact"/>
    <w:basedOn w:val="3"/>
    <w:qFormat/>
    <w:uiPriority w:val="0"/>
    <w:pPr>
      <w:spacing w:before="36" w:after="36" w:afterLines="-2147483648" w:afterAutospacing="0"/>
    </w:pPr>
    <w:rPr>
      <w:rFonts w:asciiTheme="minorHAnsi" w:hAnsiTheme="minorHAnsi" w:eastAsiaTheme="minorEastAsia" w:cstheme="minorBidi"/>
      <w:sz w:val="24"/>
      <w:szCs w:val="24"/>
      <w:lang w:val="en-US" w:eastAsia="zh-CN" w:bidi="ar-SA"/>
    </w:rPr>
  </w:style>
  <w:style w:type="character" w:customStyle="1" w:styleId="28">
    <w:name w:val="Title Char"/>
    <w:basedOn w:val="19"/>
    <w:link w:val="15"/>
    <w:uiPriority w:val="10"/>
    <w:rPr>
      <w:rFonts w:asciiTheme="majorHAnsi" w:hAnsiTheme="majorHAnsi" w:eastAsiaTheme="majorEastAsia" w:cstheme="majorBidi"/>
      <w:sz w:val="56"/>
      <w:szCs w:val="56"/>
      <w:lang w:val="en-US" w:eastAsia="zh-CN" w:bidi="ar-SA"/>
    </w:rPr>
  </w:style>
  <w:style w:type="character" w:customStyle="1" w:styleId="29">
    <w:name w:val="Subtitle Char"/>
    <w:basedOn w:val="19"/>
    <w:link w:val="16"/>
    <w:uiPriority w:val="11"/>
    <w:rPr>
      <w:rFonts w:asciiTheme="minorHAnsi" w:hAnsiTheme="minorHAnsi" w:eastAsiaTheme="majorEastAsia" w:cstheme="majorBidi"/>
      <w:spacing w:val="15"/>
      <w:sz w:val="28"/>
      <w:szCs w:val="28"/>
      <w:lang w:val="en-US" w:eastAsia="zh-CN" w:bidi="ar-SA"/>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2 Char"/>
    <w:basedOn w:val="19"/>
    <w:link w:val="4"/>
    <w:semiHidden/>
    <w:uiPriority w:val="9"/>
    <w:rPr>
      <w:rFonts w:asciiTheme="majorHAnsi" w:hAnsiTheme="majorHAnsi" w:eastAsiaTheme="majorEastAsia" w:cstheme="majorBidi"/>
      <w:color w:val="2E54A1" w:themeColor="accent1" w:themeShade="BF"/>
      <w:sz w:val="32"/>
      <w:szCs w:val="32"/>
      <w:lang w:val="en-US" w:eastAsia="zh-CN" w:bidi="ar-SA"/>
    </w:rPr>
  </w:style>
  <w:style w:type="character" w:customStyle="1" w:styleId="35">
    <w:name w:val="Heading 5 Char"/>
    <w:basedOn w:val="19"/>
    <w:link w:val="7"/>
    <w:semiHidden/>
    <w:uiPriority w:val="9"/>
    <w:rPr>
      <w:rFonts w:asciiTheme="minorHAnsi" w:hAnsiTheme="minorHAnsi" w:eastAsiaTheme="majorEastAsia" w:cstheme="majorBidi"/>
      <w:color w:val="2E54A1" w:themeColor="accent1" w:themeShade="BF"/>
      <w:sz w:val="24"/>
      <w:szCs w:val="24"/>
      <w:lang w:val="en-US" w:eastAsia="zh-CN" w:bidi="ar-SA"/>
    </w:rPr>
  </w:style>
  <w:style w:type="character" w:customStyle="1" w:styleId="36">
    <w:name w:val="Heading 6 Char"/>
    <w:basedOn w:val="19"/>
    <w:link w:val="8"/>
    <w:semiHidden/>
    <w:uiPriority w:val="9"/>
    <w:rPr>
      <w:rFonts w:asciiTheme="minorHAnsi" w:hAnsiTheme="minorHAnsi" w:eastAsiaTheme="majorEastAsia" w:cstheme="majorBidi"/>
      <w:i/>
      <w:iCs/>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7">
    <w:name w:val="Heading 7 Char"/>
    <w:basedOn w:val="19"/>
    <w:link w:val="9"/>
    <w:semiHidden/>
    <w:uiPriority w:val="9"/>
    <w:rPr>
      <w:rFonts w:asciiTheme="minorHAnsi" w:hAnsiTheme="minorHAnsi" w:eastAsiaTheme="majorEastAsia" w:cstheme="majorBidi"/>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8">
    <w:name w:val="Heading 8 Char"/>
    <w:basedOn w:val="19"/>
    <w:link w:val="10"/>
    <w:semiHidden/>
    <w:uiPriority w:val="9"/>
    <w:rPr>
      <w:rFonts w:asciiTheme="minorHAnsi" w:hAnsiTheme="minorHAnsi" w:eastAsiaTheme="majorEastAsia" w:cstheme="majorBidi"/>
      <w:i/>
      <w:iCs/>
      <w:color w:val="262626" w:themeColor="text1" w:themeTint="D9"/>
      <w:sz w:val="24"/>
      <w:szCs w:val="24"/>
      <w:lang w:val="en-US" w:eastAsia="zh-CN" w:bidi="ar-SA"/>
      <w14:textFill>
        <w14:solidFill>
          <w14:schemeClr w14:val="tx1">
            <w14:lumMod w14:val="85000"/>
            <w14:lumOff w14:val="15000"/>
          </w14:schemeClr>
        </w14:solidFill>
      </w14:textFill>
    </w:rPr>
  </w:style>
  <w:style w:type="character" w:customStyle="1" w:styleId="39">
    <w:name w:val="Heading 9 Char"/>
    <w:basedOn w:val="19"/>
    <w:link w:val="11"/>
    <w:semiHidden/>
    <w:uiPriority w:val="9"/>
    <w:rPr>
      <w:rFonts w:asciiTheme="minorHAnsi" w:hAnsiTheme="minorHAnsi" w:eastAsiaTheme="majorEastAsia" w:cstheme="majorBidi"/>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style>
  <w:style w:type="paragraph" w:customStyle="1" w:styleId="49">
    <w:name w:val="Source Code"/>
    <w:basedOn w:val="1"/>
    <w:link w:val="48"/>
    <w:uiPriority w:val="0"/>
    <w:pPr>
      <w:shd w:val="clear" w:fill="F8F8F8"/>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beforeLines="-2147483648" w:beforeAutospacing="0" w:after="80" w:afterLines="-2147483648" w:afterAutospacing="0" w:line="259" w:lineRule="auto"/>
      <w:jc w:val="left"/>
      <w:outlineLvl w:val="9"/>
    </w:pPr>
    <w:rPr>
      <w:rFonts w:asciiTheme="majorHAnsi" w:hAnsiTheme="majorHAnsi" w:eastAsiaTheme="majorEastAsia" w:cstheme="majorBidi"/>
      <w:b w:val="0"/>
      <w:color w:val="2E54A1" w:themeColor="accent1" w:themeShade="BF"/>
      <w:kern w:val="0"/>
      <w:sz w:val="40"/>
      <w:szCs w:val="40"/>
    </w:rPr>
  </w:style>
  <w:style w:type="character" w:customStyle="1" w:styleId="52">
    <w:name w:val="KeywordTok"/>
    <w:basedOn w:val="48"/>
    <w:uiPriority w:val="0"/>
    <w:rPr>
      <w:b/>
      <w:color w:val="204A87"/>
      <w:shd w:val="clear" w:fill="F8F8F8"/>
    </w:rPr>
  </w:style>
  <w:style w:type="character" w:customStyle="1" w:styleId="53">
    <w:name w:val="DataTypeTok"/>
    <w:basedOn w:val="48"/>
    <w:uiPriority w:val="0"/>
    <w:rPr>
      <w:color w:val="204A87"/>
      <w:shd w:val="clear" w:fill="F8F8F8"/>
    </w:rPr>
  </w:style>
  <w:style w:type="character" w:customStyle="1" w:styleId="54">
    <w:name w:val="DecValTok"/>
    <w:basedOn w:val="48"/>
    <w:uiPriority w:val="0"/>
    <w:rPr>
      <w:color w:val="0000CF"/>
      <w:shd w:val="clear" w:fill="F8F8F8"/>
    </w:rPr>
  </w:style>
  <w:style w:type="character" w:customStyle="1" w:styleId="55">
    <w:name w:val="BaseNTok"/>
    <w:basedOn w:val="48"/>
    <w:uiPriority w:val="0"/>
    <w:rPr>
      <w:color w:val="0000CF"/>
      <w:shd w:val="clear" w:fill="F8F8F8"/>
    </w:rPr>
  </w:style>
  <w:style w:type="character" w:customStyle="1" w:styleId="56">
    <w:name w:val="FloatTok"/>
    <w:basedOn w:val="48"/>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uiPriority w:val="0"/>
    <w:rPr>
      <w:color w:val="4E9A06"/>
      <w:shd w:val="clear" w:fill="F8F8F8"/>
    </w:rPr>
  </w:style>
  <w:style w:type="character" w:customStyle="1" w:styleId="59">
    <w:name w:val="SpecialCharTok"/>
    <w:basedOn w:val="48"/>
    <w:uiPriority w:val="0"/>
    <w:rPr>
      <w:b/>
      <w:color w:val="CE5C00"/>
      <w:shd w:val="clear" w:fill="F8F8F8"/>
    </w:rPr>
  </w:style>
  <w:style w:type="character" w:customStyle="1" w:styleId="60">
    <w:name w:val="StringTok"/>
    <w:basedOn w:val="48"/>
    <w:uiPriority w:val="0"/>
    <w:rPr>
      <w:color w:val="4E9A06"/>
      <w:shd w:val="clear" w:fill="F8F8F8"/>
    </w:rPr>
  </w:style>
  <w:style w:type="character" w:customStyle="1" w:styleId="61">
    <w:name w:val="VerbatimStringTok"/>
    <w:basedOn w:val="48"/>
    <w:uiPriority w:val="0"/>
    <w:rPr>
      <w:color w:val="4E9A06"/>
      <w:shd w:val="clear" w:fill="F8F8F8"/>
    </w:rPr>
  </w:style>
  <w:style w:type="character" w:customStyle="1" w:styleId="62">
    <w:name w:val="SpecialStringTok"/>
    <w:basedOn w:val="48"/>
    <w:qFormat/>
    <w:uiPriority w:val="0"/>
    <w:rPr>
      <w:color w:val="4E9A06"/>
      <w:shd w:val="clear" w:fill="F8F8F8"/>
    </w:rPr>
  </w:style>
  <w:style w:type="character" w:customStyle="1" w:styleId="63">
    <w:name w:val="ImportTok"/>
    <w:basedOn w:val="48"/>
    <w:uiPriority w:val="0"/>
    <w:rPr>
      <w:shd w:val="clear" w:fill="F8F8F8"/>
    </w:rPr>
  </w:style>
  <w:style w:type="character" w:customStyle="1" w:styleId="64">
    <w:name w:val="CommentTok"/>
    <w:basedOn w:val="48"/>
    <w:uiPriority w:val="0"/>
    <w:rPr>
      <w:i/>
      <w:color w:val="8F5902"/>
      <w:shd w:val="clear" w:fill="F8F8F8"/>
    </w:rPr>
  </w:style>
  <w:style w:type="character" w:customStyle="1" w:styleId="65">
    <w:name w:val="DocumentationTok"/>
    <w:basedOn w:val="48"/>
    <w:uiPriority w:val="0"/>
    <w:rPr>
      <w:b/>
      <w:i/>
      <w:color w:val="8F5902"/>
      <w:shd w:val="clear" w:fill="F8F8F8"/>
    </w:rPr>
  </w:style>
  <w:style w:type="character" w:customStyle="1" w:styleId="66">
    <w:name w:val="AnnotationTok"/>
    <w:basedOn w:val="48"/>
    <w:uiPriority w:val="0"/>
    <w:rPr>
      <w:b/>
      <w:i/>
      <w:color w:val="8F5902"/>
      <w:shd w:val="clear" w:fill="F8F8F8"/>
    </w:rPr>
  </w:style>
  <w:style w:type="character" w:customStyle="1" w:styleId="67">
    <w:name w:val="CommentVarTok"/>
    <w:basedOn w:val="48"/>
    <w:qFormat/>
    <w:uiPriority w:val="0"/>
    <w:rPr>
      <w:b/>
      <w:i/>
      <w:color w:val="8F5902"/>
      <w:shd w:val="clear" w:fill="F8F8F8"/>
    </w:rPr>
  </w:style>
  <w:style w:type="character" w:customStyle="1" w:styleId="68">
    <w:name w:val="OtherTok"/>
    <w:basedOn w:val="48"/>
    <w:uiPriority w:val="0"/>
    <w:rPr>
      <w:color w:val="8F5902"/>
      <w:shd w:val="clear" w:fill="F8F8F8"/>
    </w:rPr>
  </w:style>
  <w:style w:type="character" w:customStyle="1" w:styleId="69">
    <w:name w:val="FunctionTok"/>
    <w:basedOn w:val="48"/>
    <w:uiPriority w:val="0"/>
    <w:rPr>
      <w:b/>
      <w:color w:val="204A87"/>
      <w:shd w:val="clear" w:fill="F8F8F8"/>
    </w:rPr>
  </w:style>
  <w:style w:type="character" w:customStyle="1" w:styleId="70">
    <w:name w:val="VariableTok"/>
    <w:basedOn w:val="48"/>
    <w:uiPriority w:val="0"/>
    <w:rPr>
      <w:color w:val="000000"/>
      <w:shd w:val="clear" w:fill="F8F8F8"/>
    </w:rPr>
  </w:style>
  <w:style w:type="character" w:customStyle="1" w:styleId="71">
    <w:name w:val="ControlFlowTok"/>
    <w:basedOn w:val="48"/>
    <w:uiPriority w:val="0"/>
    <w:rPr>
      <w:b/>
      <w:color w:val="204A87"/>
      <w:shd w:val="clear" w:fill="F8F8F8"/>
    </w:rPr>
  </w:style>
  <w:style w:type="character" w:customStyle="1" w:styleId="72">
    <w:name w:val="OperatorTok"/>
    <w:basedOn w:val="48"/>
    <w:uiPriority w:val="0"/>
    <w:rPr>
      <w:b/>
      <w:color w:val="CE5C00"/>
      <w:shd w:val="clear" w:fill="F8F8F8"/>
    </w:rPr>
  </w:style>
  <w:style w:type="character" w:customStyle="1" w:styleId="73">
    <w:name w:val="BuiltInTok"/>
    <w:basedOn w:val="48"/>
    <w:uiPriority w:val="0"/>
    <w:rPr>
      <w:shd w:val="clear" w:fill="F8F8F8"/>
    </w:rPr>
  </w:style>
  <w:style w:type="character" w:customStyle="1" w:styleId="74">
    <w:name w:val="ExtensionTok"/>
    <w:basedOn w:val="48"/>
    <w:uiPriority w:val="0"/>
    <w:rPr>
      <w:shd w:val="clear" w:fill="F8F8F8"/>
    </w:rPr>
  </w:style>
  <w:style w:type="character" w:customStyle="1" w:styleId="75">
    <w:name w:val="PreprocessorTok"/>
    <w:basedOn w:val="48"/>
    <w:uiPriority w:val="0"/>
    <w:rPr>
      <w:i/>
      <w:color w:val="8F5902"/>
      <w:shd w:val="clear" w:fill="F8F8F8"/>
    </w:rPr>
  </w:style>
  <w:style w:type="character" w:customStyle="1" w:styleId="76">
    <w:name w:val="AttributeTok"/>
    <w:basedOn w:val="48"/>
    <w:uiPriority w:val="0"/>
    <w:rPr>
      <w:color w:val="204A87"/>
      <w:shd w:val="clear" w:fill="F8F8F8"/>
    </w:rPr>
  </w:style>
  <w:style w:type="character" w:customStyle="1" w:styleId="77">
    <w:name w:val="RegionMarkerTok"/>
    <w:basedOn w:val="48"/>
    <w:uiPriority w:val="0"/>
    <w:rPr>
      <w:shd w:val="clear" w:fill="F8F8F8"/>
    </w:rPr>
  </w:style>
  <w:style w:type="character" w:customStyle="1" w:styleId="78">
    <w:name w:val="InformationTok"/>
    <w:basedOn w:val="48"/>
    <w:uiPriority w:val="0"/>
    <w:rPr>
      <w:b/>
      <w:i/>
      <w:color w:val="8F5902"/>
      <w:shd w:val="clear" w:fill="F8F8F8"/>
    </w:rPr>
  </w:style>
  <w:style w:type="character" w:customStyle="1" w:styleId="79">
    <w:name w:val="WarningTok"/>
    <w:basedOn w:val="48"/>
    <w:qFormat/>
    <w:uiPriority w:val="0"/>
    <w:rPr>
      <w:b/>
      <w:i/>
      <w:color w:val="8F5902"/>
      <w:shd w:val="clear" w:fill="F8F8F8"/>
    </w:rPr>
  </w:style>
  <w:style w:type="character" w:customStyle="1" w:styleId="80">
    <w:name w:val="AlertTok"/>
    <w:basedOn w:val="48"/>
    <w:uiPriority w:val="0"/>
    <w:rPr>
      <w:color w:val="EF2929"/>
      <w:shd w:val="clear" w:fill="F8F8F8"/>
    </w:rPr>
  </w:style>
  <w:style w:type="character" w:customStyle="1" w:styleId="81">
    <w:name w:val="ErrorTok"/>
    <w:basedOn w:val="48"/>
    <w:qFormat/>
    <w:uiPriority w:val="0"/>
    <w:rPr>
      <w:b/>
      <w:color w:val="A40000"/>
      <w:shd w:val="clear" w:fill="F8F8F8"/>
    </w:rPr>
  </w:style>
  <w:style w:type="character" w:customStyle="1" w:styleId="82">
    <w:name w:val="NormalTok"/>
    <w:basedOn w:val="48"/>
    <w:uiPriority w:val="0"/>
    <w:rPr>
      <w:shd w:val="clear" w:fill="F8F8F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2023-11-21T11:24:00Z</dcterms:created>
  <dc:creator>Administrator</dc:creator>
  <cp:lastModifiedBy>金</cp:lastModifiedBy>
  <dcterms:modified xsi:type="dcterms:W3CDTF">2026-01-17T07:39:01Z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D22748AE4B4349E59299A2AAA436D791_12</vt:lpwstr>
  </property>
  <property fmtid="{D5CDD505-2E9C-101B-9397-08002B2CF9AE}" pid="4" name="KSOTemplateDocerSaveRecord">
    <vt:lpwstr>eyJoZGlkIjoiNzY5MmMzNzU1NmFjNTZkN2U5YzNiMGE2N2QyMmQzNWYiLCJ1c2VySWQiOiIzODU1MTg1NDgifQ==</vt:lpwstr>
  </property>
</Properties>
</file>