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맑은 고딕" w:hAnsi="맑은 고딕" w:eastAsia="맑은 고딕"/>
          <w:b/>
          <w:i w:val="0"/>
          <w:color w:val="4285F4"/>
          <w:sz w:val="22"/>
        </w:rPr>
        <w:t>커버리지 개시 (INITIATING COVERAGE)</w:t>
      </w:r>
    </w:p>
    <w:p>
      <w:pPr>
        <w:spacing w:after="120"/>
      </w:pPr>
      <w:r>
        <w:rPr>
          <w:rFonts w:ascii="맑은 고딕" w:hAnsi="맑은 고딕" w:eastAsia="맑은 고딕"/>
          <w:i w:val="0"/>
          <w:color w:val="595959"/>
          <w:sz w:val="18"/>
        </w:rPr>
        <w:t>Alphabet Inc.  (NASDAQ: GOOGL)  |  인터넷 · 디지털광고 · 클라우드  |  2026-07-18</w:t>
      </w:r>
    </w:p>
    <w:p>
      <w:pPr>
        <w:spacing w:after="160"/>
      </w:pPr>
      <w:r>
        <w:rPr>
          <w:rFonts w:ascii="맑은 고딕" w:hAnsi="맑은 고딕" w:eastAsia="맑은 고딕"/>
          <w:b/>
          <w:color w:val="1F3864"/>
          <w:sz w:val="32"/>
        </w:rPr>
        <w:t>AI 시대에도 검색 왕좌는 견고하다, 그러나 주가는 이미 그 이상을 반영했다</w:t>
      </w:r>
    </w:p>
    <w:tbl>
      <w:tblPr>
        <w:tblStyle w:val="LightGrid-Accent1"/>
        <w:tblW w:type="auto" w:w="0"/>
        <w:tblLayout w:type="autofit"/>
        <w:tblLook w:firstColumn="1" w:firstRow="1" w:lastColumn="0" w:lastRow="0" w:noHBand="0" w:noVBand="1" w:val="04A0"/>
      </w:tblPr>
      <w:tblGrid>
        <w:gridCol w:w="2484"/>
        <w:gridCol w:w="2484"/>
        <w:gridCol w:w="2484"/>
        <w:gridCol w:w="2484"/>
      </w:tblGrid>
      <w:tr>
        <w:tc>
          <w:tcPr>
            <w:tcW w:type="dxa" w:w="2484"/>
          </w:tcPr>
          <w:p>
            <w:pPr>
              <w:spacing w:after="20" w:before="20"/>
              <w:jc w:val="left"/>
            </w:pPr>
            <w:r/>
            <w:r>
              <w:rPr>
                <w:rFonts w:ascii="맑은 고딕" w:hAnsi="맑은 고딕" w:eastAsia="맑은 고딕"/>
                <w:b w:val="0"/>
                <w:sz w:val="18"/>
              </w:rPr>
              <w:t>투자의견</w:t>
            </w:r>
          </w:p>
        </w:tc>
        <w:tc>
          <w:tcPr>
            <w:tcW w:type="dxa" w:w="2484"/>
          </w:tcPr>
          <w:p>
            <w:pPr>
              <w:spacing w:after="20" w:before="20"/>
              <w:jc w:val="right"/>
            </w:pPr>
            <w:r/>
            <w:r>
              <w:rPr>
                <w:rFonts w:ascii="맑은 고딕" w:hAnsi="맑은 고딕" w:eastAsia="맑은 고딕"/>
                <w:b w:val="0"/>
                <w:sz w:val="18"/>
              </w:rPr>
              <w:t>매도(SELL)</w:t>
            </w:r>
          </w:p>
        </w:tc>
        <w:tc>
          <w:tcPr>
            <w:tcW w:type="dxa" w:w="2484"/>
          </w:tcPr>
          <w:p>
            <w:pPr>
              <w:spacing w:after="20" w:before="20"/>
              <w:jc w:val="right"/>
            </w:pPr>
            <w:r/>
            <w:r>
              <w:rPr>
                <w:rFonts w:ascii="맑은 고딕" w:hAnsi="맑은 고딕" w:eastAsia="맑은 고딕"/>
                <w:b w:val="0"/>
                <w:sz w:val="18"/>
              </w:rPr>
              <w:t>현재주가</w:t>
            </w:r>
          </w:p>
        </w:tc>
        <w:tc>
          <w:tcPr>
            <w:tcW w:type="dxa" w:w="2484"/>
          </w:tcPr>
          <w:p>
            <w:pPr>
              <w:spacing w:after="20" w:before="20"/>
              <w:jc w:val="right"/>
            </w:pPr>
            <w:r/>
            <w:r>
              <w:rPr>
                <w:rFonts w:ascii="맑은 고딕" w:hAnsi="맑은 고딕" w:eastAsia="맑은 고딕"/>
                <w:b w:val="0"/>
                <w:sz w:val="18"/>
              </w:rPr>
              <w:t>$354.46</w:t>
            </w:r>
          </w:p>
        </w:tc>
      </w:tr>
      <w:tr>
        <w:tc>
          <w:tcPr>
            <w:tcW w:type="dxa" w:w="2484"/>
          </w:tcPr>
          <w:p>
            <w:pPr>
              <w:spacing w:after="20" w:before="20"/>
              <w:jc w:val="left"/>
            </w:pPr>
            <w:r/>
            <w:r>
              <w:rPr>
                <w:rFonts w:ascii="맑은 고딕" w:hAnsi="맑은 고딕" w:eastAsia="맑은 고딕"/>
                <w:b w:val="0"/>
                <w:sz w:val="18"/>
              </w:rPr>
              <w:t>목표주가 (12개월)</w:t>
            </w:r>
          </w:p>
        </w:tc>
        <w:tc>
          <w:tcPr>
            <w:tcW w:type="dxa" w:w="2484"/>
          </w:tcPr>
          <w:p>
            <w:pPr>
              <w:spacing w:after="20" w:before="20"/>
              <w:jc w:val="right"/>
            </w:pPr>
            <w:r/>
            <w:r>
              <w:rPr>
                <w:rFonts w:ascii="맑은 고딕" w:hAnsi="맑은 고딕" w:eastAsia="맑은 고딕"/>
                <w:b w:val="0"/>
                <w:sz w:val="18"/>
              </w:rPr>
              <w:t>$225</w:t>
            </w:r>
          </w:p>
        </w:tc>
        <w:tc>
          <w:tcPr>
            <w:tcW w:type="dxa" w:w="2484"/>
          </w:tcPr>
          <w:p>
            <w:pPr>
              <w:spacing w:after="20" w:before="20"/>
              <w:jc w:val="right"/>
            </w:pPr>
            <w:r/>
            <w:r>
              <w:rPr>
                <w:rFonts w:ascii="맑은 고딕" w:hAnsi="맑은 고딕" w:eastAsia="맑은 고딕"/>
                <w:b w:val="0"/>
                <w:sz w:val="18"/>
              </w:rPr>
              <w:t>기대수익률</w:t>
            </w:r>
          </w:p>
        </w:tc>
        <w:tc>
          <w:tcPr>
            <w:tcW w:type="dxa" w:w="2484"/>
          </w:tcPr>
          <w:p>
            <w:pPr>
              <w:spacing w:after="20" w:before="20"/>
              <w:jc w:val="right"/>
            </w:pPr>
            <w:r/>
            <w:r>
              <w:rPr>
                <w:rFonts w:ascii="맑은 고딕" w:hAnsi="맑은 고딕" w:eastAsia="맑은 고딕"/>
                <w:b w:val="0"/>
                <w:sz w:val="18"/>
              </w:rPr>
              <w:t>-36.4%</w:t>
            </w:r>
          </w:p>
        </w:tc>
      </w:tr>
      <w:tr>
        <w:tc>
          <w:tcPr>
            <w:tcW w:type="dxa" w:w="2484"/>
          </w:tcPr>
          <w:p>
            <w:pPr>
              <w:spacing w:after="20" w:before="20"/>
              <w:jc w:val="left"/>
            </w:pPr>
            <w:r/>
            <w:r>
              <w:rPr>
                <w:rFonts w:ascii="맑은 고딕" w:hAnsi="맑은 고딕" w:eastAsia="맑은 고딕"/>
                <w:b w:val="0"/>
                <w:sz w:val="18"/>
              </w:rPr>
              <w:t>셀사이드 컨센서스 목표가</w:t>
            </w:r>
          </w:p>
        </w:tc>
        <w:tc>
          <w:tcPr>
            <w:tcW w:type="dxa" w:w="2484"/>
          </w:tcPr>
          <w:p>
            <w:pPr>
              <w:spacing w:after="20" w:before="20"/>
              <w:jc w:val="right"/>
            </w:pPr>
            <w:r/>
            <w:r>
              <w:rPr>
                <w:rFonts w:ascii="맑은 고딕" w:hAnsi="맑은 고딕" w:eastAsia="맑은 고딕"/>
                <w:b w:val="0"/>
                <w:sz w:val="18"/>
              </w:rPr>
              <w:t>$410</w:t>
            </w:r>
          </w:p>
        </w:tc>
        <w:tc>
          <w:tcPr>
            <w:tcW w:type="dxa" w:w="2484"/>
          </w:tcPr>
          <w:p>
            <w:pPr>
              <w:spacing w:after="20" w:before="20"/>
              <w:jc w:val="right"/>
            </w:pPr>
            <w:r/>
            <w:r>
              <w:rPr>
                <w:rFonts w:ascii="맑은 고딕" w:hAnsi="맑은 고딕" w:eastAsia="맑은 고딕"/>
                <w:b w:val="0"/>
                <w:sz w:val="18"/>
              </w:rPr>
              <w:t>시가총액</w:t>
            </w:r>
          </w:p>
        </w:tc>
        <w:tc>
          <w:tcPr>
            <w:tcW w:type="dxa" w:w="2484"/>
          </w:tcPr>
          <w:p>
            <w:pPr>
              <w:spacing w:after="20" w:before="20"/>
              <w:jc w:val="right"/>
            </w:pPr>
            <w:r/>
            <w:r>
              <w:rPr>
                <w:rFonts w:ascii="맑은 고딕" w:hAnsi="맑은 고딕" w:eastAsia="맑은 고딕"/>
                <w:b w:val="0"/>
                <w:sz w:val="18"/>
              </w:rPr>
              <w:t>약 $4.34조</w:t>
            </w:r>
          </w:p>
        </w:tc>
      </w:tr>
      <w:tr>
        <w:tc>
          <w:tcPr>
            <w:tcW w:type="dxa" w:w="2484"/>
          </w:tcPr>
          <w:p>
            <w:pPr>
              <w:spacing w:after="20" w:before="20"/>
              <w:jc w:val="left"/>
            </w:pPr>
            <w:r/>
            <w:r>
              <w:rPr>
                <w:rFonts w:ascii="맑은 고딕" w:hAnsi="맑은 고딕" w:eastAsia="맑은 고딕"/>
                <w:b w:val="0"/>
                <w:sz w:val="18"/>
              </w:rPr>
              <w:t>희석주식수</w:t>
            </w:r>
          </w:p>
        </w:tc>
        <w:tc>
          <w:tcPr>
            <w:tcW w:type="dxa" w:w="2484"/>
          </w:tcPr>
          <w:p>
            <w:pPr>
              <w:spacing w:after="20" w:before="20"/>
              <w:jc w:val="right"/>
            </w:pPr>
            <w:r/>
            <w:r>
              <w:rPr>
                <w:rFonts w:ascii="맑은 고딕" w:hAnsi="맑은 고딕" w:eastAsia="맑은 고딕"/>
                <w:b w:val="0"/>
                <w:sz w:val="18"/>
              </w:rPr>
              <w:t>12,230백만주</w:t>
            </w:r>
          </w:p>
        </w:tc>
        <w:tc>
          <w:tcPr>
            <w:tcW w:type="dxa" w:w="2484"/>
          </w:tcPr>
          <w:p>
            <w:pPr>
              <w:spacing w:after="20" w:before="20"/>
              <w:jc w:val="right"/>
            </w:pPr>
            <w:r/>
            <w:r>
              <w:rPr>
                <w:rFonts w:ascii="맑은 고딕" w:hAnsi="맑은 고딕" w:eastAsia="맑은 고딕"/>
                <w:b w:val="0"/>
                <w:sz w:val="18"/>
              </w:rPr>
              <w:t>순현금 (FY2025)</w:t>
            </w:r>
          </w:p>
        </w:tc>
        <w:tc>
          <w:tcPr>
            <w:tcW w:type="dxa" w:w="2484"/>
          </w:tcPr>
          <w:p>
            <w:pPr>
              <w:spacing w:after="20" w:before="20"/>
              <w:jc w:val="right"/>
            </w:pPr>
            <w:r/>
            <w:r>
              <w:rPr>
                <w:rFonts w:ascii="맑은 고딕" w:hAnsi="맑은 고딕" w:eastAsia="맑은 고딕"/>
                <w:b w:val="0"/>
                <w:sz w:val="18"/>
              </w:rPr>
              <w:t>$77.4B</w:t>
            </w:r>
          </w:p>
        </w:tc>
      </w:tr>
      <w:tr>
        <w:tc>
          <w:tcPr>
            <w:tcW w:type="dxa" w:w="2484"/>
          </w:tcPr>
          <w:p>
            <w:pPr>
              <w:spacing w:after="20" w:before="20"/>
              <w:jc w:val="left"/>
            </w:pPr>
            <w:r/>
            <w:r>
              <w:rPr>
                <w:rFonts w:ascii="맑은 고딕" w:hAnsi="맑은 고딕" w:eastAsia="맑은 고딕"/>
                <w:b w:val="0"/>
                <w:sz w:val="18"/>
              </w:rPr>
              <w:t>산출방법</w:t>
            </w:r>
          </w:p>
        </w:tc>
        <w:tc>
          <w:tcPr>
            <w:tcW w:type="dxa" w:w="2484"/>
          </w:tcPr>
          <w:p>
            <w:pPr>
              <w:spacing w:after="20" w:before="20"/>
              <w:jc w:val="right"/>
            </w:pPr>
            <w:r/>
            <w:r>
              <w:rPr>
                <w:rFonts w:ascii="맑은 고딕" w:hAnsi="맑은 고딕" w:eastAsia="맑은 고딕"/>
                <w:b w:val="0"/>
                <w:sz w:val="18"/>
              </w:rPr>
              <w:t>DCF 55% + Comps 45%</w:t>
            </w:r>
          </w:p>
        </w:tc>
        <w:tc>
          <w:tcPr>
            <w:tcW w:type="dxa" w:w="2484"/>
          </w:tcPr>
          <w:p>
            <w:pPr>
              <w:spacing w:after="20" w:before="20"/>
              <w:jc w:val="right"/>
            </w:pPr>
            <w:r/>
            <w:r>
              <w:rPr>
                <w:rFonts w:ascii="맑은 고딕" w:hAnsi="맑은 고딕" w:eastAsia="맑은 고딕"/>
                <w:b w:val="0"/>
                <w:sz w:val="18"/>
              </w:rPr>
              <w:t>회계연도</w:t>
            </w:r>
          </w:p>
        </w:tc>
        <w:tc>
          <w:tcPr>
            <w:tcW w:type="dxa" w:w="2484"/>
          </w:tcPr>
          <w:p>
            <w:pPr>
              <w:spacing w:after="20" w:before="20"/>
              <w:jc w:val="right"/>
            </w:pPr>
            <w:r/>
            <w:r>
              <w:rPr>
                <w:rFonts w:ascii="맑은 고딕" w:hAnsi="맑은 고딕" w:eastAsia="맑은 고딕"/>
                <w:b w:val="0"/>
                <w:sz w:val="18"/>
              </w:rPr>
              <w:t>역년 (12월 결산)</w:t>
            </w:r>
          </w:p>
        </w:tc>
      </w:tr>
    </w:tbl>
    <w:p>
      <w:pPr>
        <w:spacing w:after="40"/>
      </w:pPr>
    </w:p>
    <w:p>
      <w:pPr>
        <w:spacing w:after="80"/>
      </w:pPr>
      <w:r>
        <w:rPr>
          <w:rFonts w:ascii="맑은 고딕" w:hAnsi="맑은 고딕" w:eastAsia="맑은 고딕"/>
          <w:i/>
          <w:color w:val="595959"/>
          <w:sz w:val="16"/>
        </w:rPr>
        <w:t>AI 투자위원회 워크플로우로 작성된 교육용 리서치입니다. 투자 자문이 아닙니다.</w:t>
      </w:r>
    </w:p>
    <w:p>
      <w:pPr>
        <w:spacing w:after="160"/>
      </w:pPr>
      <w:r>
        <w:rPr>
          <w:rFonts w:ascii="맑은 고딕" w:hAnsi="맑은 고딕" w:eastAsia="맑은 고딕"/>
          <w:i/>
          <w:color w:val="C0392B"/>
          <w:sz w:val="17"/>
        </w:rPr>
        <w:t>※ 본 모델의 목표주가는 셀사이드 컨센서스(약 $410)와 큰 차이가 있습니다. 가정(WACC·영구성장률·설비투자)의 차이에서 비롯되므로 밸류에이션 섹션의 민감도·역산 분석을 반드시 함께 확인하십시오.</w:t>
      </w:r>
    </w:p>
    <w:p>
      <w:pPr>
        <w:jc w:val="center"/>
      </w:pPr>
      <w:r>
        <w:drawing>
          <wp:inline xmlns:a="http://schemas.openxmlformats.org/drawingml/2006/main" xmlns:pic="http://schemas.openxmlformats.org/drawingml/2006/picture">
            <wp:extent cx="5669280" cy="2935469"/>
            <wp:docPr id="1" name="Picture 1"/>
            <wp:cNvGraphicFramePr>
              <a:graphicFrameLocks noChangeAspect="1"/>
            </wp:cNvGraphicFramePr>
            <a:graphic>
              <a:graphicData uri="http://schemas.openxmlformats.org/drawingml/2006/picture">
                <pic:pic>
                  <pic:nvPicPr>
                    <pic:cNvPr id="0" name="chart_01_stock_price.png"/>
                    <pic:cNvPicPr/>
                  </pic:nvPicPr>
                  <pic:blipFill>
                    <a:blip r:embed="rId9"/>
                    <a:stretch>
                      <a:fillRect/>
                    </a:stretch>
                  </pic:blipFill>
                  <pic:spPr>
                    <a:xfrm>
                      <a:off x="0" y="0"/>
                      <a:ext cx="5669280" cy="2935469"/>
                    </a:xfrm>
                    <a:prstGeom prst="rect"/>
                  </pic:spPr>
                </pic:pic>
              </a:graphicData>
            </a:graphic>
          </wp:inline>
        </w:drawing>
      </w:r>
    </w:p>
    <w:p>
      <w:pPr>
        <w:spacing w:after="200"/>
      </w:pPr>
      <w:r>
        <w:rPr>
          <w:rFonts w:ascii="맑은 고딕" w:hAnsi="맑은 고딕" w:eastAsia="맑은 고딕"/>
          <w:i/>
          <w:color w:val="595959"/>
          <w:sz w:val="16"/>
        </w:rPr>
        <w:t>그림 1 — GOOGL 주가(최근 24개월). 자료: 시장 데이터.</w:t>
      </w:r>
    </w:p>
    <w:p>
      <w:pPr>
        <w:spacing w:after="120"/>
      </w:pPr>
      <w:r>
        <w:rPr>
          <w:rFonts w:ascii="맑은 고딕" w:hAnsi="맑은 고딕" w:eastAsia="맑은 고딕"/>
          <w:b/>
          <w:color w:val="4285F4"/>
          <w:sz w:val="21"/>
        </w:rPr>
        <w:t xml:space="preserve">■ </w:t>
      </w:r>
      <w:r>
        <w:rPr>
          <w:rFonts w:ascii="맑은 고딕" w:hAnsi="맑은 고딕" w:eastAsia="맑은 고딕"/>
          <w:b/>
          <w:sz w:val="21"/>
        </w:rPr>
        <w:t xml:space="preserve">검색 해자는 훼손되지 않았다 </w:t>
      </w:r>
      <w:r>
        <w:rPr>
          <w:rFonts w:ascii="맑은 고딕" w:hAnsi="맑은 고딕" w:eastAsia="맑은 고딕"/>
          <w:sz w:val="21"/>
        </w:rPr>
        <w:t>FY2025 구글서치·기타 매출은 2,236억 달러로 전사 매출 4,028억 달러의 55.5%를 차지하며 여전히 이익의 압도적 원천이다. 생성형 AI 챗봇의 부상이 검색 질의량을 잠식할 것이라는 2023~2024년의 공포와 달리, 구글은 AI Overviews와 AI Mode를 검색 결과 상단에 통합하면서 질의당 광고 수익화율을 유지했다. 안드로이드와 크롬이라는 두 개의 자체 유통 채널, 30억 명 이상의 사용자 기반, 20년 이상 축적된 클릭 로그는 신규 진입자가 자본만으로 복제할 수 없는 자산이다. 우리는 검색 사업의 구조적 붕괴를 전제하지 않으며, 오히려 FY2026~FY2030 검색 매출이 연평균 두 자릿수 초중반 성장을 이어갈 것으로 본다.</w:t>
      </w:r>
    </w:p>
    <w:p>
      <w:pPr>
        <w:spacing w:after="120"/>
      </w:pPr>
      <w:r>
        <w:rPr>
          <w:rFonts w:ascii="맑은 고딕" w:hAnsi="맑은 고딕" w:eastAsia="맑은 고딕"/>
          <w:b/>
          <w:color w:val="4285F4"/>
          <w:sz w:val="21"/>
        </w:rPr>
        <w:t xml:space="preserve">■ </w:t>
      </w:r>
      <w:r>
        <w:rPr>
          <w:rFonts w:ascii="맑은 고딕" w:hAnsi="맑은 고딕" w:eastAsia="맑은 고딕"/>
          <w:b/>
          <w:sz w:val="21"/>
        </w:rPr>
        <w:t xml:space="preserve">클라우드와 TPU가 두 번째 성장 엔진을 완성했다 </w:t>
      </w:r>
      <w:r>
        <w:rPr>
          <w:rFonts w:ascii="맑은 고딕" w:hAnsi="맑은 고딕" w:eastAsia="맑은 고딕"/>
          <w:sz w:val="21"/>
        </w:rPr>
        <w:t>FY2025 구글클라우드 매출은 572억 달러로 전사 매출의 14.2%를 차지했고, 전사 영업이익률은 32.0%까지 상승했다. 자체 설계 TPU는 엔비디아 GPU 대비 추론 단위원가를 낮추면서 제미나이 모델 학습과 외부 고객 판매를 동시에 지탱하는 수직계열화 자산으로 기능한다. 클라우드는 이미 흑자 전환을 넘어 마진 확대 국면에 진입했으며, FY2030E 전사 영업이익률 35.2% 전망의 핵심 근거다. 반도체 설계, 데이터센터, 모델, 애플리케이션을 모두 보유한 사업자는 전 세계에서 극소수이며 알파벳은 그중 하나다.</w:t>
      </w:r>
    </w:p>
    <w:p>
      <w:pPr>
        <w:spacing w:after="120"/>
      </w:pPr>
      <w:r>
        <w:rPr>
          <w:rFonts w:ascii="맑은 고딕" w:hAnsi="맑은 고딕" w:eastAsia="맑은 고딕"/>
          <w:b/>
          <w:color w:val="4285F4"/>
          <w:sz w:val="21"/>
        </w:rPr>
        <w:t xml:space="preserve">■ </w:t>
      </w:r>
      <w:r>
        <w:rPr>
          <w:rFonts w:ascii="맑은 고딕" w:hAnsi="맑은 고딕" w:eastAsia="맑은 고딕"/>
          <w:b/>
          <w:sz w:val="21"/>
        </w:rPr>
        <w:t xml:space="preserve">설비투자 부담이 잉여현금흐름을 구조적으로 압박한다 </w:t>
      </w:r>
      <w:r>
        <w:rPr>
          <w:rFonts w:ascii="맑은 고딕" w:hAnsi="맑은 고딕" w:eastAsia="맑은 고딕"/>
          <w:sz w:val="21"/>
        </w:rPr>
        <w:t>FY2025 설비투자는 914억 달러로 매출 대비 22.7%에 달했고, 그 결과 FCF는 733억 달러에 그쳐 순이익 1,322억 달러 대비 현저히 낮았다. 우리는 FY2026E 설비투자를 매출 대비 17%, FY2030E에는 13.5%로 점진 하향한다고 가정했으나, 이 가정 자체가 낙관적일 수 있다. AI 인프라 경쟁이 지속되면 감가상각비가 향후 3~5년에 걸쳐 누적되며 영업이익률 개선 속도를 늦춘다. FY2025 순이익에는 지분투자 평가익 약 298억 달러가 포함되어 있어, 정상화 순이익률은 약 28~30% 수준으로 보는 것이 타당하다.</w:t>
      </w:r>
    </w:p>
    <w:p>
      <w:pPr>
        <w:spacing w:after="120"/>
      </w:pPr>
      <w:r>
        <w:rPr>
          <w:rFonts w:ascii="맑은 고딕" w:hAnsi="맑은 고딕" w:eastAsia="맑은 고딕"/>
          <w:b/>
          <w:color w:val="4285F4"/>
          <w:sz w:val="21"/>
        </w:rPr>
        <w:t xml:space="preserve">■ </w:t>
      </w:r>
      <w:r>
        <w:rPr>
          <w:rFonts w:ascii="맑은 고딕" w:hAnsi="맑은 고딕" w:eastAsia="맑은 고딕"/>
          <w:b/>
          <w:sz w:val="21"/>
        </w:rPr>
        <w:t xml:space="preserve">목표주가 225달러, 투자의견 매도 </w:t>
      </w:r>
      <w:r>
        <w:rPr>
          <w:rFonts w:ascii="맑은 고딕" w:hAnsi="맑은 고딕" w:eastAsia="맑은 고딕"/>
          <w:sz w:val="21"/>
        </w:rPr>
        <w:t>현재가 354.46달러는 우리 목표주가 225달러 대비 36.5%의 하락 여지를 시사한다. 목표주가는 DCF 193달러에 55%, 상대가치 265달러에 45%를 가중해 산출했으며, DCF는 WACC 9.42%와 영구성장률 3.0%를 적용했다. 현재 주가를 정당화하려면 영구성장률 6.26% 또는 WACC 6.54%가 필요한데, 두 값 모두 미국 명목 GDP 성장률과 현행 금리 환경에 비추어 지지하기 어렵다. 셀사이드 컨센서스 목표주가 약 410달러와의 괴리는 우리가 사업의 질을 낮게 보기 때문이 아니라, 동일한 성장 전망에 훨씬 보수적인 배수를 적용하기 때문이다.</w:t>
      </w:r>
    </w:p>
    <w:p>
      <w:pPr>
        <w:spacing w:before="160" w:after="80"/>
      </w:pPr>
      <w:r>
        <w:rPr>
          <w:rFonts w:ascii="맑은 고딕" w:hAnsi="맑은 고딕" w:eastAsia="맑은 고딕"/>
          <w:b/>
          <w:color w:val="1A1A1A"/>
          <w:sz w:val="25"/>
        </w:rPr>
        <w:t>재무 요약</w:t>
      </w:r>
    </w:p>
    <w:tbl>
      <w:tblPr>
        <w:tblStyle w:val="LightGrid-Accent1"/>
        <w:tblW w:type="auto" w:w="0"/>
        <w:tblLayout w:type="autofit"/>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shd w:fill="1F3864"/>
          </w:tcPr>
          <w:p>
            <w:pPr>
              <w:spacing w:after="20" w:before="20"/>
              <w:jc w:val="left"/>
            </w:pPr>
            <w:r/>
            <w:r>
              <w:rPr>
                <w:rFonts w:ascii="맑은 고딕" w:hAnsi="맑은 고딕" w:eastAsia="맑은 고딕"/>
                <w:b/>
                <w:color w:val="FFFFFF"/>
                <w:sz w:val="15"/>
              </w:rPr>
              <w:t>$B (달리 표기 없으면)</w:t>
            </w:r>
          </w:p>
        </w:tc>
        <w:tc>
          <w:tcPr>
            <w:tcW w:type="dxa" w:w="994"/>
            <w:shd w:fill="1F3864"/>
          </w:tcPr>
          <w:p>
            <w:pPr>
              <w:spacing w:after="20" w:before="20"/>
              <w:jc w:val="right"/>
            </w:pPr>
            <w:r/>
            <w:r>
              <w:rPr>
                <w:rFonts w:ascii="맑은 고딕" w:hAnsi="맑은 고딕" w:eastAsia="맑은 고딕"/>
                <w:b/>
                <w:color w:val="FFFFFF"/>
                <w:sz w:val="15"/>
              </w:rPr>
              <w:t>FY22</w:t>
            </w:r>
          </w:p>
        </w:tc>
        <w:tc>
          <w:tcPr>
            <w:tcW w:type="dxa" w:w="994"/>
            <w:shd w:fill="1F3864"/>
          </w:tcPr>
          <w:p>
            <w:pPr>
              <w:spacing w:after="20" w:before="20"/>
              <w:jc w:val="right"/>
            </w:pPr>
            <w:r/>
            <w:r>
              <w:rPr>
                <w:rFonts w:ascii="맑은 고딕" w:hAnsi="맑은 고딕" w:eastAsia="맑은 고딕"/>
                <w:b/>
                <w:color w:val="FFFFFF"/>
                <w:sz w:val="15"/>
              </w:rPr>
              <w:t>FY23</w:t>
            </w:r>
          </w:p>
        </w:tc>
        <w:tc>
          <w:tcPr>
            <w:tcW w:type="dxa" w:w="994"/>
            <w:shd w:fill="1F3864"/>
          </w:tcPr>
          <w:p>
            <w:pPr>
              <w:spacing w:after="20" w:before="20"/>
              <w:jc w:val="right"/>
            </w:pPr>
            <w:r/>
            <w:r>
              <w:rPr>
                <w:rFonts w:ascii="맑은 고딕" w:hAnsi="맑은 고딕" w:eastAsia="맑은 고딕"/>
                <w:b/>
                <w:color w:val="FFFFFF"/>
                <w:sz w:val="15"/>
              </w:rPr>
              <w:t>FY24</w:t>
            </w:r>
          </w:p>
        </w:tc>
        <w:tc>
          <w:tcPr>
            <w:tcW w:type="dxa" w:w="994"/>
            <w:shd w:fill="1F3864"/>
          </w:tcPr>
          <w:p>
            <w:pPr>
              <w:spacing w:after="20" w:before="20"/>
              <w:jc w:val="right"/>
            </w:pPr>
            <w:r/>
            <w:r>
              <w:rPr>
                <w:rFonts w:ascii="맑은 고딕" w:hAnsi="맑은 고딕" w:eastAsia="맑은 고딕"/>
                <w:b/>
                <w:color w:val="FFFFFF"/>
                <w:sz w:val="15"/>
              </w:rPr>
              <w:t>FY25</w:t>
            </w:r>
          </w:p>
        </w:tc>
        <w:tc>
          <w:tcPr>
            <w:tcW w:type="dxa" w:w="994"/>
            <w:shd w:fill="1F3864"/>
          </w:tcPr>
          <w:p>
            <w:pPr>
              <w:spacing w:after="20" w:before="20"/>
              <w:jc w:val="right"/>
            </w:pPr>
            <w:r/>
            <w:r>
              <w:rPr>
                <w:rFonts w:ascii="맑은 고딕" w:hAnsi="맑은 고딕" w:eastAsia="맑은 고딕"/>
                <w:b/>
                <w:color w:val="FFFFFF"/>
                <w:sz w:val="15"/>
              </w:rPr>
              <w:t>FY26E</w:t>
            </w:r>
          </w:p>
        </w:tc>
        <w:tc>
          <w:tcPr>
            <w:tcW w:type="dxa" w:w="994"/>
            <w:shd w:fill="1F3864"/>
          </w:tcPr>
          <w:p>
            <w:pPr>
              <w:spacing w:after="20" w:before="20"/>
              <w:jc w:val="right"/>
            </w:pPr>
            <w:r/>
            <w:r>
              <w:rPr>
                <w:rFonts w:ascii="맑은 고딕" w:hAnsi="맑은 고딕" w:eastAsia="맑은 고딕"/>
                <w:b/>
                <w:color w:val="FFFFFF"/>
                <w:sz w:val="15"/>
              </w:rPr>
              <w:t>FY27E</w:t>
            </w:r>
          </w:p>
        </w:tc>
        <w:tc>
          <w:tcPr>
            <w:tcW w:type="dxa" w:w="994"/>
            <w:shd w:fill="1F3864"/>
          </w:tcPr>
          <w:p>
            <w:pPr>
              <w:spacing w:after="20" w:before="20"/>
              <w:jc w:val="right"/>
            </w:pPr>
            <w:r/>
            <w:r>
              <w:rPr>
                <w:rFonts w:ascii="맑은 고딕" w:hAnsi="맑은 고딕" w:eastAsia="맑은 고딕"/>
                <w:b/>
                <w:color w:val="FFFFFF"/>
                <w:sz w:val="15"/>
              </w:rPr>
              <w:t>FY28E</w:t>
            </w:r>
          </w:p>
        </w:tc>
        <w:tc>
          <w:tcPr>
            <w:tcW w:type="dxa" w:w="994"/>
            <w:shd w:fill="1F3864"/>
          </w:tcPr>
          <w:p>
            <w:pPr>
              <w:spacing w:after="20" w:before="20"/>
              <w:jc w:val="right"/>
            </w:pPr>
            <w:r/>
            <w:r>
              <w:rPr>
                <w:rFonts w:ascii="맑은 고딕" w:hAnsi="맑은 고딕" w:eastAsia="맑은 고딕"/>
                <w:b/>
                <w:color w:val="FFFFFF"/>
                <w:sz w:val="15"/>
              </w:rPr>
              <w:t>FY29E</w:t>
            </w:r>
          </w:p>
        </w:tc>
        <w:tc>
          <w:tcPr>
            <w:tcW w:type="dxa" w:w="994"/>
            <w:shd w:fill="1F3864"/>
          </w:tcPr>
          <w:p>
            <w:pPr>
              <w:spacing w:after="20" w:before="20"/>
              <w:jc w:val="right"/>
            </w:pPr>
            <w:r/>
            <w:r>
              <w:rPr>
                <w:rFonts w:ascii="맑은 고딕" w:hAnsi="맑은 고딕" w:eastAsia="맑은 고딕"/>
                <w:b/>
                <w:color w:val="FFFFFF"/>
                <w:sz w:val="15"/>
              </w:rPr>
              <w:t>FY30E</w:t>
            </w:r>
          </w:p>
        </w:tc>
      </w:tr>
      <w:tr>
        <w:tc>
          <w:tcPr>
            <w:tcW w:type="dxa" w:w="994"/>
          </w:tcPr>
          <w:p>
            <w:pPr>
              <w:spacing w:after="20" w:before="20"/>
              <w:jc w:val="left"/>
            </w:pPr>
            <w:r/>
            <w:r>
              <w:rPr>
                <w:rFonts w:ascii="맑은 고딕" w:hAnsi="맑은 고딕" w:eastAsia="맑은 고딕"/>
                <w:b w:val="0"/>
                <w:sz w:val="15"/>
              </w:rPr>
              <w:t>매출</w:t>
            </w:r>
          </w:p>
        </w:tc>
        <w:tc>
          <w:tcPr>
            <w:tcW w:type="dxa" w:w="994"/>
          </w:tcPr>
          <w:p>
            <w:pPr>
              <w:spacing w:after="20" w:before="20"/>
              <w:jc w:val="right"/>
            </w:pPr>
            <w:r/>
            <w:r>
              <w:rPr>
                <w:rFonts w:ascii="맑은 고딕" w:hAnsi="맑은 고딕" w:eastAsia="맑은 고딕"/>
                <w:b w:val="0"/>
                <w:sz w:val="15"/>
              </w:rPr>
              <w:t>282.8</w:t>
            </w:r>
          </w:p>
        </w:tc>
        <w:tc>
          <w:tcPr>
            <w:tcW w:type="dxa" w:w="994"/>
          </w:tcPr>
          <w:p>
            <w:pPr>
              <w:spacing w:after="20" w:before="20"/>
              <w:jc w:val="right"/>
            </w:pPr>
            <w:r/>
            <w:r>
              <w:rPr>
                <w:rFonts w:ascii="맑은 고딕" w:hAnsi="맑은 고딕" w:eastAsia="맑은 고딕"/>
                <w:b w:val="0"/>
                <w:sz w:val="15"/>
              </w:rPr>
              <w:t>307.4</w:t>
            </w:r>
          </w:p>
        </w:tc>
        <w:tc>
          <w:tcPr>
            <w:tcW w:type="dxa" w:w="994"/>
          </w:tcPr>
          <w:p>
            <w:pPr>
              <w:spacing w:after="20" w:before="20"/>
              <w:jc w:val="right"/>
            </w:pPr>
            <w:r/>
            <w:r>
              <w:rPr>
                <w:rFonts w:ascii="맑은 고딕" w:hAnsi="맑은 고딕" w:eastAsia="맑은 고딕"/>
                <w:b w:val="0"/>
                <w:sz w:val="15"/>
              </w:rPr>
              <w:t>350.0</w:t>
            </w:r>
          </w:p>
        </w:tc>
        <w:tc>
          <w:tcPr>
            <w:tcW w:type="dxa" w:w="994"/>
          </w:tcPr>
          <w:p>
            <w:pPr>
              <w:spacing w:after="20" w:before="20"/>
              <w:jc w:val="right"/>
            </w:pPr>
            <w:r/>
            <w:r>
              <w:rPr>
                <w:rFonts w:ascii="맑은 고딕" w:hAnsi="맑은 고딕" w:eastAsia="맑은 고딕"/>
                <w:b w:val="0"/>
                <w:sz w:val="15"/>
              </w:rPr>
              <w:t>402.8</w:t>
            </w:r>
          </w:p>
        </w:tc>
        <w:tc>
          <w:tcPr>
            <w:tcW w:type="dxa" w:w="994"/>
          </w:tcPr>
          <w:p>
            <w:pPr>
              <w:spacing w:after="20" w:before="20"/>
              <w:jc w:val="right"/>
            </w:pPr>
            <w:r/>
            <w:r>
              <w:rPr>
                <w:rFonts w:ascii="맑은 고딕" w:hAnsi="맑은 고딕" w:eastAsia="맑은 고딕"/>
                <w:b w:val="0"/>
                <w:sz w:val="15"/>
              </w:rPr>
              <w:t>483.5</w:t>
            </w:r>
          </w:p>
        </w:tc>
        <w:tc>
          <w:tcPr>
            <w:tcW w:type="dxa" w:w="994"/>
          </w:tcPr>
          <w:p>
            <w:pPr>
              <w:spacing w:after="20" w:before="20"/>
              <w:jc w:val="right"/>
            </w:pPr>
            <w:r/>
            <w:r>
              <w:rPr>
                <w:rFonts w:ascii="맑은 고딕" w:hAnsi="맑은 고딕" w:eastAsia="맑은 고딕"/>
                <w:b w:val="0"/>
                <w:sz w:val="15"/>
              </w:rPr>
              <w:t>567.7</w:t>
            </w:r>
          </w:p>
        </w:tc>
        <w:tc>
          <w:tcPr>
            <w:tcW w:type="dxa" w:w="994"/>
          </w:tcPr>
          <w:p>
            <w:pPr>
              <w:spacing w:after="20" w:before="20"/>
              <w:jc w:val="right"/>
            </w:pPr>
            <w:r/>
            <w:r>
              <w:rPr>
                <w:rFonts w:ascii="맑은 고딕" w:hAnsi="맑은 고딕" w:eastAsia="맑은 고딕"/>
                <w:b w:val="0"/>
                <w:sz w:val="15"/>
              </w:rPr>
              <w:t>653.9</w:t>
            </w:r>
          </w:p>
        </w:tc>
        <w:tc>
          <w:tcPr>
            <w:tcW w:type="dxa" w:w="994"/>
          </w:tcPr>
          <w:p>
            <w:pPr>
              <w:spacing w:after="20" w:before="20"/>
              <w:jc w:val="right"/>
            </w:pPr>
            <w:r/>
            <w:r>
              <w:rPr>
                <w:rFonts w:ascii="맑은 고딕" w:hAnsi="맑은 고딕" w:eastAsia="맑은 고딕"/>
                <w:b w:val="0"/>
                <w:sz w:val="15"/>
              </w:rPr>
              <w:t>738.7</w:t>
            </w:r>
          </w:p>
        </w:tc>
        <w:tc>
          <w:tcPr>
            <w:tcW w:type="dxa" w:w="994"/>
          </w:tcPr>
          <w:p>
            <w:pPr>
              <w:spacing w:after="20" w:before="20"/>
              <w:jc w:val="right"/>
            </w:pPr>
            <w:r/>
            <w:r>
              <w:rPr>
                <w:rFonts w:ascii="맑은 고딕" w:hAnsi="맑은 고딕" w:eastAsia="맑은 고딕"/>
                <w:b w:val="0"/>
                <w:sz w:val="15"/>
              </w:rPr>
              <w:t>823.9</w:t>
            </w:r>
          </w:p>
        </w:tc>
      </w:tr>
      <w:tr>
        <w:tc>
          <w:tcPr>
            <w:tcW w:type="dxa" w:w="994"/>
          </w:tcPr>
          <w:p>
            <w:pPr>
              <w:spacing w:after="20" w:before="20"/>
              <w:jc w:val="left"/>
            </w:pPr>
            <w:r/>
            <w:r>
              <w:rPr>
                <w:rFonts w:ascii="맑은 고딕" w:hAnsi="맑은 고딕" w:eastAsia="맑은 고딕"/>
                <w:b w:val="0"/>
                <w:sz w:val="15"/>
              </w:rPr>
              <w:t xml:space="preserve">  성장률</w:t>
            </w:r>
          </w:p>
        </w:tc>
        <w:tc>
          <w:tcPr>
            <w:tcW w:type="dxa" w:w="994"/>
          </w:tcPr>
          <w:p>
            <w:pPr>
              <w:spacing w:after="20" w:before="20"/>
              <w:jc w:val="right"/>
            </w:pPr>
            <w:r/>
            <w:r>
              <w:rPr>
                <w:rFonts w:ascii="맑은 고딕" w:hAnsi="맑은 고딕" w:eastAsia="맑은 고딕"/>
                <w:b w:val="0"/>
                <w:sz w:val="15"/>
              </w:rPr>
              <w:t>—</w:t>
            </w:r>
          </w:p>
        </w:tc>
        <w:tc>
          <w:tcPr>
            <w:tcW w:type="dxa" w:w="994"/>
          </w:tcPr>
          <w:p>
            <w:pPr>
              <w:spacing w:after="20" w:before="20"/>
              <w:jc w:val="right"/>
            </w:pPr>
            <w:r/>
            <w:r>
              <w:rPr>
                <w:rFonts w:ascii="맑은 고딕" w:hAnsi="맑은 고딕" w:eastAsia="맑은 고딕"/>
                <w:b w:val="0"/>
                <w:sz w:val="15"/>
              </w:rPr>
              <w:t>9%</w:t>
            </w:r>
          </w:p>
        </w:tc>
        <w:tc>
          <w:tcPr>
            <w:tcW w:type="dxa" w:w="994"/>
          </w:tcPr>
          <w:p>
            <w:pPr>
              <w:spacing w:after="20" w:before="20"/>
              <w:jc w:val="right"/>
            </w:pPr>
            <w:r/>
            <w:r>
              <w:rPr>
                <w:rFonts w:ascii="맑은 고딕" w:hAnsi="맑은 고딕" w:eastAsia="맑은 고딕"/>
                <w:b w:val="0"/>
                <w:sz w:val="15"/>
              </w:rPr>
              <w:t>14%</w:t>
            </w:r>
          </w:p>
        </w:tc>
        <w:tc>
          <w:tcPr>
            <w:tcW w:type="dxa" w:w="994"/>
          </w:tcPr>
          <w:p>
            <w:pPr>
              <w:spacing w:after="20" w:before="20"/>
              <w:jc w:val="right"/>
            </w:pPr>
            <w:r/>
            <w:r>
              <w:rPr>
                <w:rFonts w:ascii="맑은 고딕" w:hAnsi="맑은 고딕" w:eastAsia="맑은 고딕"/>
                <w:b w:val="0"/>
                <w:sz w:val="15"/>
              </w:rPr>
              <w:t>15%</w:t>
            </w:r>
          </w:p>
        </w:tc>
        <w:tc>
          <w:tcPr>
            <w:tcW w:type="dxa" w:w="994"/>
          </w:tcPr>
          <w:p>
            <w:pPr>
              <w:spacing w:after="20" w:before="20"/>
              <w:jc w:val="right"/>
            </w:pPr>
            <w:r/>
            <w:r>
              <w:rPr>
                <w:rFonts w:ascii="맑은 고딕" w:hAnsi="맑은 고딕" w:eastAsia="맑은 고딕"/>
                <w:b w:val="0"/>
                <w:sz w:val="15"/>
              </w:rPr>
              <w:t>20%</w:t>
            </w:r>
          </w:p>
        </w:tc>
        <w:tc>
          <w:tcPr>
            <w:tcW w:type="dxa" w:w="994"/>
          </w:tcPr>
          <w:p>
            <w:pPr>
              <w:spacing w:after="20" w:before="20"/>
              <w:jc w:val="right"/>
            </w:pPr>
            <w:r/>
            <w:r>
              <w:rPr>
                <w:rFonts w:ascii="맑은 고딕" w:hAnsi="맑은 고딕" w:eastAsia="맑은 고딕"/>
                <w:b w:val="0"/>
                <w:sz w:val="15"/>
              </w:rPr>
              <w:t>17%</w:t>
            </w:r>
          </w:p>
        </w:tc>
        <w:tc>
          <w:tcPr>
            <w:tcW w:type="dxa" w:w="994"/>
          </w:tcPr>
          <w:p>
            <w:pPr>
              <w:spacing w:after="20" w:before="20"/>
              <w:jc w:val="right"/>
            </w:pPr>
            <w:r/>
            <w:r>
              <w:rPr>
                <w:rFonts w:ascii="맑은 고딕" w:hAnsi="맑은 고딕" w:eastAsia="맑은 고딕"/>
                <w:b w:val="0"/>
                <w:sz w:val="15"/>
              </w:rPr>
              <w:t>15%</w:t>
            </w:r>
          </w:p>
        </w:tc>
        <w:tc>
          <w:tcPr>
            <w:tcW w:type="dxa" w:w="994"/>
          </w:tcPr>
          <w:p>
            <w:pPr>
              <w:spacing w:after="20" w:before="20"/>
              <w:jc w:val="right"/>
            </w:pPr>
            <w:r/>
            <w:r>
              <w:rPr>
                <w:rFonts w:ascii="맑은 고딕" w:hAnsi="맑은 고딕" w:eastAsia="맑은 고딕"/>
                <w:b w:val="0"/>
                <w:sz w:val="15"/>
              </w:rPr>
              <w:t>13%</w:t>
            </w:r>
          </w:p>
        </w:tc>
        <w:tc>
          <w:tcPr>
            <w:tcW w:type="dxa" w:w="994"/>
          </w:tcPr>
          <w:p>
            <w:pPr>
              <w:spacing w:after="20" w:before="20"/>
              <w:jc w:val="right"/>
            </w:pPr>
            <w:r/>
            <w:r>
              <w:rPr>
                <w:rFonts w:ascii="맑은 고딕" w:hAnsi="맑은 고딕" w:eastAsia="맑은 고딕"/>
                <w:b w:val="0"/>
                <w:sz w:val="15"/>
              </w:rPr>
              <w:t>12%</w:t>
            </w:r>
          </w:p>
        </w:tc>
      </w:tr>
      <w:tr>
        <w:tc>
          <w:tcPr>
            <w:tcW w:type="dxa" w:w="994"/>
          </w:tcPr>
          <w:p>
            <w:pPr>
              <w:spacing w:after="20" w:before="20"/>
              <w:jc w:val="left"/>
            </w:pPr>
            <w:r/>
            <w:r>
              <w:rPr>
                <w:rFonts w:ascii="맑은 고딕" w:hAnsi="맑은 고딕" w:eastAsia="맑은 고딕"/>
                <w:b w:val="0"/>
                <w:sz w:val="15"/>
              </w:rPr>
              <w:t>매출총이익</w:t>
            </w:r>
          </w:p>
        </w:tc>
        <w:tc>
          <w:tcPr>
            <w:tcW w:type="dxa" w:w="994"/>
          </w:tcPr>
          <w:p>
            <w:pPr>
              <w:spacing w:after="20" w:before="20"/>
              <w:jc w:val="right"/>
            </w:pPr>
            <w:r/>
            <w:r>
              <w:rPr>
                <w:rFonts w:ascii="맑은 고딕" w:hAnsi="맑은 고딕" w:eastAsia="맑은 고딕"/>
                <w:b w:val="0"/>
                <w:sz w:val="15"/>
              </w:rPr>
              <w:t>156.6</w:t>
            </w:r>
          </w:p>
        </w:tc>
        <w:tc>
          <w:tcPr>
            <w:tcW w:type="dxa" w:w="994"/>
          </w:tcPr>
          <w:p>
            <w:pPr>
              <w:spacing w:after="20" w:before="20"/>
              <w:jc w:val="right"/>
            </w:pPr>
            <w:r/>
            <w:r>
              <w:rPr>
                <w:rFonts w:ascii="맑은 고딕" w:hAnsi="맑은 고딕" w:eastAsia="맑은 고딕"/>
                <w:b w:val="0"/>
                <w:sz w:val="15"/>
              </w:rPr>
              <w:t>174.1</w:t>
            </w:r>
          </w:p>
        </w:tc>
        <w:tc>
          <w:tcPr>
            <w:tcW w:type="dxa" w:w="994"/>
          </w:tcPr>
          <w:p>
            <w:pPr>
              <w:spacing w:after="20" w:before="20"/>
              <w:jc w:val="right"/>
            </w:pPr>
            <w:r/>
            <w:r>
              <w:rPr>
                <w:rFonts w:ascii="맑은 고딕" w:hAnsi="맑은 고딕" w:eastAsia="맑은 고딕"/>
                <w:b w:val="0"/>
                <w:sz w:val="15"/>
              </w:rPr>
              <w:t>203.7</w:t>
            </w:r>
          </w:p>
        </w:tc>
        <w:tc>
          <w:tcPr>
            <w:tcW w:type="dxa" w:w="994"/>
          </w:tcPr>
          <w:p>
            <w:pPr>
              <w:spacing w:after="20" w:before="20"/>
              <w:jc w:val="right"/>
            </w:pPr>
            <w:r/>
            <w:r>
              <w:rPr>
                <w:rFonts w:ascii="맑은 고딕" w:hAnsi="맑은 고딕" w:eastAsia="맑은 고딕"/>
                <w:b w:val="0"/>
                <w:sz w:val="15"/>
              </w:rPr>
              <w:t>240.3</w:t>
            </w:r>
          </w:p>
        </w:tc>
        <w:tc>
          <w:tcPr>
            <w:tcW w:type="dxa" w:w="994"/>
          </w:tcPr>
          <w:p>
            <w:pPr>
              <w:spacing w:after="20" w:before="20"/>
              <w:jc w:val="right"/>
            </w:pPr>
            <w:r/>
            <w:r>
              <w:rPr>
                <w:rFonts w:ascii="맑은 고딕" w:hAnsi="맑은 고딕" w:eastAsia="맑은 고딕"/>
                <w:b w:val="0"/>
                <w:sz w:val="15"/>
              </w:rPr>
              <w:t>285.3</w:t>
            </w:r>
          </w:p>
        </w:tc>
        <w:tc>
          <w:tcPr>
            <w:tcW w:type="dxa" w:w="994"/>
          </w:tcPr>
          <w:p>
            <w:pPr>
              <w:spacing w:after="20" w:before="20"/>
              <w:jc w:val="right"/>
            </w:pPr>
            <w:r/>
            <w:r>
              <w:rPr>
                <w:rFonts w:ascii="맑은 고딕" w:hAnsi="맑은 고딕" w:eastAsia="맑은 고딕"/>
                <w:b w:val="0"/>
                <w:sz w:val="15"/>
              </w:rPr>
              <w:t>336.1</w:t>
            </w:r>
          </w:p>
        </w:tc>
        <w:tc>
          <w:tcPr>
            <w:tcW w:type="dxa" w:w="994"/>
          </w:tcPr>
          <w:p>
            <w:pPr>
              <w:spacing w:after="20" w:before="20"/>
              <w:jc w:val="right"/>
            </w:pPr>
            <w:r/>
            <w:r>
              <w:rPr>
                <w:rFonts w:ascii="맑은 고딕" w:hAnsi="맑은 고딕" w:eastAsia="맑은 고딕"/>
                <w:b w:val="0"/>
                <w:sz w:val="15"/>
              </w:rPr>
              <w:t>388.4</w:t>
            </w:r>
          </w:p>
        </w:tc>
        <w:tc>
          <w:tcPr>
            <w:tcW w:type="dxa" w:w="994"/>
          </w:tcPr>
          <w:p>
            <w:pPr>
              <w:spacing w:after="20" w:before="20"/>
              <w:jc w:val="right"/>
            </w:pPr>
            <w:r/>
            <w:r>
              <w:rPr>
                <w:rFonts w:ascii="맑은 고딕" w:hAnsi="맑은 고딕" w:eastAsia="맑은 고딕"/>
                <w:b w:val="0"/>
                <w:sz w:val="15"/>
              </w:rPr>
              <w:t>439.5</w:t>
            </w:r>
          </w:p>
        </w:tc>
        <w:tc>
          <w:tcPr>
            <w:tcW w:type="dxa" w:w="994"/>
          </w:tcPr>
          <w:p>
            <w:pPr>
              <w:spacing w:after="20" w:before="20"/>
              <w:jc w:val="right"/>
            </w:pPr>
            <w:r/>
            <w:r>
              <w:rPr>
                <w:rFonts w:ascii="맑은 고딕" w:hAnsi="맑은 고딕" w:eastAsia="맑은 고딕"/>
                <w:b w:val="0"/>
                <w:sz w:val="15"/>
              </w:rPr>
              <w:t>491.0</w:t>
            </w:r>
          </w:p>
        </w:tc>
      </w:tr>
      <w:tr>
        <w:tc>
          <w:tcPr>
            <w:tcW w:type="dxa" w:w="994"/>
          </w:tcPr>
          <w:p>
            <w:pPr>
              <w:spacing w:after="20" w:before="20"/>
              <w:jc w:val="left"/>
            </w:pPr>
            <w:r/>
            <w:r>
              <w:rPr>
                <w:rFonts w:ascii="맑은 고딕" w:hAnsi="맑은 고딕" w:eastAsia="맑은 고딕"/>
                <w:b w:val="0"/>
                <w:sz w:val="15"/>
              </w:rPr>
              <w:t>영업이익</w:t>
            </w:r>
          </w:p>
        </w:tc>
        <w:tc>
          <w:tcPr>
            <w:tcW w:type="dxa" w:w="994"/>
          </w:tcPr>
          <w:p>
            <w:pPr>
              <w:spacing w:after="20" w:before="20"/>
              <w:jc w:val="right"/>
            </w:pPr>
            <w:r/>
            <w:r>
              <w:rPr>
                <w:rFonts w:ascii="맑은 고딕" w:hAnsi="맑은 고딕" w:eastAsia="맑은 고딕"/>
                <w:b w:val="0"/>
                <w:sz w:val="15"/>
              </w:rPr>
              <w:t>74.8</w:t>
            </w:r>
          </w:p>
        </w:tc>
        <w:tc>
          <w:tcPr>
            <w:tcW w:type="dxa" w:w="994"/>
          </w:tcPr>
          <w:p>
            <w:pPr>
              <w:spacing w:after="20" w:before="20"/>
              <w:jc w:val="right"/>
            </w:pPr>
            <w:r/>
            <w:r>
              <w:rPr>
                <w:rFonts w:ascii="맑은 고딕" w:hAnsi="맑은 고딕" w:eastAsia="맑은 고딕"/>
                <w:b w:val="0"/>
                <w:sz w:val="15"/>
              </w:rPr>
              <w:t>84.3</w:t>
            </w:r>
          </w:p>
        </w:tc>
        <w:tc>
          <w:tcPr>
            <w:tcW w:type="dxa" w:w="994"/>
          </w:tcPr>
          <w:p>
            <w:pPr>
              <w:spacing w:after="20" w:before="20"/>
              <w:jc w:val="right"/>
            </w:pPr>
            <w:r/>
            <w:r>
              <w:rPr>
                <w:rFonts w:ascii="맑은 고딕" w:hAnsi="맑은 고딕" w:eastAsia="맑은 고딕"/>
                <w:b w:val="0"/>
                <w:sz w:val="15"/>
              </w:rPr>
              <w:t>112.4</w:t>
            </w:r>
          </w:p>
        </w:tc>
        <w:tc>
          <w:tcPr>
            <w:tcW w:type="dxa" w:w="994"/>
          </w:tcPr>
          <w:p>
            <w:pPr>
              <w:spacing w:after="20" w:before="20"/>
              <w:jc w:val="right"/>
            </w:pPr>
            <w:r/>
            <w:r>
              <w:rPr>
                <w:rFonts w:ascii="맑은 고딕" w:hAnsi="맑은 고딕" w:eastAsia="맑은 고딕"/>
                <w:b w:val="0"/>
                <w:sz w:val="15"/>
              </w:rPr>
              <w:t>129.0</w:t>
            </w:r>
          </w:p>
        </w:tc>
        <w:tc>
          <w:tcPr>
            <w:tcW w:type="dxa" w:w="994"/>
          </w:tcPr>
          <w:p>
            <w:pPr>
              <w:spacing w:after="20" w:before="20"/>
              <w:jc w:val="right"/>
            </w:pPr>
            <w:r/>
            <w:r>
              <w:rPr>
                <w:rFonts w:ascii="맑은 고딕" w:hAnsi="맑은 고딕" w:eastAsia="맑은 고딕"/>
                <w:b w:val="0"/>
                <w:sz w:val="15"/>
              </w:rPr>
              <w:t>162.5</w:t>
            </w:r>
          </w:p>
        </w:tc>
        <w:tc>
          <w:tcPr>
            <w:tcW w:type="dxa" w:w="994"/>
          </w:tcPr>
          <w:p>
            <w:pPr>
              <w:spacing w:after="20" w:before="20"/>
              <w:jc w:val="right"/>
            </w:pPr>
            <w:r/>
            <w:r>
              <w:rPr>
                <w:rFonts w:ascii="맑은 고딕" w:hAnsi="맑은 고딕" w:eastAsia="맑은 고딕"/>
                <w:b w:val="0"/>
                <w:sz w:val="15"/>
              </w:rPr>
              <w:t>193.6</w:t>
            </w:r>
          </w:p>
        </w:tc>
        <w:tc>
          <w:tcPr>
            <w:tcW w:type="dxa" w:w="994"/>
          </w:tcPr>
          <w:p>
            <w:pPr>
              <w:spacing w:after="20" w:before="20"/>
              <w:jc w:val="right"/>
            </w:pPr>
            <w:r/>
            <w:r>
              <w:rPr>
                <w:rFonts w:ascii="맑은 고딕" w:hAnsi="맑은 고딕" w:eastAsia="맑은 고딕"/>
                <w:b w:val="0"/>
                <w:sz w:val="15"/>
              </w:rPr>
              <w:t>226.2</w:t>
            </w:r>
          </w:p>
        </w:tc>
        <w:tc>
          <w:tcPr>
            <w:tcW w:type="dxa" w:w="994"/>
          </w:tcPr>
          <w:p>
            <w:pPr>
              <w:spacing w:after="20" w:before="20"/>
              <w:jc w:val="right"/>
            </w:pPr>
            <w:r/>
            <w:r>
              <w:rPr>
                <w:rFonts w:ascii="맑은 고딕" w:hAnsi="맑은 고딕" w:eastAsia="맑은 고딕"/>
                <w:b w:val="0"/>
                <w:sz w:val="15"/>
              </w:rPr>
              <w:t>257.8</w:t>
            </w:r>
          </w:p>
        </w:tc>
        <w:tc>
          <w:tcPr>
            <w:tcW w:type="dxa" w:w="994"/>
          </w:tcPr>
          <w:p>
            <w:pPr>
              <w:spacing w:after="20" w:before="20"/>
              <w:jc w:val="right"/>
            </w:pPr>
            <w:r/>
            <w:r>
              <w:rPr>
                <w:rFonts w:ascii="맑은 고딕" w:hAnsi="맑은 고딕" w:eastAsia="맑은 고딕"/>
                <w:b w:val="0"/>
                <w:sz w:val="15"/>
              </w:rPr>
              <w:t>290.0</w:t>
            </w:r>
          </w:p>
        </w:tc>
      </w:tr>
      <w:tr>
        <w:tc>
          <w:tcPr>
            <w:tcW w:type="dxa" w:w="994"/>
          </w:tcPr>
          <w:p>
            <w:pPr>
              <w:spacing w:after="20" w:before="20"/>
              <w:jc w:val="left"/>
            </w:pPr>
            <w:r/>
            <w:r>
              <w:rPr>
                <w:rFonts w:ascii="맑은 고딕" w:hAnsi="맑은 고딕" w:eastAsia="맑은 고딕"/>
                <w:b w:val="0"/>
                <w:sz w:val="15"/>
              </w:rPr>
              <w:t xml:space="preserve">  영업이익률</w:t>
            </w:r>
          </w:p>
        </w:tc>
        <w:tc>
          <w:tcPr>
            <w:tcW w:type="dxa" w:w="994"/>
          </w:tcPr>
          <w:p>
            <w:pPr>
              <w:spacing w:after="20" w:before="20"/>
              <w:jc w:val="right"/>
            </w:pPr>
            <w:r/>
            <w:r>
              <w:rPr>
                <w:rFonts w:ascii="맑은 고딕" w:hAnsi="맑은 고딕" w:eastAsia="맑은 고딕"/>
                <w:b w:val="0"/>
                <w:sz w:val="15"/>
              </w:rPr>
              <w:t>26%</w:t>
            </w:r>
          </w:p>
        </w:tc>
        <w:tc>
          <w:tcPr>
            <w:tcW w:type="dxa" w:w="994"/>
          </w:tcPr>
          <w:p>
            <w:pPr>
              <w:spacing w:after="20" w:before="20"/>
              <w:jc w:val="right"/>
            </w:pPr>
            <w:r/>
            <w:r>
              <w:rPr>
                <w:rFonts w:ascii="맑은 고딕" w:hAnsi="맑은 고딕" w:eastAsia="맑은 고딕"/>
                <w:b w:val="0"/>
                <w:sz w:val="15"/>
              </w:rPr>
              <w:t>27%</w:t>
            </w:r>
          </w:p>
        </w:tc>
        <w:tc>
          <w:tcPr>
            <w:tcW w:type="dxa" w:w="994"/>
          </w:tcPr>
          <w:p>
            <w:pPr>
              <w:spacing w:after="20" w:before="20"/>
              <w:jc w:val="right"/>
            </w:pPr>
            <w:r/>
            <w:r>
              <w:rPr>
                <w:rFonts w:ascii="맑은 고딕" w:hAnsi="맑은 고딕" w:eastAsia="맑은 고딕"/>
                <w:b w:val="0"/>
                <w:sz w:val="15"/>
              </w:rPr>
              <w:t>32%</w:t>
            </w:r>
          </w:p>
        </w:tc>
        <w:tc>
          <w:tcPr>
            <w:tcW w:type="dxa" w:w="994"/>
          </w:tcPr>
          <w:p>
            <w:pPr>
              <w:spacing w:after="20" w:before="20"/>
              <w:jc w:val="right"/>
            </w:pPr>
            <w:r/>
            <w:r>
              <w:rPr>
                <w:rFonts w:ascii="맑은 고딕" w:hAnsi="맑은 고딕" w:eastAsia="맑은 고딕"/>
                <w:b w:val="0"/>
                <w:sz w:val="15"/>
              </w:rPr>
              <w:t>32%</w:t>
            </w:r>
          </w:p>
        </w:tc>
        <w:tc>
          <w:tcPr>
            <w:tcW w:type="dxa" w:w="994"/>
          </w:tcPr>
          <w:p>
            <w:pPr>
              <w:spacing w:after="20" w:before="20"/>
              <w:jc w:val="right"/>
            </w:pPr>
            <w:r/>
            <w:r>
              <w:rPr>
                <w:rFonts w:ascii="맑은 고딕" w:hAnsi="맑은 고딕" w:eastAsia="맑은 고딕"/>
                <w:b w:val="0"/>
                <w:sz w:val="15"/>
              </w:rPr>
              <w:t>34%</w:t>
            </w:r>
          </w:p>
        </w:tc>
        <w:tc>
          <w:tcPr>
            <w:tcW w:type="dxa" w:w="994"/>
          </w:tcPr>
          <w:p>
            <w:pPr>
              <w:spacing w:after="20" w:before="20"/>
              <w:jc w:val="right"/>
            </w:pPr>
            <w:r/>
            <w:r>
              <w:rPr>
                <w:rFonts w:ascii="맑은 고딕" w:hAnsi="맑은 고딕" w:eastAsia="맑은 고딕"/>
                <w:b w:val="0"/>
                <w:sz w:val="15"/>
              </w:rPr>
              <w:t>34%</w:t>
            </w:r>
          </w:p>
        </w:tc>
        <w:tc>
          <w:tcPr>
            <w:tcW w:type="dxa" w:w="994"/>
          </w:tcPr>
          <w:p>
            <w:pPr>
              <w:spacing w:after="20" w:before="20"/>
              <w:jc w:val="right"/>
            </w:pPr>
            <w:r/>
            <w:r>
              <w:rPr>
                <w:rFonts w:ascii="맑은 고딕" w:hAnsi="맑은 고딕" w:eastAsia="맑은 고딕"/>
                <w:b w:val="0"/>
                <w:sz w:val="15"/>
              </w:rPr>
              <w:t>35%</w:t>
            </w:r>
          </w:p>
        </w:tc>
        <w:tc>
          <w:tcPr>
            <w:tcW w:type="dxa" w:w="994"/>
          </w:tcPr>
          <w:p>
            <w:pPr>
              <w:spacing w:after="20" w:before="20"/>
              <w:jc w:val="right"/>
            </w:pPr>
            <w:r/>
            <w:r>
              <w:rPr>
                <w:rFonts w:ascii="맑은 고딕" w:hAnsi="맑은 고딕" w:eastAsia="맑은 고딕"/>
                <w:b w:val="0"/>
                <w:sz w:val="15"/>
              </w:rPr>
              <w:t>35%</w:t>
            </w:r>
          </w:p>
        </w:tc>
        <w:tc>
          <w:tcPr>
            <w:tcW w:type="dxa" w:w="994"/>
          </w:tcPr>
          <w:p>
            <w:pPr>
              <w:spacing w:after="20" w:before="20"/>
              <w:jc w:val="right"/>
            </w:pPr>
            <w:r/>
            <w:r>
              <w:rPr>
                <w:rFonts w:ascii="맑은 고딕" w:hAnsi="맑은 고딕" w:eastAsia="맑은 고딕"/>
                <w:b w:val="0"/>
                <w:sz w:val="15"/>
              </w:rPr>
              <w:t>35%</w:t>
            </w:r>
          </w:p>
        </w:tc>
      </w:tr>
      <w:tr>
        <w:tc>
          <w:tcPr>
            <w:tcW w:type="dxa" w:w="994"/>
          </w:tcPr>
          <w:p>
            <w:pPr>
              <w:spacing w:after="20" w:before="20"/>
              <w:jc w:val="left"/>
            </w:pPr>
            <w:r/>
            <w:r>
              <w:rPr>
                <w:rFonts w:ascii="맑은 고딕" w:hAnsi="맑은 고딕" w:eastAsia="맑은 고딕"/>
                <w:b w:val="0"/>
                <w:sz w:val="15"/>
              </w:rPr>
              <w:t>EBITDA</w:t>
            </w:r>
          </w:p>
        </w:tc>
        <w:tc>
          <w:tcPr>
            <w:tcW w:type="dxa" w:w="994"/>
          </w:tcPr>
          <w:p>
            <w:pPr>
              <w:spacing w:after="20" w:before="20"/>
              <w:jc w:val="right"/>
            </w:pPr>
            <w:r/>
            <w:r>
              <w:rPr>
                <w:rFonts w:ascii="맑은 고딕" w:hAnsi="맑은 고딕" w:eastAsia="맑은 고딕"/>
                <w:b w:val="0"/>
                <w:sz w:val="15"/>
              </w:rPr>
              <w:t>88.3</w:t>
            </w:r>
          </w:p>
        </w:tc>
        <w:tc>
          <w:tcPr>
            <w:tcW w:type="dxa" w:w="994"/>
          </w:tcPr>
          <w:p>
            <w:pPr>
              <w:spacing w:after="20" w:before="20"/>
              <w:jc w:val="right"/>
            </w:pPr>
            <w:r/>
            <w:r>
              <w:rPr>
                <w:rFonts w:ascii="맑은 고딕" w:hAnsi="맑은 고딕" w:eastAsia="맑은 고딕"/>
                <w:b w:val="0"/>
                <w:sz w:val="15"/>
              </w:rPr>
              <w:t>96.2</w:t>
            </w:r>
          </w:p>
        </w:tc>
        <w:tc>
          <w:tcPr>
            <w:tcW w:type="dxa" w:w="994"/>
          </w:tcPr>
          <w:p>
            <w:pPr>
              <w:spacing w:after="20" w:before="20"/>
              <w:jc w:val="right"/>
            </w:pPr>
            <w:r/>
            <w:r>
              <w:rPr>
                <w:rFonts w:ascii="맑은 고딕" w:hAnsi="맑은 고딕" w:eastAsia="맑은 고딕"/>
                <w:b w:val="0"/>
                <w:sz w:val="15"/>
              </w:rPr>
              <w:t>127.7</w:t>
            </w:r>
          </w:p>
        </w:tc>
        <w:tc>
          <w:tcPr>
            <w:tcW w:type="dxa" w:w="994"/>
          </w:tcPr>
          <w:p>
            <w:pPr>
              <w:spacing w:after="20" w:before="20"/>
              <w:jc w:val="right"/>
            </w:pPr>
            <w:r/>
            <w:r>
              <w:rPr>
                <w:rFonts w:ascii="맑은 고딕" w:hAnsi="맑은 고딕" w:eastAsia="맑은 고딕"/>
                <w:b w:val="0"/>
                <w:sz w:val="15"/>
              </w:rPr>
              <w:t>150.2</w:t>
            </w:r>
          </w:p>
        </w:tc>
        <w:tc>
          <w:tcPr>
            <w:tcW w:type="dxa" w:w="994"/>
          </w:tcPr>
          <w:p>
            <w:pPr>
              <w:spacing w:after="20" w:before="20"/>
              <w:jc w:val="right"/>
            </w:pPr>
            <w:r/>
            <w:r>
              <w:rPr>
                <w:rFonts w:ascii="맑은 고딕" w:hAnsi="맑은 고딕" w:eastAsia="맑은 고딕"/>
                <w:b w:val="0"/>
                <w:sz w:val="15"/>
              </w:rPr>
              <w:t>187.6</w:t>
            </w:r>
          </w:p>
        </w:tc>
        <w:tc>
          <w:tcPr>
            <w:tcW w:type="dxa" w:w="994"/>
          </w:tcPr>
          <w:p>
            <w:pPr>
              <w:spacing w:after="20" w:before="20"/>
              <w:jc w:val="right"/>
            </w:pPr>
            <w:r/>
            <w:r>
              <w:rPr>
                <w:rFonts w:ascii="맑은 고딕" w:hAnsi="맑은 고딕" w:eastAsia="맑은 고딕"/>
                <w:b w:val="0"/>
                <w:sz w:val="15"/>
              </w:rPr>
              <w:t>224.8</w:t>
            </w:r>
          </w:p>
        </w:tc>
        <w:tc>
          <w:tcPr>
            <w:tcW w:type="dxa" w:w="994"/>
          </w:tcPr>
          <w:p>
            <w:pPr>
              <w:spacing w:after="20" w:before="20"/>
              <w:jc w:val="right"/>
            </w:pPr>
            <w:r/>
            <w:r>
              <w:rPr>
                <w:rFonts w:ascii="맑은 고딕" w:hAnsi="맑은 고딕" w:eastAsia="맑은 고딕"/>
                <w:b w:val="0"/>
                <w:sz w:val="15"/>
              </w:rPr>
              <w:t>263.5</w:t>
            </w:r>
          </w:p>
        </w:tc>
        <w:tc>
          <w:tcPr>
            <w:tcW w:type="dxa" w:w="994"/>
          </w:tcPr>
          <w:p>
            <w:pPr>
              <w:spacing w:after="20" w:before="20"/>
              <w:jc w:val="right"/>
            </w:pPr>
            <w:r/>
            <w:r>
              <w:rPr>
                <w:rFonts w:ascii="맑은 고딕" w:hAnsi="맑은 고딕" w:eastAsia="맑은 고딕"/>
                <w:b w:val="0"/>
                <w:sz w:val="15"/>
              </w:rPr>
              <w:t>300.6</w:t>
            </w:r>
          </w:p>
        </w:tc>
        <w:tc>
          <w:tcPr>
            <w:tcW w:type="dxa" w:w="994"/>
          </w:tcPr>
          <w:p>
            <w:pPr>
              <w:spacing w:after="20" w:before="20"/>
              <w:jc w:val="right"/>
            </w:pPr>
            <w:r/>
            <w:r>
              <w:rPr>
                <w:rFonts w:ascii="맑은 고딕" w:hAnsi="맑은 고딕" w:eastAsia="맑은 고딕"/>
                <w:b w:val="0"/>
                <w:sz w:val="15"/>
              </w:rPr>
              <w:t>337.8</w:t>
            </w:r>
          </w:p>
        </w:tc>
      </w:tr>
      <w:tr>
        <w:tc>
          <w:tcPr>
            <w:tcW w:type="dxa" w:w="994"/>
          </w:tcPr>
          <w:p>
            <w:pPr>
              <w:spacing w:after="20" w:before="20"/>
              <w:jc w:val="left"/>
            </w:pPr>
            <w:r/>
            <w:r>
              <w:rPr>
                <w:rFonts w:ascii="맑은 고딕" w:hAnsi="맑은 고딕" w:eastAsia="맑은 고딕"/>
                <w:b w:val="0"/>
                <w:sz w:val="15"/>
              </w:rPr>
              <w:t>당기순이익</w:t>
            </w:r>
          </w:p>
        </w:tc>
        <w:tc>
          <w:tcPr>
            <w:tcW w:type="dxa" w:w="994"/>
          </w:tcPr>
          <w:p>
            <w:pPr>
              <w:spacing w:after="20" w:before="20"/>
              <w:jc w:val="right"/>
            </w:pPr>
            <w:r/>
            <w:r>
              <w:rPr>
                <w:rFonts w:ascii="맑은 고딕" w:hAnsi="맑은 고딕" w:eastAsia="맑은 고딕"/>
                <w:b w:val="0"/>
                <w:sz w:val="15"/>
              </w:rPr>
              <w:t>60.0</w:t>
            </w:r>
          </w:p>
        </w:tc>
        <w:tc>
          <w:tcPr>
            <w:tcW w:type="dxa" w:w="994"/>
          </w:tcPr>
          <w:p>
            <w:pPr>
              <w:spacing w:after="20" w:before="20"/>
              <w:jc w:val="right"/>
            </w:pPr>
            <w:r/>
            <w:r>
              <w:rPr>
                <w:rFonts w:ascii="맑은 고딕" w:hAnsi="맑은 고딕" w:eastAsia="맑은 고딕"/>
                <w:b w:val="0"/>
                <w:sz w:val="15"/>
              </w:rPr>
              <w:t>73.8</w:t>
            </w:r>
          </w:p>
        </w:tc>
        <w:tc>
          <w:tcPr>
            <w:tcW w:type="dxa" w:w="994"/>
          </w:tcPr>
          <w:p>
            <w:pPr>
              <w:spacing w:after="20" w:before="20"/>
              <w:jc w:val="right"/>
            </w:pPr>
            <w:r/>
            <w:r>
              <w:rPr>
                <w:rFonts w:ascii="맑은 고딕" w:hAnsi="맑은 고딕" w:eastAsia="맑은 고딕"/>
                <w:b w:val="0"/>
                <w:sz w:val="15"/>
              </w:rPr>
              <w:t>100.1</w:t>
            </w:r>
          </w:p>
        </w:tc>
        <w:tc>
          <w:tcPr>
            <w:tcW w:type="dxa" w:w="994"/>
          </w:tcPr>
          <w:p>
            <w:pPr>
              <w:spacing w:after="20" w:before="20"/>
              <w:jc w:val="right"/>
            </w:pPr>
            <w:r/>
            <w:r>
              <w:rPr>
                <w:rFonts w:ascii="맑은 고딕" w:hAnsi="맑은 고딕" w:eastAsia="맑은 고딕"/>
                <w:b w:val="0"/>
                <w:sz w:val="15"/>
              </w:rPr>
              <w:t>132.2</w:t>
            </w:r>
          </w:p>
        </w:tc>
        <w:tc>
          <w:tcPr>
            <w:tcW w:type="dxa" w:w="994"/>
          </w:tcPr>
          <w:p>
            <w:pPr>
              <w:spacing w:after="20" w:before="20"/>
              <w:jc w:val="right"/>
            </w:pPr>
            <w:r/>
            <w:r>
              <w:rPr>
                <w:rFonts w:ascii="맑은 고딕" w:hAnsi="맑은 고딕" w:eastAsia="맑은 고딕"/>
                <w:b w:val="0"/>
                <w:sz w:val="15"/>
              </w:rPr>
              <w:t>139.4</w:t>
            </w:r>
          </w:p>
        </w:tc>
        <w:tc>
          <w:tcPr>
            <w:tcW w:type="dxa" w:w="994"/>
          </w:tcPr>
          <w:p>
            <w:pPr>
              <w:spacing w:after="20" w:before="20"/>
              <w:jc w:val="right"/>
            </w:pPr>
            <w:r/>
            <w:r>
              <w:rPr>
                <w:rFonts w:ascii="맑은 고딕" w:hAnsi="맑은 고딕" w:eastAsia="맑은 고딕"/>
                <w:b w:val="0"/>
                <w:sz w:val="15"/>
              </w:rPr>
              <w:t>165.5</w:t>
            </w:r>
          </w:p>
        </w:tc>
        <w:tc>
          <w:tcPr>
            <w:tcW w:type="dxa" w:w="994"/>
          </w:tcPr>
          <w:p>
            <w:pPr>
              <w:spacing w:after="20" w:before="20"/>
              <w:jc w:val="right"/>
            </w:pPr>
            <w:r/>
            <w:r>
              <w:rPr>
                <w:rFonts w:ascii="맑은 고딕" w:hAnsi="맑은 고딕" w:eastAsia="맑은 고딕"/>
                <w:b w:val="0"/>
                <w:sz w:val="15"/>
              </w:rPr>
              <w:t>192.8</w:t>
            </w:r>
          </w:p>
        </w:tc>
        <w:tc>
          <w:tcPr>
            <w:tcW w:type="dxa" w:w="994"/>
          </w:tcPr>
          <w:p>
            <w:pPr>
              <w:spacing w:after="20" w:before="20"/>
              <w:jc w:val="right"/>
            </w:pPr>
            <w:r/>
            <w:r>
              <w:rPr>
                <w:rFonts w:ascii="맑은 고딕" w:hAnsi="맑은 고딕" w:eastAsia="맑은 고딕"/>
                <w:b w:val="0"/>
                <w:sz w:val="15"/>
              </w:rPr>
              <w:t>219.3</w:t>
            </w:r>
          </w:p>
        </w:tc>
        <w:tc>
          <w:tcPr>
            <w:tcW w:type="dxa" w:w="994"/>
          </w:tcPr>
          <w:p>
            <w:pPr>
              <w:spacing w:after="20" w:before="20"/>
              <w:jc w:val="right"/>
            </w:pPr>
            <w:r/>
            <w:r>
              <w:rPr>
                <w:rFonts w:ascii="맑은 고딕" w:hAnsi="맑은 고딕" w:eastAsia="맑은 고딕"/>
                <w:b w:val="0"/>
                <w:sz w:val="15"/>
              </w:rPr>
              <w:t>246.3</w:t>
            </w:r>
          </w:p>
        </w:tc>
      </w:tr>
      <w:tr>
        <w:tc>
          <w:tcPr>
            <w:tcW w:type="dxa" w:w="994"/>
          </w:tcPr>
          <w:p>
            <w:pPr>
              <w:spacing w:after="20" w:before="20"/>
              <w:jc w:val="left"/>
            </w:pPr>
            <w:r/>
            <w:r>
              <w:rPr>
                <w:rFonts w:ascii="맑은 고딕" w:hAnsi="맑은 고딕" w:eastAsia="맑은 고딕"/>
                <w:b w:val="0"/>
                <w:sz w:val="15"/>
              </w:rPr>
              <w:t>희석 EPS ($)</w:t>
            </w:r>
          </w:p>
        </w:tc>
        <w:tc>
          <w:tcPr>
            <w:tcW w:type="dxa" w:w="994"/>
          </w:tcPr>
          <w:p>
            <w:pPr>
              <w:spacing w:after="20" w:before="20"/>
              <w:jc w:val="right"/>
            </w:pPr>
            <w:r/>
            <w:r>
              <w:rPr>
                <w:rFonts w:ascii="맑은 고딕" w:hAnsi="맑은 고딕" w:eastAsia="맑은 고딕"/>
                <w:b w:val="0"/>
                <w:sz w:val="15"/>
              </w:rPr>
              <w:t>4.56</w:t>
            </w:r>
          </w:p>
        </w:tc>
        <w:tc>
          <w:tcPr>
            <w:tcW w:type="dxa" w:w="994"/>
          </w:tcPr>
          <w:p>
            <w:pPr>
              <w:spacing w:after="20" w:before="20"/>
              <w:jc w:val="right"/>
            </w:pPr>
            <w:r/>
            <w:r>
              <w:rPr>
                <w:rFonts w:ascii="맑은 고딕" w:hAnsi="맑은 고딕" w:eastAsia="맑은 고딕"/>
                <w:b w:val="0"/>
                <w:sz w:val="15"/>
              </w:rPr>
              <w:t>5.80</w:t>
            </w:r>
          </w:p>
        </w:tc>
        <w:tc>
          <w:tcPr>
            <w:tcW w:type="dxa" w:w="994"/>
          </w:tcPr>
          <w:p>
            <w:pPr>
              <w:spacing w:after="20" w:before="20"/>
              <w:jc w:val="right"/>
            </w:pPr>
            <w:r/>
            <w:r>
              <w:rPr>
                <w:rFonts w:ascii="맑은 고딕" w:hAnsi="맑은 고딕" w:eastAsia="맑은 고딕"/>
                <w:b w:val="0"/>
                <w:sz w:val="15"/>
              </w:rPr>
              <w:t>8.04</w:t>
            </w:r>
          </w:p>
        </w:tc>
        <w:tc>
          <w:tcPr>
            <w:tcW w:type="dxa" w:w="994"/>
          </w:tcPr>
          <w:p>
            <w:pPr>
              <w:spacing w:after="20" w:before="20"/>
              <w:jc w:val="right"/>
            </w:pPr>
            <w:r/>
            <w:r>
              <w:rPr>
                <w:rFonts w:ascii="맑은 고딕" w:hAnsi="맑은 고딕" w:eastAsia="맑은 고딕"/>
                <w:b w:val="0"/>
                <w:sz w:val="15"/>
              </w:rPr>
              <w:t>10.81</w:t>
            </w:r>
          </w:p>
        </w:tc>
        <w:tc>
          <w:tcPr>
            <w:tcW w:type="dxa" w:w="994"/>
          </w:tcPr>
          <w:p>
            <w:pPr>
              <w:spacing w:after="20" w:before="20"/>
              <w:jc w:val="right"/>
            </w:pPr>
            <w:r/>
            <w:r>
              <w:rPr>
                <w:rFonts w:ascii="맑은 고딕" w:hAnsi="맑은 고딕" w:eastAsia="맑은 고딕"/>
                <w:b w:val="0"/>
                <w:sz w:val="15"/>
              </w:rPr>
              <w:t>11.61</w:t>
            </w:r>
          </w:p>
        </w:tc>
        <w:tc>
          <w:tcPr>
            <w:tcW w:type="dxa" w:w="994"/>
          </w:tcPr>
          <w:p>
            <w:pPr>
              <w:spacing w:after="20" w:before="20"/>
              <w:jc w:val="right"/>
            </w:pPr>
            <w:r/>
            <w:r>
              <w:rPr>
                <w:rFonts w:ascii="맑은 고딕" w:hAnsi="맑은 고딕" w:eastAsia="맑은 고딕"/>
                <w:b w:val="0"/>
                <w:sz w:val="15"/>
              </w:rPr>
              <w:t>14.03</w:t>
            </w:r>
          </w:p>
        </w:tc>
        <w:tc>
          <w:tcPr>
            <w:tcW w:type="dxa" w:w="994"/>
          </w:tcPr>
          <w:p>
            <w:pPr>
              <w:spacing w:after="20" w:before="20"/>
              <w:jc w:val="right"/>
            </w:pPr>
            <w:r/>
            <w:r>
              <w:rPr>
                <w:rFonts w:ascii="맑은 고딕" w:hAnsi="맑은 고딕" w:eastAsia="맑은 고딕"/>
                <w:b w:val="0"/>
                <w:sz w:val="15"/>
              </w:rPr>
              <w:t>16.65</w:t>
            </w:r>
          </w:p>
        </w:tc>
        <w:tc>
          <w:tcPr>
            <w:tcW w:type="dxa" w:w="994"/>
          </w:tcPr>
          <w:p>
            <w:pPr>
              <w:spacing w:after="20" w:before="20"/>
              <w:jc w:val="right"/>
            </w:pPr>
            <w:r/>
            <w:r>
              <w:rPr>
                <w:rFonts w:ascii="맑은 고딕" w:hAnsi="맑은 고딕" w:eastAsia="맑은 고딕"/>
                <w:b w:val="0"/>
                <w:sz w:val="15"/>
              </w:rPr>
              <w:t>19.28</w:t>
            </w:r>
          </w:p>
        </w:tc>
        <w:tc>
          <w:tcPr>
            <w:tcW w:type="dxa" w:w="994"/>
          </w:tcPr>
          <w:p>
            <w:pPr>
              <w:spacing w:after="20" w:before="20"/>
              <w:jc w:val="right"/>
            </w:pPr>
            <w:r/>
            <w:r>
              <w:rPr>
                <w:rFonts w:ascii="맑은 고딕" w:hAnsi="맑은 고딕" w:eastAsia="맑은 고딕"/>
                <w:b w:val="0"/>
                <w:sz w:val="15"/>
              </w:rPr>
              <w:t>22.05</w:t>
            </w:r>
          </w:p>
        </w:tc>
      </w:tr>
      <w:tr>
        <w:tc>
          <w:tcPr>
            <w:tcW w:type="dxa" w:w="994"/>
          </w:tcPr>
          <w:p>
            <w:pPr>
              <w:spacing w:after="20" w:before="20"/>
              <w:jc w:val="left"/>
            </w:pPr>
            <w:r/>
            <w:r>
              <w:rPr>
                <w:rFonts w:ascii="맑은 고딕" w:hAnsi="맑은 고딕" w:eastAsia="맑은 고딕"/>
                <w:b w:val="0"/>
                <w:sz w:val="15"/>
              </w:rPr>
              <w:t>잉여현금흐름</w:t>
            </w:r>
          </w:p>
        </w:tc>
        <w:tc>
          <w:tcPr>
            <w:tcW w:type="dxa" w:w="994"/>
          </w:tcPr>
          <w:p>
            <w:pPr>
              <w:spacing w:after="20" w:before="20"/>
              <w:jc w:val="right"/>
            </w:pPr>
            <w:r/>
            <w:r>
              <w:rPr>
                <w:rFonts w:ascii="맑은 고딕" w:hAnsi="맑은 고딕" w:eastAsia="맑은 고딕"/>
                <w:b w:val="0"/>
                <w:sz w:val="15"/>
              </w:rPr>
              <w:t>60.0</w:t>
            </w:r>
          </w:p>
        </w:tc>
        <w:tc>
          <w:tcPr>
            <w:tcW w:type="dxa" w:w="994"/>
          </w:tcPr>
          <w:p>
            <w:pPr>
              <w:spacing w:after="20" w:before="20"/>
              <w:jc w:val="right"/>
            </w:pPr>
            <w:r/>
            <w:r>
              <w:rPr>
                <w:rFonts w:ascii="맑은 고딕" w:hAnsi="맑은 고딕" w:eastAsia="맑은 고딕"/>
                <w:b w:val="0"/>
                <w:sz w:val="15"/>
              </w:rPr>
              <w:t>69.5</w:t>
            </w:r>
          </w:p>
        </w:tc>
        <w:tc>
          <w:tcPr>
            <w:tcW w:type="dxa" w:w="994"/>
          </w:tcPr>
          <w:p>
            <w:pPr>
              <w:spacing w:after="20" w:before="20"/>
              <w:jc w:val="right"/>
            </w:pPr>
            <w:r/>
            <w:r>
              <w:rPr>
                <w:rFonts w:ascii="맑은 고딕" w:hAnsi="맑은 고딕" w:eastAsia="맑은 고딕"/>
                <w:b w:val="0"/>
                <w:sz w:val="15"/>
              </w:rPr>
              <w:t>72.8</w:t>
            </w:r>
          </w:p>
        </w:tc>
        <w:tc>
          <w:tcPr>
            <w:tcW w:type="dxa" w:w="994"/>
          </w:tcPr>
          <w:p>
            <w:pPr>
              <w:spacing w:after="20" w:before="20"/>
              <w:jc w:val="right"/>
            </w:pPr>
            <w:r/>
            <w:r>
              <w:rPr>
                <w:rFonts w:ascii="맑은 고딕" w:hAnsi="맑은 고딕" w:eastAsia="맑은 고딕"/>
                <w:b w:val="0"/>
                <w:sz w:val="15"/>
              </w:rPr>
              <w:t>73.3</w:t>
            </w:r>
          </w:p>
        </w:tc>
        <w:tc>
          <w:tcPr>
            <w:tcW w:type="dxa" w:w="994"/>
          </w:tcPr>
          <w:p>
            <w:pPr>
              <w:spacing w:after="20" w:before="20"/>
              <w:jc w:val="right"/>
            </w:pPr>
            <w:r/>
            <w:r>
              <w:rPr>
                <w:rFonts w:ascii="맑은 고딕" w:hAnsi="맑은 고딕" w:eastAsia="맑은 고딕"/>
                <w:b w:val="0"/>
                <w:sz w:val="15"/>
              </w:rPr>
              <w:t>99.1</w:t>
            </w:r>
          </w:p>
        </w:tc>
        <w:tc>
          <w:tcPr>
            <w:tcW w:type="dxa" w:w="994"/>
          </w:tcPr>
          <w:p>
            <w:pPr>
              <w:spacing w:after="20" w:before="20"/>
              <w:jc w:val="right"/>
            </w:pPr>
            <w:r/>
            <w:r>
              <w:rPr>
                <w:rFonts w:ascii="맑은 고딕" w:hAnsi="맑은 고딕" w:eastAsia="맑은 고딕"/>
                <w:b w:val="0"/>
                <w:sz w:val="15"/>
              </w:rPr>
              <w:t>126.4</w:t>
            </w:r>
          </w:p>
        </w:tc>
        <w:tc>
          <w:tcPr>
            <w:tcW w:type="dxa" w:w="994"/>
          </w:tcPr>
          <w:p>
            <w:pPr>
              <w:spacing w:after="20" w:before="20"/>
              <w:jc w:val="right"/>
            </w:pPr>
            <w:r/>
            <w:r>
              <w:rPr>
                <w:rFonts w:ascii="맑은 고딕" w:hAnsi="맑은 고딕" w:eastAsia="맑은 고딕"/>
                <w:b w:val="0"/>
                <w:sz w:val="15"/>
              </w:rPr>
              <w:t>156.5</w:t>
            </w:r>
          </w:p>
        </w:tc>
        <w:tc>
          <w:tcPr>
            <w:tcW w:type="dxa" w:w="994"/>
          </w:tcPr>
          <w:p>
            <w:pPr>
              <w:spacing w:after="20" w:before="20"/>
              <w:jc w:val="right"/>
            </w:pPr>
            <w:r/>
            <w:r>
              <w:rPr>
                <w:rFonts w:ascii="맑은 고딕" w:hAnsi="맑은 고딕" w:eastAsia="맑은 고딕"/>
                <w:b w:val="0"/>
                <w:sz w:val="15"/>
              </w:rPr>
              <w:t>187.4</w:t>
            </w:r>
          </w:p>
        </w:tc>
        <w:tc>
          <w:tcPr>
            <w:tcW w:type="dxa" w:w="994"/>
          </w:tcPr>
          <w:p>
            <w:pPr>
              <w:spacing w:after="20" w:before="20"/>
              <w:jc w:val="right"/>
            </w:pPr>
            <w:r/>
            <w:r>
              <w:rPr>
                <w:rFonts w:ascii="맑은 고딕" w:hAnsi="맑은 고딕" w:eastAsia="맑은 고딕"/>
                <w:b w:val="0"/>
                <w:sz w:val="15"/>
              </w:rPr>
              <w:t>215.6</w:t>
            </w:r>
          </w:p>
        </w:tc>
      </w:tr>
    </w:tbl>
    <w:p>
      <w:pPr>
        <w:spacing w:after="40"/>
      </w:pPr>
    </w:p>
    <w:p>
      <w:pPr>
        <w:spacing w:after="200"/>
      </w:pPr>
      <w:r>
        <w:rPr>
          <w:rFonts w:ascii="맑은 고딕" w:hAnsi="맑은 고딕" w:eastAsia="맑은 고딕"/>
          <w:i/>
          <w:color w:val="595959"/>
          <w:sz w:val="16"/>
        </w:rPr>
        <w:t>표 1 — 재무 요약($B). FY22~FY25 실적, FY26E 이후 추정. FY2025 순이익에는 지분투자 평가익 약 $29.8B 포함. 자료: 회사 공시, 모델.</w:t>
      </w:r>
    </w:p>
    <w:p>
      <w:r>
        <w:br w:type="page"/>
      </w:r>
    </w:p>
    <w:p>
      <w:pPr>
        <w:spacing w:before="240" w:after="80"/>
        <w:pBdr>
          <w:bottom w:val="single" w:sz="6" w:space="2" w:color="1F3864"/>
        </w:pBdr>
      </w:pPr>
      <w:r>
        <w:rPr>
          <w:rFonts w:ascii="맑은 고딕" w:hAnsi="맑은 고딕" w:eastAsia="맑은 고딕"/>
          <w:b/>
          <w:color w:val="1F3864"/>
          <w:sz w:val="30"/>
        </w:rPr>
        <w:t>목차</w:t>
      </w:r>
    </w:p>
    <w:p>
      <w:r/>
      <w:fldSimple w:instr="TOC \o &quot;1-2&quot; \h \z \u"/>
    </w:p>
    <w:p>
      <w:pPr>
        <w:spacing w:after="120"/>
      </w:pPr>
      <w:r>
        <w:rPr>
          <w:rFonts w:ascii="맑은 고딕" w:hAnsi="맑은 고딕" w:eastAsia="맑은 고딕"/>
          <w:i/>
          <w:color w:val="595959"/>
          <w:sz w:val="16"/>
        </w:rPr>
        <w:t>(Word에서 목차를 우클릭 → 필드 업데이트 하시면 페이지 번호가 채워집니다.)</w:t>
      </w:r>
    </w:p>
    <w:p>
      <w:r>
        <w:br w:type="page"/>
      </w:r>
    </w:p>
    <w:p>
      <w:pPr>
        <w:spacing w:before="240" w:after="80"/>
        <w:pBdr>
          <w:bottom w:val="single" w:sz="6" w:space="2" w:color="1F3864"/>
        </w:pBdr>
      </w:pPr>
      <w:r>
        <w:rPr>
          <w:rFonts w:ascii="맑은 고딕" w:hAnsi="맑은 고딕" w:eastAsia="맑은 고딕"/>
          <w:b/>
          <w:color w:val="1F3864"/>
          <w:sz w:val="30"/>
        </w:rPr>
        <w:t>투자 논거</w:t>
      </w:r>
    </w:p>
    <w:p>
      <w:pPr>
        <w:spacing w:after="140"/>
      </w:pPr>
      <w:r>
        <w:rPr>
          <w:rFonts w:ascii="맑은 고딕" w:hAnsi="맑은 고딕" w:eastAsia="맑은 고딕"/>
          <w:i w:val="0"/>
          <w:sz w:val="21"/>
        </w:rPr>
        <w:t>투자의견 매도(SELL), 목표주가 225달러를 제시하며 알파벳에 대한 커버리지를 개시한다. 현재가 354.46달러 대비 36.5%의 하락 여지를 반영한 판단이며, 이 결론은 알파벳의 사업 경쟁력에 대한 부정적 평가가 아니라 그 경쟁력이 이미 주가에 과도하게 반영되었다는 밸류에이션 판단에서 출발한다. 알파벳은 FY2025 매출 4,028억 달러, 영업이익 1,290억 달러, 영업이익률 32.0%를 기록했고 순현금 774억 달러를 보유한 세계 최상위 수익성의 플랫폼 기업이다. 문제는 사업이 아니라 가격이다.</w:t>
      </w:r>
    </w:p>
    <w:p>
      <w:pPr>
        <w:spacing w:after="140"/>
      </w:pPr>
      <w:r>
        <w:rPr>
          <w:rFonts w:ascii="맑은 고딕" w:hAnsi="맑은 고딕" w:eastAsia="맑은 고딕"/>
          <w:i w:val="0"/>
          <w:sz w:val="21"/>
        </w:rPr>
        <w:t>첫 번째 논지 축은 검색 해자의 지속성이다. 우리는 생성형 AI가 구글 검색을 대체할 것이라는 시장 일각의 서사에 동의하지 않는다. FY2025 구글서치·기타 매출 2,236억 달러는 전년 대비 견조한 성장을 유지했고, AI Overviews 도입 이후에도 광고 로드와 질의당 수익화가 훼손된 증거는 확인되지 않는다. 안드로이드·크롬의 기본 검색 지위, 30억 명 이상의 사용자 접점, 광고주 20년 축적 데이터는 자본 투입만으로 복제되지 않는다. 다만 검색 사업의 견고함은 이미 컨센서스이며, 여기서 추가로 주가를 밀어 올릴 신규 정보는 제한적이다.</w:t>
      </w:r>
    </w:p>
    <w:p>
      <w:pPr>
        <w:spacing w:after="140"/>
      </w:pPr>
      <w:r>
        <w:rPr>
          <w:rFonts w:ascii="맑은 고딕" w:hAnsi="맑은 고딕" w:eastAsia="맑은 고딕"/>
          <w:i w:val="0"/>
          <w:sz w:val="21"/>
        </w:rPr>
        <w:t>두 번째 논지 축은 클라우드와 자체 실리콘의 수익성 기여다. FY2025 구글클라우드 매출은 572억 달러로 전사의 14.2%를 담당하며 전사 성장률을 상회했고, TPU 기반 수직계열화는 학습·추론 단위원가를 구조적으로 낮춘다. 우리 모델은 클라우드가 FY2030E까지 전사 성장의 최대 기여 세그먼트가 되고, 전사 영업이익률이 FY2025 32.0%에서 FY2030E 35.2%로 320bp 개선된다고 가정한다. 이는 결코 보수적이지 않은 전망이며, 우리 목표주가는 이 낙관적 마진 경로를 이미 수용한 결과다.</w:t>
      </w:r>
    </w:p>
    <w:p>
      <w:pPr>
        <w:spacing w:after="140"/>
      </w:pPr>
      <w:r>
        <w:rPr>
          <w:rFonts w:ascii="맑은 고딕" w:hAnsi="맑은 고딕" w:eastAsia="맑은 고딕"/>
          <w:i w:val="0"/>
          <w:sz w:val="21"/>
        </w:rPr>
        <w:t>세 번째 논지 축은 자본집약도의 구조적 상승이다. FY2025 설비투자는 914억 달러, 매출 대비 22.7%로 과거 10년 평균을 크게 상회했다. 그 결과 FCF는 733억 달러에 머물러 순이익 1,322억 달러의 55% 수준에 그쳤다. 우리는 설비투자 비율이 FY2026E 17%, FY2030E 13.5%로 정상화된다고 가정해 FCF가 FY2026E 1,051억 달러, FY2030E 2,219억 달러로 확대되는 경로를 그렸으나, AI 인프라 군비경쟁이 지속될 경우 이 정상화 자체가 지연될 위험이 있다. 감가상각비 누적은 향후 3~5년간 영업이익률 개선의 역풍으로 작용한다.</w:t>
      </w:r>
    </w:p>
    <w:p>
      <w:pPr>
        <w:spacing w:after="140"/>
      </w:pPr>
      <w:r>
        <w:rPr>
          <w:rFonts w:ascii="맑은 고딕" w:hAnsi="맑은 고딕" w:eastAsia="맑은 고딕"/>
          <w:i w:val="0"/>
          <w:sz w:val="21"/>
        </w:rPr>
        <w:t>네 번째 논지 축이자 결론은 밸류에이션이다. 알파벳은 선행 P/E 25.3배, EV/EBITDA 18.9배에 거래되고 있으며 이는 피어 중앙값 17.9배와 14.8배를 각각 41%, 28% 상회한다. FY2025 순이익 1,322억 달러에는 지분투자 평가익 약 298억 달러가 포함되어 있어 정상화 이익 기준 배수는 표면 수치보다 높다. DCF 상 현재가를 정당화하려면 영구성장률 6.26% 또는 WACC 6.54%가 필요한데, 전자는 미국 명목 GDP 성장률을 항구적으로 상회한다는 가정이고 후자는 무위험수익률과 주식위험프리미엄을 동시에 부정하는 수준이다.</w:t>
      </w:r>
    </w:p>
    <w:p>
      <w:pPr>
        <w:spacing w:after="140"/>
      </w:pPr>
      <w:r>
        <w:rPr>
          <w:rFonts w:ascii="맑은 고딕" w:hAnsi="맑은 고딕" w:eastAsia="맑은 고딕"/>
          <w:i w:val="0"/>
          <w:sz w:val="21"/>
        </w:rPr>
        <w:t>우리 목표주가 225달러는 DCF 193달러에 55%, 상대가치 265달러에 45%를 가중해 산출했다. 셀사이드 컨센서스 목표주가 약 410달러와의 괴리는 82%에 달하며 이를 숨길 의도는 없다. 괴리의 원인은 실적 전망 차이가 아니라 배수 차이다. 우리 FY2027E 희석 EPS 14.03달러는 컨센서스와 크게 다르지 않으나, 시장이 적용하는 25~29배 대신 우리는 정상화 이익 대비 18~20배가 적정하다고 본다. 훌륭한 사업과 훌륭한 투자는 다른 개념이며, 현재 알파벳은 전자이되 후자는 아니다.</w:t>
      </w:r>
    </w:p>
    <w:p>
      <w:pPr>
        <w:jc w:val="center"/>
      </w:pPr>
      <w:r>
        <w:drawing>
          <wp:inline xmlns:a="http://schemas.openxmlformats.org/drawingml/2006/main" xmlns:pic="http://schemas.openxmlformats.org/drawingml/2006/picture">
            <wp:extent cx="5486400" cy="2840777"/>
            <wp:docPr id="2" name="Picture 2"/>
            <wp:cNvGraphicFramePr>
              <a:graphicFrameLocks noChangeAspect="1"/>
            </wp:cNvGraphicFramePr>
            <a:graphic>
              <a:graphicData uri="http://schemas.openxmlformats.org/drawingml/2006/picture">
                <pic:pic>
                  <pic:nvPicPr>
                    <pic:cNvPr id="0" name="chart_02_revenue.png"/>
                    <pic:cNvPicPr/>
                  </pic:nvPicPr>
                  <pic:blipFill>
                    <a:blip r:embed="rId10"/>
                    <a:stretch>
                      <a:fillRect/>
                    </a:stretch>
                  </pic:blipFill>
                  <pic:spPr>
                    <a:xfrm>
                      <a:off x="0" y="0"/>
                      <a:ext cx="5486400" cy="2840777"/>
                    </a:xfrm>
                    <a:prstGeom prst="rect"/>
                  </pic:spPr>
                </pic:pic>
              </a:graphicData>
            </a:graphic>
          </wp:inline>
        </w:drawing>
      </w:r>
    </w:p>
    <w:p>
      <w:pPr>
        <w:spacing w:after="200"/>
      </w:pPr>
      <w:r>
        <w:rPr>
          <w:rFonts w:ascii="맑은 고딕" w:hAnsi="맑은 고딕" w:eastAsia="맑은 고딕"/>
          <w:i/>
          <w:color w:val="595959"/>
          <w:sz w:val="16"/>
        </w:rPr>
        <w:t>그림 2 — 매출 추이 FY2022–FY2030E. 자료: 모델.</w:t>
      </w:r>
    </w:p>
    <w:p>
      <w:pPr>
        <w:spacing w:before="240" w:after="80"/>
        <w:pBdr>
          <w:bottom w:val="single" w:sz="6" w:space="2" w:color="1F3864"/>
        </w:pBdr>
      </w:pPr>
      <w:r>
        <w:rPr>
          <w:rFonts w:ascii="맑은 고딕" w:hAnsi="맑은 고딕" w:eastAsia="맑은 고딕"/>
          <w:b/>
          <w:color w:val="1F3864"/>
          <w:sz w:val="30"/>
        </w:rPr>
        <w:t>리스크 평가</w:t>
      </w:r>
    </w:p>
    <w:p>
      <w:pPr>
        <w:spacing w:before="160" w:after="80"/>
      </w:pPr>
      <w:r>
        <w:rPr>
          <w:rFonts w:ascii="맑은 고딕" w:hAnsi="맑은 고딕" w:eastAsia="맑은 고딕"/>
          <w:b/>
          <w:color w:val="1A1A1A"/>
          <w:sz w:val="22"/>
        </w:rPr>
        <w:t>기업 고유 리스크</w:t>
      </w:r>
    </w:p>
    <w:p>
      <w:pPr>
        <w:spacing w:after="120"/>
      </w:pPr>
      <w:r>
        <w:rPr>
          <w:rFonts w:ascii="맑은 고딕" w:hAnsi="맑은 고딕" w:eastAsia="맑은 고딕"/>
          <w:i w:val="0"/>
          <w:sz w:val="21"/>
        </w:rPr>
        <w:t xml:space="preserve">1. </w:t>
      </w:r>
      <w:r>
        <w:rPr>
          <w:rFonts w:ascii="맑은 고딕" w:hAnsi="맑은 고딕" w:eastAsia="맑은 고딕"/>
          <w:b/>
          <w:i w:val="0"/>
          <w:sz w:val="21"/>
        </w:rPr>
        <w:t>반독점 판결 이행 리스크.</w:t>
      </w:r>
      <w:r>
        <w:rPr>
          <w:rFonts w:ascii="맑은 고딕" w:hAnsi="맑은 고딕" w:eastAsia="맑은 고딕"/>
          <w:i w:val="0"/>
          <w:sz w:val="21"/>
        </w:rPr>
        <w:t xml:space="preserve"> 2025년 12월 최종판결은 구조적 분할(Chrome 매각) 대신 행태적 구제를 명령하였으나, 검색·Chrome·AI 제품의 배타적 유통계약 금지와 경쟁사에 대한 검색 데이터 공유·신디케이션 제공 의무를 부과하였다. 2026년 1월 구글이, 2월 법무부·주 법무장관이 각각 항소하여 최종 결론은 미확정 상태이다.</w:t>
      </w:r>
    </w:p>
    <w:p>
      <w:pPr>
        <w:spacing w:after="120"/>
      </w:pPr>
      <w:r>
        <w:rPr>
          <w:rFonts w:ascii="맑은 고딕" w:hAnsi="맑은 고딕" w:eastAsia="맑은 고딕"/>
          <w:i w:val="0"/>
          <w:sz w:val="21"/>
        </w:rPr>
        <w:t xml:space="preserve">2. </w:t>
      </w:r>
      <w:r>
        <w:rPr>
          <w:rFonts w:ascii="맑은 고딕" w:hAnsi="맑은 고딕" w:eastAsia="맑은 고딕"/>
          <w:b/>
          <w:i w:val="0"/>
          <w:sz w:val="21"/>
        </w:rPr>
        <w:t>애플 계약 재협상 리스크.</w:t>
      </w:r>
      <w:r>
        <w:rPr>
          <w:rFonts w:ascii="맑은 고딕" w:hAnsi="맑은 고딕" w:eastAsia="맑은 고딕"/>
          <w:i w:val="0"/>
          <w:sz w:val="21"/>
        </w:rPr>
        <w:t xml:space="preserve"> 배타성이 제거된 환경에서 검색 기본 탑재 조건이 재설정될 경우, 트래픽 유출 또는 TAC 상승 중 하나는 불가피하다는 것이 합리적 가정이다.</w:t>
      </w:r>
    </w:p>
    <w:p>
      <w:pPr>
        <w:spacing w:after="120"/>
      </w:pPr>
      <w:r>
        <w:rPr>
          <w:rFonts w:ascii="맑은 고딕" w:hAnsi="맑은 고딕" w:eastAsia="맑은 고딕"/>
          <w:i w:val="0"/>
          <w:sz w:val="21"/>
        </w:rPr>
        <w:t xml:space="preserve">3. </w:t>
      </w:r>
      <w:r>
        <w:rPr>
          <w:rFonts w:ascii="맑은 고딕" w:hAnsi="맑은 고딕" w:eastAsia="맑은 고딕"/>
          <w:b/>
          <w:i w:val="0"/>
          <w:sz w:val="21"/>
        </w:rPr>
        <w:t>AI 오버뷰의 자기잠식.</w:t>
      </w:r>
      <w:r>
        <w:rPr>
          <w:rFonts w:ascii="맑은 고딕" w:hAnsi="맑은 고딕" w:eastAsia="맑은 고딕"/>
          <w:i w:val="0"/>
          <w:sz w:val="21"/>
        </w:rPr>
        <w:t xml:space="preserve"> 요약형 답변이 링크 클릭을 대체하면 쿼리당 광고 노출 기회가 감소한다. 회사는 단가 유사성을 주장하나 외부 검증이 불가능한 영역이다.</w:t>
      </w:r>
    </w:p>
    <w:p>
      <w:pPr>
        <w:spacing w:after="120"/>
      </w:pPr>
      <w:r>
        <w:rPr>
          <w:rFonts w:ascii="맑은 고딕" w:hAnsi="맑은 고딕" w:eastAsia="맑은 고딕"/>
          <w:i w:val="0"/>
          <w:sz w:val="21"/>
        </w:rPr>
        <w:t xml:space="preserve">4. </w:t>
      </w:r>
      <w:r>
        <w:rPr>
          <w:rFonts w:ascii="맑은 고딕" w:hAnsi="맑은 고딕" w:eastAsia="맑은 고딕"/>
          <w:b/>
          <w:i w:val="0"/>
          <w:sz w:val="21"/>
        </w:rPr>
        <w:t>고객·파트너 집중.</w:t>
      </w:r>
      <w:r>
        <w:rPr>
          <w:rFonts w:ascii="맑은 고딕" w:hAnsi="맑은 고딕" w:eastAsia="맑은 고딕"/>
          <w:i w:val="0"/>
          <w:sz w:val="21"/>
        </w:rPr>
        <w:t xml:space="preserve"> 클라우드 backlog $460B 중 소수 AI 랩 비중이 높을 경우, 해당 고객의 자금조달 상황이 Alphabet의 매출 인식에 전이될 수 있다.</w:t>
      </w:r>
    </w:p>
    <w:p>
      <w:pPr>
        <w:spacing w:after="120"/>
      </w:pPr>
      <w:r>
        <w:rPr>
          <w:rFonts w:ascii="맑은 고딕" w:hAnsi="맑은 고딕" w:eastAsia="맑은 고딕"/>
          <w:i w:val="0"/>
          <w:sz w:val="21"/>
        </w:rPr>
        <w:t xml:space="preserve">5. </w:t>
      </w:r>
      <w:r>
        <w:rPr>
          <w:rFonts w:ascii="맑은 고딕" w:hAnsi="맑은 고딕" w:eastAsia="맑은 고딕"/>
          <w:b/>
          <w:i w:val="0"/>
          <w:sz w:val="21"/>
        </w:rPr>
        <w:t>핵심 인재 이탈.</w:t>
      </w:r>
      <w:r>
        <w:rPr>
          <w:rFonts w:ascii="맑은 고딕" w:hAnsi="맑은 고딕" w:eastAsia="맑은 고딕"/>
          <w:i w:val="0"/>
          <w:sz w:val="21"/>
        </w:rPr>
        <w:t xml:space="preserve"> AI 연구 인력의 유동성이 극도로 높은 국면에서 DeepMind 핵심 인력의 이탈은 모델 경쟁력에 직결된다.</w:t>
      </w:r>
    </w:p>
    <w:p>
      <w:pPr>
        <w:spacing w:before="160" w:after="80"/>
      </w:pPr>
      <w:r>
        <w:rPr>
          <w:rFonts w:ascii="맑은 고딕" w:hAnsi="맑은 고딕" w:eastAsia="맑은 고딕"/>
          <w:b/>
          <w:color w:val="1A1A1A"/>
          <w:sz w:val="22"/>
        </w:rPr>
        <w:t>산업 리스크</w:t>
      </w:r>
    </w:p>
    <w:p>
      <w:pPr>
        <w:spacing w:after="120"/>
      </w:pPr>
      <w:r>
        <w:rPr>
          <w:rFonts w:ascii="맑은 고딕" w:hAnsi="맑은 고딕" w:eastAsia="맑은 고딕"/>
          <w:i w:val="0"/>
          <w:sz w:val="21"/>
        </w:rPr>
        <w:t xml:space="preserve">6. </w:t>
      </w:r>
      <w:r>
        <w:rPr>
          <w:rFonts w:ascii="맑은 고딕" w:hAnsi="맑은 고딕" w:eastAsia="맑은 고딕"/>
          <w:b/>
          <w:i w:val="0"/>
          <w:sz w:val="21"/>
        </w:rPr>
        <w:t>AI 챗봇으로의 검색 행태 이동.</w:t>
      </w:r>
      <w:r>
        <w:rPr>
          <w:rFonts w:ascii="맑은 고딕" w:hAnsi="맑은 고딕" w:eastAsia="맑은 고딕"/>
          <w:i w:val="0"/>
          <w:sz w:val="21"/>
        </w:rPr>
        <w:t xml:space="preserve"> ChatGPT 54.7% 대 Gemini 27.4%의 격차는 신규 인터페이스에서 구글이 90% 점유율을 재현하지 못하고 있음을 보여준다.</w:t>
      </w:r>
    </w:p>
    <w:p>
      <w:pPr>
        <w:spacing w:after="120"/>
      </w:pPr>
      <w:r>
        <w:rPr>
          <w:rFonts w:ascii="맑은 고딕" w:hAnsi="맑은 고딕" w:eastAsia="맑은 고딕"/>
          <w:i w:val="0"/>
          <w:sz w:val="21"/>
        </w:rPr>
        <w:t xml:space="preserve">7. </w:t>
      </w:r>
      <w:r>
        <w:rPr>
          <w:rFonts w:ascii="맑은 고딕" w:hAnsi="맑은 고딕" w:eastAsia="맑은 고딕"/>
          <w:b/>
          <w:i w:val="0"/>
          <w:sz w:val="21"/>
        </w:rPr>
        <w:t>AI 인프라 과잉투자(capacity glut).</w:t>
      </w:r>
      <w:r>
        <w:rPr>
          <w:rFonts w:ascii="맑은 고딕" w:hAnsi="맑은 고딕" w:eastAsia="맑은 고딕"/>
          <w:i w:val="0"/>
          <w:sz w:val="21"/>
        </w:rPr>
        <w:t xml:space="preserve"> 업계 전반의 동시다발적 데이터센터 증설이 향후 컴퓨트 가격 하락과 자산 감액으로 이어질 가능성을 배제할 수 없다.</w:t>
      </w:r>
    </w:p>
    <w:p>
      <w:pPr>
        <w:spacing w:after="120"/>
      </w:pPr>
      <w:r>
        <w:rPr>
          <w:rFonts w:ascii="맑은 고딕" w:hAnsi="맑은 고딕" w:eastAsia="맑은 고딕"/>
          <w:i w:val="0"/>
          <w:sz w:val="21"/>
        </w:rPr>
        <w:t xml:space="preserve">8. </w:t>
      </w:r>
      <w:r>
        <w:rPr>
          <w:rFonts w:ascii="맑은 고딕" w:hAnsi="맑은 고딕" w:eastAsia="맑은 고딕"/>
          <w:b/>
          <w:i w:val="0"/>
          <w:sz w:val="21"/>
        </w:rPr>
        <w:t>규제 확산.</w:t>
      </w:r>
      <w:r>
        <w:rPr>
          <w:rFonts w:ascii="맑은 고딕" w:hAnsi="맑은 고딕" w:eastAsia="맑은 고딕"/>
          <w:i w:val="0"/>
          <w:sz w:val="21"/>
        </w:rPr>
        <w:t xml:space="preserve"> EU DMA, 애드테크 반독점, 개인정보·아동보호 규제 및 AI 규율이 다지역에서 동시 진행되며, 과징금과 제품 설계 제약을 수반한다.</w:t>
      </w:r>
    </w:p>
    <w:p>
      <w:pPr>
        <w:spacing w:after="120"/>
      </w:pPr>
      <w:r>
        <w:rPr>
          <w:rFonts w:ascii="맑은 고딕" w:hAnsi="맑은 고딕" w:eastAsia="맑은 고딕"/>
          <w:i w:val="0"/>
          <w:sz w:val="21"/>
        </w:rPr>
        <w:t xml:space="preserve">9. </w:t>
      </w:r>
      <w:r>
        <w:rPr>
          <w:rFonts w:ascii="맑은 고딕" w:hAnsi="맑은 고딕" w:eastAsia="맑은 고딕"/>
          <w:b/>
          <w:i w:val="0"/>
          <w:sz w:val="21"/>
        </w:rPr>
        <w:t>네트워크(제3자 광고 중개) 부문의 구조적 축소.</w:t>
      </w:r>
      <w:r>
        <w:rPr>
          <w:rFonts w:ascii="맑은 고딕" w:hAnsi="맑은 고딕" w:eastAsia="맑은 고딕"/>
          <w:i w:val="0"/>
          <w:sz w:val="21"/>
        </w:rPr>
        <w:t xml:space="preserve"> 퍼블리셔 직거래 및 프라이버시 규제 강화로 중개 마진이 지속 압박받고 있다.</w:t>
      </w:r>
    </w:p>
    <w:p>
      <w:pPr>
        <w:spacing w:before="160" w:after="80"/>
      </w:pPr>
      <w:r>
        <w:rPr>
          <w:rFonts w:ascii="맑은 고딕" w:hAnsi="맑은 고딕" w:eastAsia="맑은 고딕"/>
          <w:b/>
          <w:color w:val="1A1A1A"/>
          <w:sz w:val="22"/>
        </w:rPr>
        <w:t>재무 리스크</w:t>
      </w:r>
    </w:p>
    <w:p>
      <w:pPr>
        <w:spacing w:after="120"/>
      </w:pPr>
      <w:r>
        <w:rPr>
          <w:rFonts w:ascii="맑은 고딕" w:hAnsi="맑은 고딕" w:eastAsia="맑은 고딕"/>
          <w:i w:val="0"/>
          <w:sz w:val="21"/>
        </w:rPr>
        <w:t xml:space="preserve">10. </w:t>
      </w:r>
      <w:r>
        <w:rPr>
          <w:rFonts w:ascii="맑은 고딕" w:hAnsi="맑은 고딕" w:eastAsia="맑은 고딕"/>
          <w:b/>
          <w:i w:val="0"/>
          <w:sz w:val="21"/>
        </w:rPr>
        <w:t>CapEx 급증에 따른 마진·FCF 압박.</w:t>
      </w:r>
      <w:r>
        <w:rPr>
          <w:rFonts w:ascii="맑은 고딕" w:hAnsi="맑은 고딕" w:eastAsia="맑은 고딕"/>
          <w:i w:val="0"/>
          <w:sz w:val="21"/>
        </w:rPr>
        <w:t xml:space="preserve"> FY2025 $91.4B에서 2026년 $180~190B로의 배증은 감가상각비 급증과 잉여현금흐름 축소를 의미하며, 투자 회수 기간이 예상보다 길어질 경우 ROIC가 하락한다.</w:t>
      </w:r>
    </w:p>
    <w:p>
      <w:pPr>
        <w:spacing w:after="120"/>
      </w:pPr>
      <w:r>
        <w:rPr>
          <w:rFonts w:ascii="맑은 고딕" w:hAnsi="맑은 고딕" w:eastAsia="맑은 고딕"/>
          <w:i w:val="0"/>
          <w:sz w:val="21"/>
        </w:rPr>
        <w:t xml:space="preserve">11. </w:t>
      </w:r>
      <w:r>
        <w:rPr>
          <w:rFonts w:ascii="맑은 고딕" w:hAnsi="맑은 고딕" w:eastAsia="맑은 고딕"/>
          <w:b/>
          <w:i w:val="0"/>
          <w:sz w:val="21"/>
        </w:rPr>
        <w:t>일회성 이익에 의한 순이익 왜곡.</w:t>
      </w:r>
      <w:r>
        <w:rPr>
          <w:rFonts w:ascii="맑은 고딕" w:hAnsi="맑은 고딕" w:eastAsia="맑은 고딕"/>
          <w:i w:val="0"/>
          <w:sz w:val="21"/>
        </w:rPr>
        <w:t xml:space="preserve"> FY2025 순이익 $132.2B에는 지분투자 평가익 약 $29.8B가 포함되어 있어, 이를 기준연도로 삼은 성장률 계산은 FY2026에 역기저 효과를 발생시킨다.</w:t>
      </w:r>
    </w:p>
    <w:p>
      <w:pPr>
        <w:spacing w:after="120"/>
      </w:pPr>
      <w:r>
        <w:rPr>
          <w:rFonts w:ascii="맑은 고딕" w:hAnsi="맑은 고딕" w:eastAsia="맑은 고딕"/>
          <w:i w:val="0"/>
          <w:sz w:val="21"/>
        </w:rPr>
        <w:t xml:space="preserve">12. </w:t>
      </w:r>
      <w:r>
        <w:rPr>
          <w:rFonts w:ascii="맑은 고딕" w:hAnsi="맑은 고딕" w:eastAsia="맑은 고딕"/>
          <w:b/>
          <w:i w:val="0"/>
          <w:sz w:val="21"/>
        </w:rPr>
        <w:t>밸류에이션 민감도.</w:t>
      </w:r>
      <w:r>
        <w:rPr>
          <w:rFonts w:ascii="맑은 고딕" w:hAnsi="맑은 고딕" w:eastAsia="맑은 고딕"/>
          <w:i w:val="0"/>
          <w:sz w:val="21"/>
        </w:rPr>
        <w:t xml:space="preserve"> 주가 $354.46, 희석주식수 12,230백만주 기준 시가총액은 약 $4.34T이며, 이는 FY2025 GAAP EPS $10.81 대비 약 32.8배, 일회성 제외 추정 EPS(약 $8.3) 기준으로는 약 43배 수준이다. 성장 가정이 훼손될 경우 멀티플 축소 폭이 클 수 있다.</w:t>
      </w:r>
    </w:p>
    <w:p>
      <w:pPr>
        <w:spacing w:before="160" w:after="80"/>
      </w:pPr>
      <w:r>
        <w:rPr>
          <w:rFonts w:ascii="맑은 고딕" w:hAnsi="맑은 고딕" w:eastAsia="맑은 고딕"/>
          <w:b/>
          <w:color w:val="1A1A1A"/>
          <w:sz w:val="22"/>
        </w:rPr>
        <w:t>거시 리스크</w:t>
      </w:r>
    </w:p>
    <w:p>
      <w:pPr>
        <w:spacing w:after="120"/>
      </w:pPr>
      <w:r>
        <w:rPr>
          <w:rFonts w:ascii="맑은 고딕" w:hAnsi="맑은 고딕" w:eastAsia="맑은 고딕"/>
          <w:i w:val="0"/>
          <w:sz w:val="21"/>
        </w:rPr>
        <w:t xml:space="preserve">13. </w:t>
      </w:r>
      <w:r>
        <w:rPr>
          <w:rFonts w:ascii="맑은 고딕" w:hAnsi="맑은 고딕" w:eastAsia="맑은 고딕"/>
          <w:b/>
          <w:i w:val="0"/>
          <w:sz w:val="21"/>
        </w:rPr>
        <w:t>광고 경기 민감도.</w:t>
      </w:r>
      <w:r>
        <w:rPr>
          <w:rFonts w:ascii="맑은 고딕" w:hAnsi="맑은 고딕" w:eastAsia="맑은 고딕"/>
          <w:i w:val="0"/>
          <w:sz w:val="21"/>
        </w:rPr>
        <w:t xml:space="preserve"> 광고 매출 비중 73.1%는 경기 침체 시 실적 변동성을 직접적으로 확대한다.</w:t>
      </w:r>
    </w:p>
    <w:p>
      <w:pPr>
        <w:spacing w:after="120"/>
      </w:pPr>
      <w:r>
        <w:rPr>
          <w:rFonts w:ascii="맑은 고딕" w:hAnsi="맑은 고딕" w:eastAsia="맑은 고딕"/>
          <w:i w:val="0"/>
          <w:sz w:val="21"/>
        </w:rPr>
        <w:t xml:space="preserve">14. </w:t>
      </w:r>
      <w:r>
        <w:rPr>
          <w:rFonts w:ascii="맑은 고딕" w:hAnsi="맑은 고딕" w:eastAsia="맑은 고딕"/>
          <w:b/>
          <w:i w:val="0"/>
          <w:sz w:val="21"/>
        </w:rPr>
        <w:t>환율.</w:t>
      </w:r>
      <w:r>
        <w:rPr>
          <w:rFonts w:ascii="맑은 고딕" w:hAnsi="맑은 고딕" w:eastAsia="맑은 고딕"/>
          <w:i w:val="0"/>
          <w:sz w:val="21"/>
        </w:rPr>
        <w:t xml:space="preserve"> 해외 매출 비중이 절반을 넘어 달러 강세 국면에서 보고 매출이 압박된다(2026년 1분기 보고 성장 22% 대 고정환율 19%).</w:t>
      </w:r>
    </w:p>
    <w:p>
      <w:pPr>
        <w:spacing w:after="120"/>
      </w:pPr>
      <w:r>
        <w:rPr>
          <w:rFonts w:ascii="맑은 고딕" w:hAnsi="맑은 고딕" w:eastAsia="맑은 고딕"/>
          <w:i w:val="0"/>
          <w:sz w:val="21"/>
        </w:rPr>
        <w:t xml:space="preserve">15. </w:t>
      </w:r>
      <w:r>
        <w:rPr>
          <w:rFonts w:ascii="맑은 고딕" w:hAnsi="맑은 고딕" w:eastAsia="맑은 고딕"/>
          <w:b/>
          <w:i w:val="0"/>
          <w:sz w:val="21"/>
        </w:rPr>
        <w:t>전력·설비 제약.</w:t>
      </w:r>
      <w:r>
        <w:rPr>
          <w:rFonts w:ascii="맑은 고딕" w:hAnsi="맑은 고딕" w:eastAsia="맑은 고딕"/>
          <w:i w:val="0"/>
          <w:sz w:val="21"/>
        </w:rPr>
        <w:t xml:space="preserve"> 데이터센터 전력 확보, 전력 요금 상승, 지역사회 반대는 CapEx 집행 일정을 지연시킬 수 있는 물리적 제약 요인이다.</w:t>
      </w:r>
    </w:p>
    <w:p>
      <w:pPr>
        <w:spacing w:after="120"/>
      </w:pPr>
      <w:r>
        <w:rPr>
          <w:rFonts w:ascii="맑은 고딕" w:hAnsi="맑은 고딕" w:eastAsia="맑은 고딕"/>
          <w:i w:val="0"/>
          <w:sz w:val="21"/>
        </w:rPr>
        <w:t>---</w:t>
      </w:r>
    </w:p>
    <w:p>
      <w:r>
        <w:br w:type="page"/>
      </w:r>
    </w:p>
    <w:p>
      <w:pPr>
        <w:spacing w:before="240" w:after="80"/>
        <w:pBdr>
          <w:bottom w:val="single" w:sz="6" w:space="2" w:color="1F3864"/>
        </w:pBdr>
      </w:pPr>
      <w:r>
        <w:rPr>
          <w:rFonts w:ascii="맑은 고딕" w:hAnsi="맑은 고딕" w:eastAsia="맑은 고딕"/>
          <w:b/>
          <w:color w:val="1F3864"/>
          <w:sz w:val="30"/>
        </w:rPr>
        <w:t>회사 개요</w:t>
      </w:r>
    </w:p>
    <w:p>
      <w:pPr>
        <w:spacing w:after="120"/>
      </w:pPr>
      <w:r>
        <w:rPr>
          <w:rFonts w:ascii="맑은 고딕" w:hAnsi="맑은 고딕" w:eastAsia="맑은 고딕"/>
          <w:b/>
          <w:i w:val="0"/>
          <w:sz w:val="21"/>
        </w:rPr>
        <w:t>사실:</w:t>
      </w:r>
      <w:r>
        <w:rPr>
          <w:rFonts w:ascii="맑은 고딕" w:hAnsi="맑은 고딕" w:eastAsia="맑은 고딕"/>
          <w:i w:val="0"/>
          <w:sz w:val="21"/>
        </w:rPr>
        <w:t xml:space="preserve"> Alphabet Inc.는 2015년 구글(Google Inc.)의 지주회사로 설립된 미국 캘리포니아 마운틴뷰 소재 기업으로, 검색·광고·클라우드·운영체제·자율주행 등을 아우르는 세계 최대 규모의 인터넷 플랫폼 기업이다. FY2025 연결 매출은 $402.8B, 영업이익 $129.0B(영업이익률 32.0%), 순이익 $132.2B, 희석 EPS $10.81을 기록하였다. 다만 FY2025 순이익에는 비상장 지분투자 평가익 약 $29.8B이 포함되어 있어, 이를 제외한 실질 순이익은 약 $102B 수준으로 추정된다. 이 점을 감안하지 않은 단순 P/E 산정은 이익 체력을 과대평가할 소지가 있다.</w:t>
      </w:r>
    </w:p>
    <w:p>
      <w:pPr>
        <w:spacing w:after="120"/>
      </w:pPr>
      <w:r>
        <w:rPr>
          <w:rFonts w:ascii="맑은 고딕" w:hAnsi="맑은 고딕" w:eastAsia="맑은 고딕"/>
          <w:b/>
          <w:i w:val="0"/>
          <w:sz w:val="21"/>
        </w:rPr>
        <w:t>사실:</w:t>
      </w:r>
      <w:r>
        <w:rPr>
          <w:rFonts w:ascii="맑은 고딕" w:hAnsi="맑은 고딕" w:eastAsia="맑은 고딕"/>
          <w:i w:val="0"/>
          <w:sz w:val="21"/>
        </w:rPr>
        <w:t xml:space="preserve"> 매출 성장 궤적은 FY2022 $282.8B → FY2023 $307.4B(+8.7%) → FY2024 $350.0B(+13.9%) → FY2025 $402.8B(+15.1%)로, 2022년 광고경기 둔화 이후 3년 연속 성장률이 가속되었다. 영업이익은 같은 기간 $74.8B → $84.3B → $112.4B → $129.0B로 확대되었으며, 매출 증가율을 상회하는 이익 증가율은 2023년 이후 진행된 인력 구조조정과 인프라 효율화의 누적 효과로 해석된다.</w:t>
      </w:r>
    </w:p>
    <w:p>
      <w:pPr>
        <w:spacing w:after="120"/>
      </w:pPr>
      <w:r>
        <w:rPr>
          <w:rFonts w:ascii="맑은 고딕" w:hAnsi="맑은 고딕" w:eastAsia="맑은 고딕"/>
          <w:b/>
          <w:i w:val="0"/>
          <w:sz w:val="21"/>
        </w:rPr>
        <w:t>사실:</w:t>
      </w:r>
      <w:r>
        <w:rPr>
          <w:rFonts w:ascii="맑은 고딕" w:hAnsi="맑은 고딕" w:eastAsia="맑은 고딕"/>
          <w:i w:val="0"/>
          <w:sz w:val="21"/>
        </w:rPr>
        <w:t xml:space="preserve"> FY2025 세그먼트별 매출 구성은 다음과 같다.</w:t>
      </w:r>
    </w:p>
    <w:tbl>
      <w:tblPr>
        <w:tblStyle w:val="LightGrid-Accent1"/>
        <w:tblW w:type="auto" w:w="0"/>
        <w:tblLayout w:type="autofit"/>
        <w:tblLook w:firstColumn="1" w:firstRow="1" w:lastColumn="0" w:lastRow="0" w:noHBand="0" w:noVBand="1" w:val="04A0"/>
      </w:tblPr>
      <w:tblGrid>
        <w:gridCol w:w="3312"/>
        <w:gridCol w:w="3312"/>
        <w:gridCol w:w="3312"/>
      </w:tblGrid>
      <w:tr>
        <w:tc>
          <w:tcPr>
            <w:tcW w:type="dxa" w:w="3312"/>
            <w:shd w:fill="1F3864"/>
          </w:tcPr>
          <w:p>
            <w:pPr>
              <w:spacing w:after="20" w:before="20"/>
              <w:jc w:val="left"/>
            </w:pPr>
            <w:r/>
            <w:r>
              <w:rPr>
                <w:rFonts w:ascii="맑은 고딕" w:hAnsi="맑은 고딕" w:eastAsia="맑은 고딕"/>
                <w:b/>
                <w:color w:val="FFFFFF"/>
                <w:sz w:val="17"/>
              </w:rPr>
              <w:t>세그먼트</w:t>
            </w:r>
          </w:p>
        </w:tc>
        <w:tc>
          <w:tcPr>
            <w:tcW w:type="dxa" w:w="3312"/>
            <w:shd w:fill="1F3864"/>
          </w:tcPr>
          <w:p>
            <w:pPr>
              <w:spacing w:after="20" w:before="20"/>
              <w:jc w:val="right"/>
            </w:pPr>
            <w:r/>
            <w:r>
              <w:rPr>
                <w:rFonts w:ascii="맑은 고딕" w:hAnsi="맑은 고딕" w:eastAsia="맑은 고딕"/>
                <w:b/>
                <w:color w:val="FFFFFF"/>
                <w:sz w:val="17"/>
              </w:rPr>
              <w:t>FY2025 매출</w:t>
            </w:r>
          </w:p>
        </w:tc>
        <w:tc>
          <w:tcPr>
            <w:tcW w:type="dxa" w:w="3312"/>
            <w:shd w:fill="1F3864"/>
          </w:tcPr>
          <w:p>
            <w:pPr>
              <w:spacing w:after="20" w:before="20"/>
              <w:jc w:val="right"/>
            </w:pPr>
            <w:r/>
            <w:r>
              <w:rPr>
                <w:rFonts w:ascii="맑은 고딕" w:hAnsi="맑은 고딕" w:eastAsia="맑은 고딕"/>
                <w:b/>
                <w:color w:val="FFFFFF"/>
                <w:sz w:val="17"/>
              </w:rPr>
              <w:t>비중</w:t>
            </w:r>
          </w:p>
        </w:tc>
      </w:tr>
      <w:tr>
        <w:tc>
          <w:tcPr>
            <w:tcW w:type="dxa" w:w="3312"/>
          </w:tcPr>
          <w:p>
            <w:pPr>
              <w:spacing w:after="20" w:before="20"/>
              <w:jc w:val="left"/>
            </w:pPr>
            <w:r/>
            <w:r>
              <w:rPr>
                <w:rFonts w:ascii="맑은 고딕" w:hAnsi="맑은 고딕" w:eastAsia="맑은 고딕"/>
                <w:b w:val="0"/>
                <w:sz w:val="17"/>
              </w:rPr>
              <w:t>구글 서치 및 기타</w:t>
            </w:r>
          </w:p>
        </w:tc>
        <w:tc>
          <w:tcPr>
            <w:tcW w:type="dxa" w:w="3312"/>
          </w:tcPr>
          <w:p>
            <w:pPr>
              <w:spacing w:after="20" w:before="20"/>
              <w:jc w:val="right"/>
            </w:pPr>
            <w:r/>
            <w:r>
              <w:rPr>
                <w:rFonts w:ascii="맑은 고딕" w:hAnsi="맑은 고딕" w:eastAsia="맑은 고딕"/>
                <w:b w:val="0"/>
                <w:sz w:val="17"/>
              </w:rPr>
              <w:t>$223.6B</w:t>
            </w:r>
          </w:p>
        </w:tc>
        <w:tc>
          <w:tcPr>
            <w:tcW w:type="dxa" w:w="3312"/>
          </w:tcPr>
          <w:p>
            <w:pPr>
              <w:spacing w:after="20" w:before="20"/>
              <w:jc w:val="right"/>
            </w:pPr>
            <w:r/>
            <w:r>
              <w:rPr>
                <w:rFonts w:ascii="맑은 고딕" w:hAnsi="맑은 고딕" w:eastAsia="맑은 고딕"/>
                <w:b w:val="0"/>
                <w:sz w:val="17"/>
              </w:rPr>
              <w:t>55.5%</w:t>
            </w:r>
          </w:p>
        </w:tc>
      </w:tr>
      <w:tr>
        <w:tc>
          <w:tcPr>
            <w:tcW w:type="dxa" w:w="3312"/>
          </w:tcPr>
          <w:p>
            <w:pPr>
              <w:spacing w:after="20" w:before="20"/>
              <w:jc w:val="left"/>
            </w:pPr>
            <w:r/>
            <w:r>
              <w:rPr>
                <w:rFonts w:ascii="맑은 고딕" w:hAnsi="맑은 고딕" w:eastAsia="맑은 고딕"/>
                <w:b w:val="0"/>
                <w:sz w:val="17"/>
              </w:rPr>
              <w:t>유튜브 광고</w:t>
            </w:r>
          </w:p>
        </w:tc>
        <w:tc>
          <w:tcPr>
            <w:tcW w:type="dxa" w:w="3312"/>
          </w:tcPr>
          <w:p>
            <w:pPr>
              <w:spacing w:after="20" w:before="20"/>
              <w:jc w:val="right"/>
            </w:pPr>
            <w:r/>
            <w:r>
              <w:rPr>
                <w:rFonts w:ascii="맑은 고딕" w:hAnsi="맑은 고딕" w:eastAsia="맑은 고딕"/>
                <w:b w:val="0"/>
                <w:sz w:val="17"/>
              </w:rPr>
              <w:t>$42.7B</w:t>
            </w:r>
          </w:p>
        </w:tc>
        <w:tc>
          <w:tcPr>
            <w:tcW w:type="dxa" w:w="3312"/>
          </w:tcPr>
          <w:p>
            <w:pPr>
              <w:spacing w:after="20" w:before="20"/>
              <w:jc w:val="right"/>
            </w:pPr>
            <w:r/>
            <w:r>
              <w:rPr>
                <w:rFonts w:ascii="맑은 고딕" w:hAnsi="맑은 고딕" w:eastAsia="맑은 고딕"/>
                <w:b w:val="0"/>
                <w:sz w:val="17"/>
              </w:rPr>
              <w:t>10.6%</w:t>
            </w:r>
          </w:p>
        </w:tc>
      </w:tr>
      <w:tr>
        <w:tc>
          <w:tcPr>
            <w:tcW w:type="dxa" w:w="3312"/>
          </w:tcPr>
          <w:p>
            <w:pPr>
              <w:spacing w:after="20" w:before="20"/>
              <w:jc w:val="left"/>
            </w:pPr>
            <w:r/>
            <w:r>
              <w:rPr>
                <w:rFonts w:ascii="맑은 고딕" w:hAnsi="맑은 고딕" w:eastAsia="맑은 고딕"/>
                <w:b w:val="0"/>
                <w:sz w:val="17"/>
              </w:rPr>
              <w:t>구글 네트워크</w:t>
            </w:r>
          </w:p>
        </w:tc>
        <w:tc>
          <w:tcPr>
            <w:tcW w:type="dxa" w:w="3312"/>
          </w:tcPr>
          <w:p>
            <w:pPr>
              <w:spacing w:after="20" w:before="20"/>
              <w:jc w:val="right"/>
            </w:pPr>
            <w:r/>
            <w:r>
              <w:rPr>
                <w:rFonts w:ascii="맑은 고딕" w:hAnsi="맑은 고딕" w:eastAsia="맑은 고딕"/>
                <w:b w:val="0"/>
                <w:sz w:val="17"/>
              </w:rPr>
              <w:t>$28.2B</w:t>
            </w:r>
          </w:p>
        </w:tc>
        <w:tc>
          <w:tcPr>
            <w:tcW w:type="dxa" w:w="3312"/>
          </w:tcPr>
          <w:p>
            <w:pPr>
              <w:spacing w:after="20" w:before="20"/>
              <w:jc w:val="right"/>
            </w:pPr>
            <w:r/>
            <w:r>
              <w:rPr>
                <w:rFonts w:ascii="맑은 고딕" w:hAnsi="맑은 고딕" w:eastAsia="맑은 고딕"/>
                <w:b w:val="0"/>
                <w:sz w:val="17"/>
              </w:rPr>
              <w:t>7.0%</w:t>
            </w:r>
          </w:p>
        </w:tc>
      </w:tr>
      <w:tr>
        <w:tc>
          <w:tcPr>
            <w:tcW w:type="dxa" w:w="3312"/>
          </w:tcPr>
          <w:p>
            <w:pPr>
              <w:spacing w:after="20" w:before="20"/>
              <w:jc w:val="left"/>
            </w:pPr>
            <w:r/>
            <w:r>
              <w:rPr>
                <w:rFonts w:ascii="맑은 고딕" w:hAnsi="맑은 고딕" w:eastAsia="맑은 고딕"/>
                <w:b w:val="0"/>
                <w:sz w:val="17"/>
              </w:rPr>
              <w:t>구독·플랫폼·기기</w:t>
            </w:r>
          </w:p>
        </w:tc>
        <w:tc>
          <w:tcPr>
            <w:tcW w:type="dxa" w:w="3312"/>
          </w:tcPr>
          <w:p>
            <w:pPr>
              <w:spacing w:after="20" w:before="20"/>
              <w:jc w:val="right"/>
            </w:pPr>
            <w:r/>
            <w:r>
              <w:rPr>
                <w:rFonts w:ascii="맑은 고딕" w:hAnsi="맑은 고딕" w:eastAsia="맑은 고딕"/>
                <w:b w:val="0"/>
                <w:sz w:val="17"/>
              </w:rPr>
              <w:t>$49.1B</w:t>
            </w:r>
          </w:p>
        </w:tc>
        <w:tc>
          <w:tcPr>
            <w:tcW w:type="dxa" w:w="3312"/>
          </w:tcPr>
          <w:p>
            <w:pPr>
              <w:spacing w:after="20" w:before="20"/>
              <w:jc w:val="right"/>
            </w:pPr>
            <w:r/>
            <w:r>
              <w:rPr>
                <w:rFonts w:ascii="맑은 고딕" w:hAnsi="맑은 고딕" w:eastAsia="맑은 고딕"/>
                <w:b w:val="0"/>
                <w:sz w:val="17"/>
              </w:rPr>
              <w:t>12.2%</w:t>
            </w:r>
          </w:p>
        </w:tc>
      </w:tr>
      <w:tr>
        <w:tc>
          <w:tcPr>
            <w:tcW w:type="dxa" w:w="3312"/>
          </w:tcPr>
          <w:p>
            <w:pPr>
              <w:spacing w:after="20" w:before="20"/>
              <w:jc w:val="left"/>
            </w:pPr>
            <w:r/>
            <w:r>
              <w:rPr>
                <w:rFonts w:ascii="맑은 고딕" w:hAnsi="맑은 고딕" w:eastAsia="맑은 고딕"/>
                <w:b w:val="0"/>
                <w:sz w:val="17"/>
              </w:rPr>
              <w:t>구글 클라우드</w:t>
            </w:r>
          </w:p>
        </w:tc>
        <w:tc>
          <w:tcPr>
            <w:tcW w:type="dxa" w:w="3312"/>
          </w:tcPr>
          <w:p>
            <w:pPr>
              <w:spacing w:after="20" w:before="20"/>
              <w:jc w:val="right"/>
            </w:pPr>
            <w:r/>
            <w:r>
              <w:rPr>
                <w:rFonts w:ascii="맑은 고딕" w:hAnsi="맑은 고딕" w:eastAsia="맑은 고딕"/>
                <w:b w:val="0"/>
                <w:sz w:val="17"/>
              </w:rPr>
              <w:t>$57.2B</w:t>
            </w:r>
          </w:p>
        </w:tc>
        <w:tc>
          <w:tcPr>
            <w:tcW w:type="dxa" w:w="3312"/>
          </w:tcPr>
          <w:p>
            <w:pPr>
              <w:spacing w:after="20" w:before="20"/>
              <w:jc w:val="right"/>
            </w:pPr>
            <w:r/>
            <w:r>
              <w:rPr>
                <w:rFonts w:ascii="맑은 고딕" w:hAnsi="맑은 고딕" w:eastAsia="맑은 고딕"/>
                <w:b w:val="0"/>
                <w:sz w:val="17"/>
              </w:rPr>
              <w:t>14.2%</w:t>
            </w:r>
          </w:p>
        </w:tc>
      </w:tr>
      <w:tr>
        <w:tc>
          <w:tcPr>
            <w:tcW w:type="dxa" w:w="3312"/>
          </w:tcPr>
          <w:p>
            <w:pPr>
              <w:spacing w:after="20" w:before="20"/>
              <w:jc w:val="left"/>
            </w:pPr>
            <w:r/>
            <w:r>
              <w:rPr>
                <w:rFonts w:ascii="맑은 고딕" w:hAnsi="맑은 고딕" w:eastAsia="맑은 고딕"/>
                <w:b w:val="0"/>
                <w:sz w:val="17"/>
              </w:rPr>
              <w:t>기타 베팅(Other Bets)</w:t>
            </w:r>
          </w:p>
        </w:tc>
        <w:tc>
          <w:tcPr>
            <w:tcW w:type="dxa" w:w="3312"/>
          </w:tcPr>
          <w:p>
            <w:pPr>
              <w:spacing w:after="20" w:before="20"/>
              <w:jc w:val="right"/>
            </w:pPr>
            <w:r/>
            <w:r>
              <w:rPr>
                <w:rFonts w:ascii="맑은 고딕" w:hAnsi="맑은 고딕" w:eastAsia="맑은 고딕"/>
                <w:b w:val="0"/>
                <w:sz w:val="17"/>
              </w:rPr>
              <w:t>$2.0B</w:t>
            </w:r>
          </w:p>
        </w:tc>
        <w:tc>
          <w:tcPr>
            <w:tcW w:type="dxa" w:w="3312"/>
          </w:tcPr>
          <w:p>
            <w:pPr>
              <w:spacing w:after="20" w:before="20"/>
              <w:jc w:val="right"/>
            </w:pPr>
            <w:r/>
            <w:r>
              <w:rPr>
                <w:rFonts w:ascii="맑은 고딕" w:hAnsi="맑은 고딕" w:eastAsia="맑은 고딕"/>
                <w:b w:val="0"/>
                <w:sz w:val="17"/>
              </w:rPr>
              <w:t>0.5%</w:t>
            </w:r>
          </w:p>
        </w:tc>
      </w:tr>
    </w:tbl>
    <w:p>
      <w:pPr>
        <w:spacing w:after="40"/>
      </w:pPr>
    </w:p>
    <w:p>
      <w:pPr>
        <w:spacing w:after="120"/>
      </w:pPr>
      <w:r>
        <w:rPr>
          <w:rFonts w:ascii="맑은 고딕" w:hAnsi="맑은 고딕" w:eastAsia="맑은 고딕"/>
          <w:b/>
          <w:i w:val="0"/>
          <w:sz w:val="21"/>
        </w:rPr>
        <w:t>추론:</w:t>
      </w:r>
      <w:r>
        <w:rPr>
          <w:rFonts w:ascii="맑은 고딕" w:hAnsi="맑은 고딕" w:eastAsia="맑은 고딕"/>
          <w:i w:val="0"/>
          <w:sz w:val="21"/>
        </w:rPr>
        <w:t xml:space="preserve"> 광고 3개 축(서치·유튜브·네트워크)의 합계는 $294.5B로 전체의 73.1%를 차지한다. 즉 Alphabet은 여전히 본질적으로 광고 기업이며, 클라우드(14.2%)와 구독(12.2%)이 성장 축으로 부상하는 전환 국면에 있다고 판단된다. 구글 네트워크(제3자 사이트 광고 중개)는 유일하게 수년째 정체 또는 감소 흐름을 보이는 부문으로, 구조적 축소 자산에 가깝다.</w:t>
      </w:r>
    </w:p>
    <w:p>
      <w:pPr>
        <w:spacing w:after="120"/>
      </w:pPr>
      <w:r>
        <w:rPr>
          <w:rFonts w:ascii="맑은 고딕" w:hAnsi="맑은 고딕" w:eastAsia="맑은 고딕"/>
          <w:b/>
          <w:i w:val="0"/>
          <w:sz w:val="21"/>
        </w:rPr>
        <w:t>사실:</w:t>
      </w:r>
      <w:r>
        <w:rPr>
          <w:rFonts w:ascii="맑은 고딕" w:hAnsi="맑은 고딕" w:eastAsia="맑은 고딕"/>
          <w:i w:val="0"/>
          <w:sz w:val="21"/>
        </w:rPr>
        <w:t xml:space="preserve"> FY2025 설비투자(CapEx)는 약 $91.4B로 매출 대비 22.7%에 달했다. FY2025 말 기준 순현금(현금성자산 및 유가증권 - 총차입금)은 $77.4B이다.</w:t>
      </w:r>
    </w:p>
    <w:p>
      <w:pPr>
        <w:spacing w:after="120"/>
      </w:pPr>
      <w:r>
        <w:rPr>
          <w:rFonts w:ascii="맑은 고딕" w:hAnsi="맑은 고딕" w:eastAsia="맑은 고딕"/>
          <w:i w:val="0"/>
          <w:sz w:val="21"/>
        </w:rPr>
        <w:t>---</w:t>
      </w:r>
    </w:p>
    <w:p>
      <w:pPr>
        <w:jc w:val="center"/>
      </w:pPr>
      <w:r>
        <w:drawing>
          <wp:inline xmlns:a="http://schemas.openxmlformats.org/drawingml/2006/main" xmlns:pic="http://schemas.openxmlformats.org/drawingml/2006/picture">
            <wp:extent cx="5852160" cy="3320806"/>
            <wp:docPr id="3" name="Picture 3"/>
            <wp:cNvGraphicFramePr>
              <a:graphicFrameLocks noChangeAspect="1"/>
            </wp:cNvGraphicFramePr>
            <a:graphic>
              <a:graphicData uri="http://schemas.openxmlformats.org/drawingml/2006/picture">
                <pic:pic>
                  <pic:nvPicPr>
                    <pic:cNvPr id="0" name="chart_03_segment_stack.png"/>
                    <pic:cNvPicPr/>
                  </pic:nvPicPr>
                  <pic:blipFill>
                    <a:blip r:embed="rId11"/>
                    <a:stretch>
                      <a:fillRect/>
                    </a:stretch>
                  </pic:blipFill>
                  <pic:spPr>
                    <a:xfrm>
                      <a:off x="0" y="0"/>
                      <a:ext cx="5852160" cy="3320806"/>
                    </a:xfrm>
                    <a:prstGeom prst="rect"/>
                  </pic:spPr>
                </pic:pic>
              </a:graphicData>
            </a:graphic>
          </wp:inline>
        </w:drawing>
      </w:r>
    </w:p>
    <w:p>
      <w:pPr>
        <w:spacing w:after="200"/>
      </w:pPr>
      <w:r>
        <w:rPr>
          <w:rFonts w:ascii="맑은 고딕" w:hAnsi="맑은 고딕" w:eastAsia="맑은 고딕"/>
          <w:i/>
          <w:color w:val="595959"/>
          <w:sz w:val="16"/>
        </w:rPr>
        <w:t>그림 3 — 세그먼트별 매출(스택). 자료: 모델. ⭐</w:t>
      </w:r>
    </w:p>
    <w:p>
      <w:pPr>
        <w:spacing w:before="240" w:after="80"/>
        <w:pBdr>
          <w:bottom w:val="single" w:sz="6" w:space="2" w:color="1F3864"/>
        </w:pBdr>
      </w:pPr>
      <w:r>
        <w:rPr>
          <w:rFonts w:ascii="맑은 고딕" w:hAnsi="맑은 고딕" w:eastAsia="맑은 고딕"/>
          <w:b/>
          <w:color w:val="1F3864"/>
          <w:sz w:val="30"/>
        </w:rPr>
        <w:t>회사 연혁</w:t>
      </w:r>
    </w:p>
    <w:p>
      <w:pPr>
        <w:spacing w:after="120"/>
      </w:pPr>
      <w:r>
        <w:rPr>
          <w:rFonts w:ascii="맑은 고딕" w:hAnsi="맑은 고딕" w:eastAsia="맑은 고딕"/>
          <w:b/>
          <w:i w:val="0"/>
          <w:sz w:val="21"/>
        </w:rPr>
        <w:t>사실:</w:t>
      </w:r>
      <w:r>
        <w:rPr>
          <w:rFonts w:ascii="맑은 고딕" w:hAnsi="맑은 고딕" w:eastAsia="맑은 고딕"/>
          <w:i w:val="0"/>
          <w:sz w:val="21"/>
        </w:rPr>
        <w:t xml:space="preserve"> 1998년 래리 페이지(Larry Page)와 세르게이 브린(Sergey Brin)이 스탠퍼드 대학원 재학 중 개발한 PageRank 알고리즘을 기반으로 구글을 설립하였다. 2000년 검색어 연동 광고 상품 AdWords(현 Google Ads)를 출시하며 수익모델을 확립하였고, 2003년 애드센스(AdSense)로 제3자 웹사이트로 광고망을 확장하였다.</w:t>
      </w:r>
    </w:p>
    <w:p>
      <w:pPr>
        <w:spacing w:after="120"/>
      </w:pPr>
      <w:r>
        <w:rPr>
          <w:rFonts w:ascii="맑은 고딕" w:hAnsi="맑은 고딕" w:eastAsia="맑은 고딕"/>
          <w:b/>
          <w:i w:val="0"/>
          <w:sz w:val="21"/>
        </w:rPr>
        <w:t>사실:</w:t>
      </w:r>
      <w:r>
        <w:rPr>
          <w:rFonts w:ascii="맑은 고딕" w:hAnsi="맑은 고딕" w:eastAsia="맑은 고딕"/>
          <w:i w:val="0"/>
          <w:sz w:val="21"/>
        </w:rPr>
        <w:t xml:space="preserve"> 2004년 나스닥 상장(공모가 $85), 2006년 유튜브를 $1.65B에 인수, 2007년 디스플레이 광고 플랫폼 더블클릭(DoubleClick)을 $3.1B에, 2005년 안드로이드를 약 $50M에 인수하였다. 이 세 건의 인수는 각각 동영상 광고, 디스플레이 광고 인프라, 모바일 유통 지배력의 토대가 되었다는 점에서 IT 산업사에서 가장 성공적인 M&amp;A 사례로 평가된다.</w:t>
      </w:r>
    </w:p>
    <w:p>
      <w:pPr>
        <w:spacing w:after="120"/>
      </w:pPr>
      <w:r>
        <w:rPr>
          <w:rFonts w:ascii="맑은 고딕" w:hAnsi="맑은 고딕" w:eastAsia="맑은 고딕"/>
          <w:b/>
          <w:i w:val="0"/>
          <w:sz w:val="21"/>
        </w:rPr>
        <w:t>사실:</w:t>
      </w:r>
      <w:r>
        <w:rPr>
          <w:rFonts w:ascii="맑은 고딕" w:hAnsi="맑은 고딕" w:eastAsia="맑은 고딕"/>
          <w:i w:val="0"/>
          <w:sz w:val="21"/>
        </w:rPr>
        <w:t xml:space="preserve"> 2015년 8월 지주회사 체제로 전환하며 Alphabet Inc.를 설립하였다. 목적은 성숙한 광고 사업(Google)과 장기 투자 사업(Waymo, Verily, DeepMind 등 Other Bets)의 회계·경영을 분리하는 데 있었으며, 순다르 피차이가 Google CEO로 선임되었다. 2019년 12월 페이지·브린이 경영 일선에서 물러나며 피차이가 Alphabet CEO를 겸직하게 되었다.</w:t>
      </w:r>
    </w:p>
    <w:p>
      <w:pPr>
        <w:spacing w:after="120"/>
      </w:pPr>
      <w:r>
        <w:rPr>
          <w:rFonts w:ascii="맑은 고딕" w:hAnsi="맑은 고딕" w:eastAsia="맑은 고딕"/>
          <w:b/>
          <w:i w:val="0"/>
          <w:sz w:val="21"/>
        </w:rPr>
        <w:t>사실:</w:t>
      </w:r>
      <w:r>
        <w:rPr>
          <w:rFonts w:ascii="맑은 고딕" w:hAnsi="맑은 고딕" w:eastAsia="맑은 고딕"/>
          <w:i w:val="0"/>
          <w:sz w:val="21"/>
        </w:rPr>
        <w:t xml:space="preserve"> 2014년 DeepMind 인수(약 $500M), 2022년 사이버보안 기업 Mandiant 인수($5.4B)에 이어, AI 전환 국면에서는 2023년 Google Brain과 DeepMind를 Google DeepMind로 통합하고 대규모 언어모델 Gemini를 발표하였다. 2024년 이후 Gemini는 검색·워크스페이스·클라우드 전 제품군에 통합되었다.</w:t>
      </w:r>
    </w:p>
    <w:p>
      <w:pPr>
        <w:spacing w:after="120"/>
      </w:pPr>
      <w:r>
        <w:rPr>
          <w:rFonts w:ascii="맑은 고딕" w:hAnsi="맑은 고딕" w:eastAsia="맑은 고딕"/>
          <w:b/>
          <w:i w:val="0"/>
          <w:sz w:val="21"/>
        </w:rPr>
        <w:t>사실:</w:t>
      </w:r>
      <w:r>
        <w:rPr>
          <w:rFonts w:ascii="맑은 고딕" w:hAnsi="맑은 고딕" w:eastAsia="맑은 고딕"/>
          <w:i w:val="0"/>
          <w:sz w:val="21"/>
        </w:rPr>
        <w:t xml:space="preserve"> 2024년 8월 미국 워싱턴 DC 연방지방법원은 구글이 일반 검색 시장에서 독점을 불법적으로 유지했다고 판시하였고, 2025년 12월 최종판결이 내려졌다. 2026년 상반기 현재 양측 모두 항소한 상태이다(3항 및 9항 참조).</w:t>
      </w:r>
    </w:p>
    <w:p>
      <w:pPr>
        <w:spacing w:after="120"/>
      </w:pPr>
      <w:r>
        <w:rPr>
          <w:rFonts w:ascii="맑은 고딕" w:hAnsi="맑은 고딕" w:eastAsia="맑은 고딕"/>
          <w:b/>
          <w:i w:val="0"/>
          <w:sz w:val="21"/>
        </w:rPr>
        <w:t>사실:</w:t>
      </w:r>
      <w:r>
        <w:rPr>
          <w:rFonts w:ascii="맑은 고딕" w:hAnsi="맑은 고딕" w:eastAsia="맑은 고딕"/>
          <w:i w:val="0"/>
          <w:sz w:val="21"/>
        </w:rPr>
        <w:t xml:space="preserve"> 2026년 4월 발표된 1분기 실적에서 연결 매출은 전년 대비 22% 증가한 $109.9B, 영업이익률 36.1%, 희석 EPS $5.11을 기록하였으며, 이는 11개 분기 연속 두 자릿수 성장에 해당한다.</w:t>
      </w:r>
    </w:p>
    <w:p>
      <w:pPr>
        <w:spacing w:after="120"/>
      </w:pPr>
      <w:r>
        <w:rPr>
          <w:rFonts w:ascii="맑은 고딕" w:hAnsi="맑은 고딕" w:eastAsia="맑은 고딕"/>
          <w:i w:val="0"/>
          <w:sz w:val="21"/>
        </w:rPr>
        <w:t>---</w:t>
      </w:r>
    </w:p>
    <w:p>
      <w:pPr>
        <w:spacing w:before="240" w:after="80"/>
        <w:pBdr>
          <w:bottom w:val="single" w:sz="6" w:space="2" w:color="1F3864"/>
        </w:pBdr>
      </w:pPr>
      <w:r>
        <w:rPr>
          <w:rFonts w:ascii="맑은 고딕" w:hAnsi="맑은 고딕" w:eastAsia="맑은 고딕"/>
          <w:b/>
          <w:color w:val="1F3864"/>
          <w:sz w:val="30"/>
        </w:rPr>
        <w:t>경영진</w:t>
      </w:r>
    </w:p>
    <w:p>
      <w:pPr>
        <w:spacing w:before="160" w:after="80"/>
      </w:pPr>
      <w:r>
        <w:rPr>
          <w:rFonts w:ascii="맑은 고딕" w:hAnsi="맑은 고딕" w:eastAsia="맑은 고딕"/>
          <w:b/>
          <w:color w:val="1A1A1A"/>
          <w:sz w:val="22"/>
        </w:rPr>
        <w:t>순다르 피차이(Sundar Pichai) — CEO</w:t>
      </w:r>
    </w:p>
    <w:p>
      <w:pPr>
        <w:spacing w:after="120"/>
      </w:pPr>
      <w:r>
        <w:rPr>
          <w:rFonts w:ascii="맑은 고딕" w:hAnsi="맑은 고딕" w:eastAsia="맑은 고딕"/>
          <w:b/>
          <w:i w:val="0"/>
          <w:sz w:val="21"/>
        </w:rPr>
        <w:t>사실:</w:t>
      </w:r>
      <w:r>
        <w:rPr>
          <w:rFonts w:ascii="맑은 고딕" w:hAnsi="맑은 고딕" w:eastAsia="맑은 고딕"/>
          <w:i w:val="0"/>
          <w:sz w:val="21"/>
        </w:rPr>
        <w:t xml:space="preserve"> 인도 첸나이 출신으로 IIT 카라그푸르, 스탠퍼드 석사, 와튼 MBA를 거쳐 맥킨지를 경유해 2004년 구글에 합류하였다. Chrome 브라우저와 Chrome OS 개발을 주도하며 두각을 나타냈고, 2013년 안드로이드 총괄, 2015년 Google CEO, 2019년 12월 Alphabet CEO에 취임하였다. </w:t>
      </w:r>
      <w:r>
        <w:rPr>
          <w:rFonts w:ascii="맑은 고딕" w:hAnsi="맑은 고딕" w:eastAsia="맑은 고딕"/>
          <w:b/>
          <w:i w:val="0"/>
          <w:sz w:val="21"/>
        </w:rPr>
        <w:t>추론:</w:t>
      </w:r>
      <w:r>
        <w:rPr>
          <w:rFonts w:ascii="맑은 고딕" w:hAnsi="맑은 고딕" w:eastAsia="맑은 고딕"/>
          <w:i w:val="0"/>
          <w:sz w:val="21"/>
        </w:rPr>
        <w:t xml:space="preserve"> 그의 재임 기간은 크게 두 국면으로 나뉜다. 2015~2022년은 광고 수익성 극대화와 클라우드 진입기, 2023년 이후는 생성형 AI 대응기이다. 후자에서 초기에는 ChatGPT 대응이 늦었다는 비판을 받았으나, Gemini 3세대 이후 모델 경쟁력과 TPU 자체 실리콘을 결합한 수직통합 전략으로 서사를 회복했다는 평가가 지배적이다. 다만 그는 Class B 주식을 보유하지 않아 구조적 의결권은 없으며, 창업자의 신임에 기반한 운영 권한을 행사한다는 점이 구조적 특징이다.</w:t>
      </w:r>
    </w:p>
    <w:p>
      <w:pPr>
        <w:spacing w:before="160" w:after="80"/>
      </w:pPr>
      <w:r>
        <w:rPr>
          <w:rFonts w:ascii="맑은 고딕" w:hAnsi="맑은 고딕" w:eastAsia="맑은 고딕"/>
          <w:b/>
          <w:color w:val="1A1A1A"/>
          <w:sz w:val="22"/>
        </w:rPr>
        <w:t>아나트 아슈케나지(Anat Ashkenazi) — SVP 겸 CFO</w:t>
      </w:r>
    </w:p>
    <w:p>
      <w:pPr>
        <w:spacing w:after="120"/>
      </w:pPr>
      <w:r>
        <w:rPr>
          <w:rFonts w:ascii="맑은 고딕" w:hAnsi="맑은 고딕" w:eastAsia="맑은 고딕"/>
          <w:b/>
          <w:i w:val="0"/>
          <w:sz w:val="21"/>
        </w:rPr>
        <w:t>사실:</w:t>
      </w:r>
      <w:r>
        <w:rPr>
          <w:rFonts w:ascii="맑은 고딕" w:hAnsi="맑은 고딕" w:eastAsia="맑은 고딕"/>
          <w:i w:val="0"/>
          <w:sz w:val="21"/>
        </w:rPr>
        <w:t xml:space="preserve"> 2024년 7월 Alphabet 및 Google의 CFO로 선임되었다. 직전에는 2021년 2월부터 2024년 7월까지 글로벌 제약사 일라이 릴리(Eli Lilly)의 EVP 겸 CFO를 역임하였으며, 릴리에서만 20년 이상 근무한 재무 전문가이다. </w:t>
      </w:r>
      <w:r>
        <w:rPr>
          <w:rFonts w:ascii="맑은 고딕" w:hAnsi="맑은 고딕" w:eastAsia="맑은 고딕"/>
          <w:b/>
          <w:i w:val="0"/>
          <w:sz w:val="21"/>
        </w:rPr>
        <w:t>추론:</w:t>
      </w:r>
      <w:r>
        <w:rPr>
          <w:rFonts w:ascii="맑은 고딕" w:hAnsi="맑은 고딕" w:eastAsia="맑은 고딕"/>
          <w:i w:val="0"/>
          <w:sz w:val="21"/>
        </w:rPr>
        <w:t xml:space="preserve"> 비(非)테크 산업 출신 CFO의 영입은 대규모 설비투자 사이클을 관리할 자본배분 규율을 확보하려는 이사회의 의도로 해석된다. 실제로 그는 취임 이후 비용 효율화 기조와 함께 2026년 CapEx 가이던스를 $180B~$190B로 상향하고 2027년에는 "상당한 추가 증가"를 예고하는 등, 투자 확대와 마진 방어를 동시에 커뮤니케이션하는 역할을 수행하고 있다.</w:t>
      </w:r>
    </w:p>
    <w:p>
      <w:pPr>
        <w:spacing w:before="160" w:after="80"/>
      </w:pPr>
      <w:r>
        <w:rPr>
          <w:rFonts w:ascii="맑은 고딕" w:hAnsi="맑은 고딕" w:eastAsia="맑은 고딕"/>
          <w:b/>
          <w:color w:val="1A1A1A"/>
          <w:sz w:val="22"/>
        </w:rPr>
        <w:t>필립 샤인들러(Philipp Schindler) — SVP 겸 Chief Business Officer</w:t>
      </w:r>
    </w:p>
    <w:p>
      <w:pPr>
        <w:spacing w:after="120"/>
      </w:pPr>
      <w:r>
        <w:rPr>
          <w:rFonts w:ascii="맑은 고딕" w:hAnsi="맑은 고딕" w:eastAsia="맑은 고딕"/>
          <w:b/>
          <w:i w:val="0"/>
          <w:sz w:val="21"/>
        </w:rPr>
        <w:t>사실:</w:t>
      </w:r>
      <w:r>
        <w:rPr>
          <w:rFonts w:ascii="맑은 고딕" w:hAnsi="맑은 고딕" w:eastAsia="맑은 고딕"/>
          <w:i w:val="0"/>
          <w:sz w:val="21"/>
        </w:rPr>
        <w:t xml:space="preserve"> 2015년부터 글로벌 영업·광고 파트너십 조직을 총괄하고 있다. 독일 출신으로 2005년 구글에 합류해 유럽 지역 영업을 이끌었다. </w:t>
      </w:r>
      <w:r>
        <w:rPr>
          <w:rFonts w:ascii="맑은 고딕" w:hAnsi="맑은 고딕" w:eastAsia="맑은 고딕"/>
          <w:b/>
          <w:i w:val="0"/>
          <w:sz w:val="21"/>
        </w:rPr>
        <w:t>추론:</w:t>
      </w:r>
      <w:r>
        <w:rPr>
          <w:rFonts w:ascii="맑은 고딕" w:hAnsi="맑은 고딕" w:eastAsia="맑은 고딕"/>
          <w:i w:val="0"/>
          <w:sz w:val="21"/>
        </w:rPr>
        <w:t xml:space="preserve"> 실적 컨퍼런스콜에서 광고주 수요, 리테일·금융·여행 등 버티컬별 지출 동향, AI 광고 상품(Performance Max, Demand Gen)의 채택률을 설명하는 인물로, 광고 매출의 단기 사이클을 판단할 때 그의 코멘트가 가장 직접적인 정보원이 된다.</w:t>
      </w:r>
    </w:p>
    <w:p>
      <w:pPr>
        <w:spacing w:before="160" w:after="80"/>
      </w:pPr>
      <w:r>
        <w:rPr>
          <w:rFonts w:ascii="맑은 고딕" w:hAnsi="맑은 고딕" w:eastAsia="맑은 고딕"/>
          <w:b/>
          <w:color w:val="1A1A1A"/>
          <w:sz w:val="22"/>
        </w:rPr>
        <w:t>데미스 하사비스(Demis Hassabis) — Google DeepMind CEO</w:t>
      </w:r>
    </w:p>
    <w:p>
      <w:pPr>
        <w:spacing w:after="120"/>
      </w:pPr>
      <w:r>
        <w:rPr>
          <w:rFonts w:ascii="맑은 고딕" w:hAnsi="맑은 고딕" w:eastAsia="맑은 고딕"/>
          <w:b/>
          <w:i w:val="0"/>
          <w:sz w:val="21"/>
        </w:rPr>
        <w:t>사실:</w:t>
      </w:r>
      <w:r>
        <w:rPr>
          <w:rFonts w:ascii="맑은 고딕" w:hAnsi="맑은 고딕" w:eastAsia="맑은 고딕"/>
          <w:i w:val="0"/>
          <w:sz w:val="21"/>
        </w:rPr>
        <w:t xml:space="preserve"> DeepMind 공동창업자이며 2024년 노벨 화학상(AlphaFold 공로) 공동 수상자이다. 2023년 Google Brain과 DeepMind 통합 이후 Alphabet의 전 AI 연구를 총괄한다. </w:t>
      </w:r>
      <w:r>
        <w:rPr>
          <w:rFonts w:ascii="맑은 고딕" w:hAnsi="맑은 고딕" w:eastAsia="맑은 고딕"/>
          <w:b/>
          <w:i w:val="0"/>
          <w:sz w:val="21"/>
        </w:rPr>
        <w:t>추론:</w:t>
      </w:r>
      <w:r>
        <w:rPr>
          <w:rFonts w:ascii="맑은 고딕" w:hAnsi="맑은 고딕" w:eastAsia="맑은 고딕"/>
          <w:i w:val="0"/>
          <w:sz w:val="21"/>
        </w:rPr>
        <w:t xml:space="preserve"> 연구 조직과 제품 조직 사이의 통합 속도가 Gemini의 제품화 주기를 결정하는 핵심 변수이며, 하사비스의 재직 여부 자체가 AI 인재 리스크의 지표로 볼 수 있다.</w:t>
      </w:r>
    </w:p>
    <w:p>
      <w:pPr>
        <w:spacing w:before="160" w:after="80"/>
      </w:pPr>
      <w:r>
        <w:rPr>
          <w:rFonts w:ascii="맑은 고딕" w:hAnsi="맑은 고딕" w:eastAsia="맑은 고딕"/>
          <w:b/>
          <w:color w:val="1A1A1A"/>
          <w:sz w:val="22"/>
        </w:rPr>
        <w:t>지배구조</w:t>
      </w:r>
    </w:p>
    <w:p>
      <w:pPr>
        <w:spacing w:after="120"/>
      </w:pPr>
      <w:r>
        <w:rPr>
          <w:rFonts w:ascii="맑은 고딕" w:hAnsi="맑은 고딕" w:eastAsia="맑은 고딕"/>
          <w:b/>
          <w:i w:val="0"/>
          <w:sz w:val="21"/>
        </w:rPr>
        <w:t>사실:</w:t>
      </w:r>
      <w:r>
        <w:rPr>
          <w:rFonts w:ascii="맑은 고딕" w:hAnsi="맑은 고딕" w:eastAsia="맑은 고딕"/>
          <w:i w:val="0"/>
          <w:sz w:val="21"/>
        </w:rPr>
        <w:t xml:space="preserve"> Alphabet은 3종 주식 구조를 유지한다. Class A(GOOGL)는 1주 1의결권, Class B는 1주 10의결권으로 창업자와 초기 임원이 보유하며 비상장이고, Class C(GOOG)는 의결권이 없다. 창업자 래리 페이지와 세르게이 브린은 Class B를 통해 경제적 지분을 크게 상회하는 과반 수준의 의결권(약 51%대)을 유지하고 있는 것으로 보고된다.</w:t>
      </w:r>
    </w:p>
    <w:p>
      <w:pPr>
        <w:spacing w:after="120"/>
      </w:pPr>
      <w:r>
        <w:rPr>
          <w:rFonts w:ascii="맑은 고딕" w:hAnsi="맑은 고딕" w:eastAsia="맑은 고딕"/>
          <w:b/>
          <w:i w:val="0"/>
          <w:sz w:val="21"/>
        </w:rPr>
        <w:t>추론:</w:t>
      </w:r>
      <w:r>
        <w:rPr>
          <w:rFonts w:ascii="맑은 고딕" w:hAnsi="맑은 고딕" w:eastAsia="맑은 고딕"/>
          <w:i w:val="0"/>
          <w:sz w:val="21"/>
        </w:rPr>
        <w:t xml:space="preserve"> 이 구조는 단기 행동주의 압력으로부터 장기 R&amp;D 투자를 방어하는 순기능이 있으나, 반대로 주주가 이사회 구성이나 자본배분에 실질적으로 개입할 수단이 사실상 없다는 의미이기도 하다. 대규모 AI CapEx가 기대수익률에 미달하더라도 외부 주주가 이를 제어할 거버넌스 장치는 제한적이다. 이는 밸류에이션 할인 요인으로 고려될 수 있는 사항이다.</w:t>
      </w:r>
    </w:p>
    <w:p>
      <w:pPr>
        <w:spacing w:after="120"/>
      </w:pPr>
      <w:r>
        <w:rPr>
          <w:rFonts w:ascii="맑은 고딕" w:hAnsi="맑은 고딕" w:eastAsia="맑은 고딕"/>
          <w:i w:val="0"/>
          <w:sz w:val="21"/>
        </w:rPr>
        <w:t>---</w:t>
      </w:r>
    </w:p>
    <w:p>
      <w:pPr>
        <w:spacing w:before="240" w:after="80"/>
        <w:pBdr>
          <w:bottom w:val="single" w:sz="6" w:space="2" w:color="1F3864"/>
        </w:pBdr>
      </w:pPr>
      <w:r>
        <w:rPr>
          <w:rFonts w:ascii="맑은 고딕" w:hAnsi="맑은 고딕" w:eastAsia="맑은 고딕"/>
          <w:b/>
          <w:color w:val="1F3864"/>
          <w:sz w:val="30"/>
        </w:rPr>
        <w:t>제품 및 서비스</w:t>
      </w:r>
    </w:p>
    <w:p>
      <w:pPr>
        <w:spacing w:after="120"/>
      </w:pPr>
      <w:r>
        <w:rPr>
          <w:rFonts w:ascii="맑은 고딕" w:hAnsi="맑은 고딕" w:eastAsia="맑은 고딕"/>
          <w:b/>
          <w:i w:val="0"/>
          <w:sz w:val="21"/>
        </w:rPr>
        <w:t>검색(Google Search).</w:t>
      </w:r>
      <w:r>
        <w:rPr>
          <w:rFonts w:ascii="맑은 고딕" w:hAnsi="맑은 고딕" w:eastAsia="맑은 고딕"/>
          <w:i w:val="0"/>
          <w:sz w:val="21"/>
        </w:rPr>
        <w:t xml:space="preserve"> </w:t>
      </w:r>
      <w:r>
        <w:rPr>
          <w:rFonts w:ascii="맑은 고딕" w:hAnsi="맑은 고딕" w:eastAsia="맑은 고딕"/>
          <w:b/>
          <w:i w:val="0"/>
          <w:sz w:val="21"/>
        </w:rPr>
        <w:t>사실:</w:t>
      </w:r>
      <w:r>
        <w:rPr>
          <w:rFonts w:ascii="맑은 고딕" w:hAnsi="맑은 고딕" w:eastAsia="맑은 고딕"/>
          <w:i w:val="0"/>
          <w:sz w:val="21"/>
        </w:rPr>
        <w:t xml:space="preserve"> 2026년 4월 기준 구글의 글로벌 검색엔진 점유율은 약 90.0%로 보고되며, Chrome 브라우저 점유율은 약 68.0% 수준이다. 검색 결과 상단에 AI 요약을 제공하는 AI 오버뷰(AI Overviews)는 월 20억 명 이상에게 노출되며, 전체 검색 쿼리의 약 18%, 롱테일 쿼리의 약 57%에 표시되는 것으로 집계된다. 대화형 검색 인터페이스인 AI Mode는 2026년 I/O에서 월간 활성 사용자 10억 명을 돌파했다고 발표되었다.</w:t>
      </w:r>
    </w:p>
    <w:p>
      <w:pPr>
        <w:spacing w:after="120"/>
      </w:pPr>
      <w:r>
        <w:rPr>
          <w:rFonts w:ascii="맑은 고딕" w:hAnsi="맑은 고딕" w:eastAsia="맑은 고딕"/>
          <w:b/>
          <w:i w:val="0"/>
          <w:sz w:val="21"/>
        </w:rPr>
        <w:t>추론:</w:t>
      </w:r>
      <w:r>
        <w:rPr>
          <w:rFonts w:ascii="맑은 고딕" w:hAnsi="맑은 고딕" w:eastAsia="맑은 고딕"/>
          <w:i w:val="0"/>
          <w:sz w:val="21"/>
        </w:rPr>
        <w:t xml:space="preserve"> AI 오버뷰의 확산은 양면적이다. 요약이 클릭을 대체하면 링크 기반 광고 인벤토리가 축소되는 반면, 회사는 AI 오버뷰의 광고 단가(monetization rate)가 기존 검색과 대체로 유사한 수준이라고 반복 주장해 왔다. FY2025 서치 매출이 $223.6B로 성장세를 유지한 점은 최소한 현재까지 잠식 우려가 실적으로는 현실화되지 않았음을 시사한다. 다만 이는 '아직'의 문제일 수 있으며, 사용자 행태가 링크 탐색에서 대화형 질의로 완전히 이동하는 구간에서 단가 구조가 재검증되어야 한다.</w:t>
      </w:r>
    </w:p>
    <w:p>
      <w:pPr>
        <w:spacing w:after="120"/>
      </w:pPr>
      <w:r>
        <w:rPr>
          <w:rFonts w:ascii="맑은 고딕" w:hAnsi="맑은 고딕" w:eastAsia="맑은 고딕"/>
          <w:b/>
          <w:i w:val="0"/>
          <w:sz w:val="21"/>
        </w:rPr>
        <w:t>유튜브.</w:t>
      </w:r>
      <w:r>
        <w:rPr>
          <w:rFonts w:ascii="맑은 고딕" w:hAnsi="맑은 고딕" w:eastAsia="맑은 고딕"/>
          <w:i w:val="0"/>
          <w:sz w:val="21"/>
        </w:rPr>
        <w:t xml:space="preserve"> </w:t>
      </w:r>
      <w:r>
        <w:rPr>
          <w:rFonts w:ascii="맑은 고딕" w:hAnsi="맑은 고딕" w:eastAsia="맑은 고딕"/>
          <w:b/>
          <w:i w:val="0"/>
          <w:sz w:val="21"/>
        </w:rPr>
        <w:t>사실:</w:t>
      </w:r>
      <w:r>
        <w:rPr>
          <w:rFonts w:ascii="맑은 고딕" w:hAnsi="맑은 고딕" w:eastAsia="맑은 고딕"/>
          <w:i w:val="0"/>
          <w:sz w:val="21"/>
        </w:rPr>
        <w:t xml:space="preserve"> FY2025 유튜브 광고 매출 $42.7B. 여기에 유튜브 프리미엄·뮤직·TV 구독 매출은 '구독·플랫폼·기기' 세그먼트($49.1B)에 계상되어 별도 공시되지 않는다. </w:t>
      </w:r>
      <w:r>
        <w:rPr>
          <w:rFonts w:ascii="맑은 고딕" w:hAnsi="맑은 고딕" w:eastAsia="맑은 고딕"/>
          <w:b/>
          <w:i w:val="0"/>
          <w:sz w:val="21"/>
        </w:rPr>
        <w:t>추론:</w:t>
      </w:r>
      <w:r>
        <w:rPr>
          <w:rFonts w:ascii="맑은 고딕" w:hAnsi="맑은 고딕" w:eastAsia="맑은 고딕"/>
          <w:i w:val="0"/>
          <w:sz w:val="21"/>
        </w:rPr>
        <w:t xml:space="preserve"> 미국 TV 시청시간 점유율 기준 최상위 플랫폼 지위와 Shorts의 수익화 단가 개선이 결합되며, 유튜브는 광고와 구독의 이중 수익 구조를 가진 유일한 대형 자산으로 볼 수 있다.</w:t>
      </w:r>
    </w:p>
    <w:p>
      <w:pPr>
        <w:spacing w:after="120"/>
      </w:pPr>
      <w:r>
        <w:rPr>
          <w:rFonts w:ascii="맑은 고딕" w:hAnsi="맑은 고딕" w:eastAsia="맑은 고딕"/>
          <w:b/>
          <w:i w:val="0"/>
          <w:sz w:val="21"/>
        </w:rPr>
        <w:t>안드로이드 및 기기.</w:t>
      </w:r>
      <w:r>
        <w:rPr>
          <w:rFonts w:ascii="맑은 고딕" w:hAnsi="맑은 고딕" w:eastAsia="맑은 고딕"/>
          <w:i w:val="0"/>
          <w:sz w:val="21"/>
        </w:rPr>
        <w:t xml:space="preserve"> </w:t>
      </w:r>
      <w:r>
        <w:rPr>
          <w:rFonts w:ascii="맑은 고딕" w:hAnsi="맑은 고딕" w:eastAsia="맑은 고딕"/>
          <w:b/>
          <w:i w:val="0"/>
          <w:sz w:val="21"/>
        </w:rPr>
        <w:t>사실:</w:t>
      </w:r>
      <w:r>
        <w:rPr>
          <w:rFonts w:ascii="맑은 고딕" w:hAnsi="맑은 고딕" w:eastAsia="맑은 고딕"/>
          <w:i w:val="0"/>
          <w:sz w:val="21"/>
        </w:rPr>
        <w:t xml:space="preserve"> 안드로이드는 전 세계 스마트폰 OS의 약 70%대 점유율을 유지하며, Play 스토어 수수료와 검색 기본 탑재를 통한 트래픽 확보 채널로 기능한다. Pixel 기기는 자체 실리콘(Tensor)과 Gemini 기능의 쇼케이스 역할을 한다.</w:t>
      </w:r>
    </w:p>
    <w:p>
      <w:pPr>
        <w:spacing w:after="120"/>
      </w:pPr>
      <w:r>
        <w:rPr>
          <w:rFonts w:ascii="맑은 고딕" w:hAnsi="맑은 고딕" w:eastAsia="맑은 고딕"/>
          <w:b/>
          <w:i w:val="0"/>
          <w:sz w:val="21"/>
        </w:rPr>
        <w:t>구글 클라우드.</w:t>
      </w:r>
      <w:r>
        <w:rPr>
          <w:rFonts w:ascii="맑은 고딕" w:hAnsi="맑은 고딕" w:eastAsia="맑은 고딕"/>
          <w:i w:val="0"/>
          <w:sz w:val="21"/>
        </w:rPr>
        <w:t xml:space="preserve"> </w:t>
      </w:r>
      <w:r>
        <w:rPr>
          <w:rFonts w:ascii="맑은 고딕" w:hAnsi="맑은 고딕" w:eastAsia="맑은 고딕"/>
          <w:b/>
          <w:i w:val="0"/>
          <w:sz w:val="21"/>
        </w:rPr>
        <w:t>사실:</w:t>
      </w:r>
      <w:r>
        <w:rPr>
          <w:rFonts w:ascii="맑은 고딕" w:hAnsi="맑은 고딕" w:eastAsia="맑은 고딕"/>
          <w:i w:val="0"/>
          <w:sz w:val="21"/>
        </w:rPr>
        <w:t xml:space="preserve"> FY2025 매출 $57.2B, 2026년 1분기 매출은 전년 대비 63% 증가한 $20.0B를 기록하였다. 동 분기 수주잔고(backlog)는 전분기 대비 거의 두 배 증가한 $460B 이상으로 보고되었으며, 이 중 50% 남짓이 향후 24개월 내 매출로 전환될 것으로 안내되었다.</w:t>
      </w:r>
    </w:p>
    <w:p>
      <w:pPr>
        <w:spacing w:after="120"/>
      </w:pPr>
      <w:r>
        <w:rPr>
          <w:rFonts w:ascii="맑은 고딕" w:hAnsi="맑은 고딕" w:eastAsia="맑은 고딕"/>
          <w:b/>
          <w:i w:val="0"/>
          <w:sz w:val="21"/>
        </w:rPr>
        <w:t>추론:</w:t>
      </w:r>
      <w:r>
        <w:rPr>
          <w:rFonts w:ascii="맑은 고딕" w:hAnsi="맑은 고딕" w:eastAsia="맑은 고딕"/>
          <w:i w:val="0"/>
          <w:sz w:val="21"/>
        </w:rPr>
        <w:t xml:space="preserve"> 63% 성장과 backlog의 급증은 AI 인프라 수요가 계약 형태로 확정되고 있음을 보여주는 가장 강력한 증거이다. 다만 backlog의 상당 부분이 소수 대형 AI 랩과의 장기 컴퓨트 계약에 집중되어 있다면 고객 집중 리스크와 순환거래 성격의 논쟁이 뒤따를 수 있으므로, 계약 구성의 분산도를 지속 확인할 필요가 있다.</w:t>
      </w:r>
    </w:p>
    <w:p>
      <w:pPr>
        <w:spacing w:after="120"/>
      </w:pPr>
      <w:r>
        <w:rPr>
          <w:rFonts w:ascii="맑은 고딕" w:hAnsi="맑은 고딕" w:eastAsia="맑은 고딕"/>
          <w:b/>
          <w:i w:val="0"/>
          <w:sz w:val="21"/>
        </w:rPr>
        <w:t>Gemini 및 AI.</w:t>
      </w:r>
      <w:r>
        <w:rPr>
          <w:rFonts w:ascii="맑은 고딕" w:hAnsi="맑은 고딕" w:eastAsia="맑은 고딕"/>
          <w:i w:val="0"/>
          <w:sz w:val="21"/>
        </w:rPr>
        <w:t xml:space="preserve"> </w:t>
      </w:r>
      <w:r>
        <w:rPr>
          <w:rFonts w:ascii="맑은 고딕" w:hAnsi="맑은 고딕" w:eastAsia="맑은 고딕"/>
          <w:b/>
          <w:i w:val="0"/>
          <w:sz w:val="21"/>
        </w:rPr>
        <w:t>사실:</w:t>
      </w:r>
      <w:r>
        <w:rPr>
          <w:rFonts w:ascii="맑은 고딕" w:hAnsi="맑은 고딕" w:eastAsia="맑은 고딕"/>
          <w:i w:val="0"/>
          <w:sz w:val="21"/>
        </w:rPr>
        <w:t xml:space="preserve"> Gemini 앱의 월간 활성 사용자는 2026년 5월 I/O 시점 기준 9억 명으로 발표되었다. 웹 기준 AI 챗봇 점유율은 2026년 6월 기준 ChatGPT 54.7%, Gemini 27.4%, Claude 8.2%로 집계된다. 수익화는 Google AI Pro(월 $20 수준)와 Google AI Ultra(월 $250 수준) 구독 티어 및 Gemini Enterprise 좌석 판매로 이루어지며, 엔터프라이즈 유료 좌석은 2,800개 이상 기업에 걸쳐 800만 석을 상회하는 것으로 보고된다. 2025년 Gemini 구독 매출은 약 $1.2B로 추정된다.</w:t>
      </w:r>
    </w:p>
    <w:p>
      <w:pPr>
        <w:spacing w:after="120"/>
      </w:pPr>
      <w:r>
        <w:rPr>
          <w:rFonts w:ascii="맑은 고딕" w:hAnsi="맑은 고딕" w:eastAsia="맑은 고딕"/>
          <w:b/>
          <w:i w:val="0"/>
          <w:sz w:val="21"/>
        </w:rPr>
        <w:t>추론:</w:t>
      </w:r>
      <w:r>
        <w:rPr>
          <w:rFonts w:ascii="맑은 고딕" w:hAnsi="맑은 고딕" w:eastAsia="맑은 고딕"/>
          <w:i w:val="0"/>
          <w:sz w:val="21"/>
        </w:rPr>
        <w:t xml:space="preserve"> $1.2B는 전사 매출($402.8B) 대비 0.3%에 불과하다. 즉 Gemini의 현재 재무적 기여는 직접 구독 매출이 아니라 (1) 검색 방어, (2) 클라우드 수주 견인, (3) 워크스페이스 ARPU 상승이라는 간접 경로에 있다고 보는 것이 타당하다.</w:t>
      </w:r>
    </w:p>
    <w:p>
      <w:pPr>
        <w:spacing w:after="120"/>
      </w:pPr>
      <w:r>
        <w:rPr>
          <w:rFonts w:ascii="맑은 고딕" w:hAnsi="맑은 고딕" w:eastAsia="맑은 고딕"/>
          <w:b/>
          <w:i w:val="0"/>
          <w:sz w:val="21"/>
        </w:rPr>
        <w:t>TPU.</w:t>
      </w:r>
      <w:r>
        <w:rPr>
          <w:rFonts w:ascii="맑은 고딕" w:hAnsi="맑은 고딕" w:eastAsia="맑은 고딕"/>
          <w:i w:val="0"/>
          <w:sz w:val="21"/>
        </w:rPr>
        <w:t xml:space="preserve"> </w:t>
      </w:r>
      <w:r>
        <w:rPr>
          <w:rFonts w:ascii="맑은 고딕" w:hAnsi="맑은 고딕" w:eastAsia="맑은 고딕"/>
          <w:b/>
          <w:i w:val="0"/>
          <w:sz w:val="21"/>
        </w:rPr>
        <w:t>사실:</w:t>
      </w:r>
      <w:r>
        <w:rPr>
          <w:rFonts w:ascii="맑은 고딕" w:hAnsi="맑은 고딕" w:eastAsia="맑은 고딕"/>
          <w:i w:val="0"/>
          <w:sz w:val="21"/>
        </w:rPr>
        <w:t xml:space="preserve"> 7세대 TPU 'Ironwood'는 칩당 4.6 페타플롭스, 9,216칩 슈퍼팟 기준 42.5 엑사플롭스를 제공하며 2026년 클라우드 고객에게 일반 공급이 개시되었다. Anthropic과의 계약은 1단계로 약 40만 개 Ironwood(약 $10B 규모, Broadcom이 완성 랙 형태로 직납), 잔여 60만 개는 GCP를 통한 임대 방식으로 보고되며, 2027년까지 3.5기가와트 규모로 확대가 예고되었다. 또한 일부 고객사의 자체 데이터센터에 TPU를 공급하는 방안도 추진되고 있다.</w:t>
      </w:r>
    </w:p>
    <w:p>
      <w:pPr>
        <w:spacing w:after="120"/>
      </w:pPr>
      <w:r>
        <w:rPr>
          <w:rFonts w:ascii="맑은 고딕" w:hAnsi="맑은 고딕" w:eastAsia="맑은 고딕"/>
          <w:b/>
          <w:i w:val="0"/>
          <w:sz w:val="21"/>
        </w:rPr>
        <w:t>추론:</w:t>
      </w:r>
      <w:r>
        <w:rPr>
          <w:rFonts w:ascii="맑은 고딕" w:hAnsi="맑은 고딕" w:eastAsia="맑은 고딕"/>
          <w:i w:val="0"/>
          <w:sz w:val="21"/>
        </w:rPr>
        <w:t xml:space="preserve"> TPU는 두 가지 의미를 갖는다. 첫째, 자체 학습·추론 비용의 구조적 절감(엔비디아 GPU 대비 총소유비용 우위)으로, 이는 Alphabet의 AI 마진 방어력의 원천이다. 둘째, 외부 판매 확대 시 NVIDIA 지배 구조에 대한 실질적 대안 공급자로 부상할 수 있다. 다만 소프트웨어 생태계(CUDA)의 관성은 여전히 높은 진입장벽이다.</w:t>
      </w:r>
    </w:p>
    <w:p>
      <w:pPr>
        <w:spacing w:after="120"/>
      </w:pPr>
      <w:r>
        <w:rPr>
          <w:rFonts w:ascii="맑은 고딕" w:hAnsi="맑은 고딕" w:eastAsia="맑은 고딕"/>
          <w:b/>
          <w:i w:val="0"/>
          <w:sz w:val="21"/>
        </w:rPr>
        <w:t>Waymo.</w:t>
      </w:r>
      <w:r>
        <w:rPr>
          <w:rFonts w:ascii="맑은 고딕" w:hAnsi="맑은 고딕" w:eastAsia="맑은 고딕"/>
          <w:i w:val="0"/>
          <w:sz w:val="21"/>
        </w:rPr>
        <w:t xml:space="preserve"> </w:t>
      </w:r>
      <w:r>
        <w:rPr>
          <w:rFonts w:ascii="맑은 고딕" w:hAnsi="맑은 고딕" w:eastAsia="맑은 고딕"/>
          <w:b/>
          <w:i w:val="0"/>
          <w:sz w:val="21"/>
        </w:rPr>
        <w:t>사실:</w:t>
      </w:r>
      <w:r>
        <w:rPr>
          <w:rFonts w:ascii="맑은 고딕" w:hAnsi="맑은 고딕" w:eastAsia="맑은 고딕"/>
          <w:i w:val="0"/>
          <w:sz w:val="21"/>
        </w:rPr>
        <w:t xml:space="preserve"> Waymo는 2026년 들어 6개 신규 도시로 서비스를 확장했으며, 주간 자율주행 운행 횟수는 1년이 채 되지 않아 두 배로 증가하였다. 재무적으로는 Other Bets($2.0B)에 계상되어 있으며, 동 부문은 지속 영업손실 상태이다. </w:t>
      </w:r>
      <w:r>
        <w:rPr>
          <w:rFonts w:ascii="맑은 고딕" w:hAnsi="맑은 고딕" w:eastAsia="맑은 고딕"/>
          <w:b/>
          <w:i w:val="0"/>
          <w:sz w:val="21"/>
        </w:rPr>
        <w:t>추론:</w:t>
      </w:r>
      <w:r>
        <w:rPr>
          <w:rFonts w:ascii="맑은 고딕" w:hAnsi="맑은 고딕" w:eastAsia="맑은 고딕"/>
          <w:i w:val="0"/>
          <w:sz w:val="21"/>
        </w:rPr>
        <w:t xml:space="preserve"> 현 시점에서 Waymo의 기업가치는 손익이 아니라 옵션 가치로 평가되어야 한다.</w:t>
      </w:r>
    </w:p>
    <w:p>
      <w:pPr>
        <w:spacing w:after="120"/>
      </w:pPr>
      <w:r>
        <w:rPr>
          <w:rFonts w:ascii="맑은 고딕" w:hAnsi="맑은 고딕" w:eastAsia="맑은 고딕"/>
          <w:i w:val="0"/>
          <w:sz w:val="21"/>
        </w:rPr>
        <w:t>---</w:t>
      </w:r>
    </w:p>
    <w:p>
      <w:pPr>
        <w:jc w:val="center"/>
      </w:pPr>
      <w:r>
        <w:drawing>
          <wp:inline xmlns:a="http://schemas.openxmlformats.org/drawingml/2006/main" xmlns:pic="http://schemas.openxmlformats.org/drawingml/2006/picture">
            <wp:extent cx="5486400" cy="2838872"/>
            <wp:docPr id="4" name="Picture 4"/>
            <wp:cNvGraphicFramePr>
              <a:graphicFrameLocks noChangeAspect="1"/>
            </wp:cNvGraphicFramePr>
            <a:graphic>
              <a:graphicData uri="http://schemas.openxmlformats.org/drawingml/2006/picture">
                <pic:pic>
                  <pic:nvPicPr>
                    <pic:cNvPr id="0" name="chart_05_cloud.png"/>
                    <pic:cNvPicPr/>
                  </pic:nvPicPr>
                  <pic:blipFill>
                    <a:blip r:embed="rId12"/>
                    <a:stretch>
                      <a:fillRect/>
                    </a:stretch>
                  </pic:blipFill>
                  <pic:spPr>
                    <a:xfrm>
                      <a:off x="0" y="0"/>
                      <a:ext cx="5486400" cy="2838872"/>
                    </a:xfrm>
                    <a:prstGeom prst="rect"/>
                  </pic:spPr>
                </pic:pic>
              </a:graphicData>
            </a:graphic>
          </wp:inline>
        </w:drawing>
      </w:r>
    </w:p>
    <w:p>
      <w:pPr>
        <w:spacing w:after="200"/>
      </w:pPr>
      <w:r>
        <w:rPr>
          <w:rFonts w:ascii="맑은 고딕" w:hAnsi="맑은 고딕" w:eastAsia="맑은 고딕"/>
          <w:i/>
          <w:color w:val="595959"/>
          <w:sz w:val="16"/>
        </w:rPr>
        <w:t>그림 5 — 구글 클라우드 매출·성장률. 자료: 모델.</w:t>
      </w:r>
    </w:p>
    <w:p>
      <w:pPr>
        <w:spacing w:before="240" w:after="80"/>
        <w:pBdr>
          <w:bottom w:val="single" w:sz="6" w:space="2" w:color="1F3864"/>
        </w:pBdr>
      </w:pPr>
      <w:r>
        <w:rPr>
          <w:rFonts w:ascii="맑은 고딕" w:hAnsi="맑은 고딕" w:eastAsia="맑은 고딕"/>
          <w:b/>
          <w:color w:val="1F3864"/>
          <w:sz w:val="30"/>
        </w:rPr>
        <w:t>고객 및 시장 진입 전략</w:t>
      </w:r>
    </w:p>
    <w:p>
      <w:pPr>
        <w:spacing w:after="120"/>
      </w:pPr>
      <w:r>
        <w:rPr>
          <w:rFonts w:ascii="맑은 고딕" w:hAnsi="맑은 고딕" w:eastAsia="맑은 고딕"/>
          <w:b/>
          <w:i w:val="0"/>
          <w:sz w:val="21"/>
        </w:rPr>
        <w:t>사실:</w:t>
      </w:r>
      <w:r>
        <w:rPr>
          <w:rFonts w:ascii="맑은 고딕" w:hAnsi="맑은 고딕" w:eastAsia="맑은 고딕"/>
          <w:i w:val="0"/>
          <w:sz w:val="21"/>
        </w:rPr>
        <w:t xml:space="preserve"> Alphabet의 광고 고객은 수백만에 이르는 중소 광고주부터 글로벌 브랜드까지 광범위하게 분산되어 있으며, 단일 고객이 매출의 10%를 초과하지 않는다고 공시되어 왔다. 판매는 대형 광고주 대상 직접 영업(Chief Business Officer 조직)과 중소 광고주 대상 셀프서비스 자동화 플랫폼(Google Ads, Performance Max)의 이원 구조로 이루어진다.</w:t>
      </w:r>
    </w:p>
    <w:p>
      <w:pPr>
        <w:spacing w:after="120"/>
      </w:pPr>
      <w:r>
        <w:rPr>
          <w:rFonts w:ascii="맑은 고딕" w:hAnsi="맑은 고딕" w:eastAsia="맑은 고딕"/>
          <w:b/>
          <w:i w:val="0"/>
          <w:sz w:val="21"/>
        </w:rPr>
        <w:t>사실:</w:t>
      </w:r>
      <w:r>
        <w:rPr>
          <w:rFonts w:ascii="맑은 고딕" w:hAnsi="맑은 고딕" w:eastAsia="맑은 고딕"/>
          <w:i w:val="0"/>
          <w:sz w:val="21"/>
        </w:rPr>
        <w:t xml:space="preserve"> 트래픽 획득 비용(TAC, Traffic Acquisition Cost)은 검색 기본 설정을 확보하기 위해 애플·삼성 등 기기 제조사와 브라우저·통신 파트너에게 지급하는 수익 배분금으로, Alphabet 광고 매출의 20% 안팎에 해당하는 규모이며 손익계산서상 최대 단일 비용 항목 중 하나이다. 애플과의 검색 기본 탑재 계약이 대표적이다.</w:t>
      </w:r>
    </w:p>
    <w:p>
      <w:pPr>
        <w:spacing w:after="120"/>
      </w:pPr>
      <w:r>
        <w:rPr>
          <w:rFonts w:ascii="맑은 고딕" w:hAnsi="맑은 고딕" w:eastAsia="맑은 고딕"/>
          <w:b/>
          <w:i w:val="0"/>
          <w:sz w:val="21"/>
        </w:rPr>
        <w:t>추론:</w:t>
      </w:r>
      <w:r>
        <w:rPr>
          <w:rFonts w:ascii="맑은 고딕" w:hAnsi="맑은 고딕" w:eastAsia="맑은 고딕"/>
          <w:i w:val="0"/>
          <w:sz w:val="21"/>
        </w:rPr>
        <w:t xml:space="preserve"> TAC는 반독점 판결의 직접적 표적이다. 2025년 12월 최종판결이 배타적 계약을 금지한 만큼, 향후 TAC는 (1) 배타성 상실로 협상력이 약화되어 감소하거나, (2) 비배타적 조건에서도 기본 설정을 유지하기 위해 오히려 증가하는 두 시나리오가 모두 가능하다. 전자는 마진에 긍정적이나 트래픽 유입 감소 위험을, 후자는 마진 압박을 수반한다. 어느 쪽이든 마진과 트래픽의 트레이드오프가 향후 수년간 핵심 관전 포인트이다.</w:t>
      </w:r>
    </w:p>
    <w:p>
      <w:pPr>
        <w:spacing w:after="120"/>
      </w:pPr>
      <w:r>
        <w:rPr>
          <w:rFonts w:ascii="맑은 고딕" w:hAnsi="맑은 고딕" w:eastAsia="맑은 고딕"/>
          <w:b/>
          <w:i w:val="0"/>
          <w:sz w:val="21"/>
        </w:rPr>
        <w:t>사실:</w:t>
      </w:r>
      <w:r>
        <w:rPr>
          <w:rFonts w:ascii="맑은 고딕" w:hAnsi="맑은 고딕" w:eastAsia="맑은 고딕"/>
          <w:i w:val="0"/>
          <w:sz w:val="21"/>
        </w:rPr>
        <w:t xml:space="preserve"> 클라우드 고객은 대형 엔터프라이즈, 공공, 그리고 AI 스타트업·연구소로 구분된다. 진입 전략은 데이터 분석(BigQuery)과 AI 인프라를 앵커로 삼아 계정을 확보한 뒤 워크로드를 확대하는 방식이며, Gemini Enterprise 좌석 판매(2,800개사, 800만 석 이상)가 상위 판매 채널로 기능하고 있다.</w:t>
      </w:r>
    </w:p>
    <w:p>
      <w:pPr>
        <w:spacing w:after="120"/>
      </w:pPr>
      <w:r>
        <w:rPr>
          <w:rFonts w:ascii="맑은 고딕" w:hAnsi="맑은 고딕" w:eastAsia="맑은 고딕"/>
          <w:i w:val="0"/>
          <w:sz w:val="21"/>
        </w:rPr>
        <w:t>---</w:t>
      </w:r>
    </w:p>
    <w:p>
      <w:pPr>
        <w:jc w:val="center"/>
      </w:pPr>
      <w:r>
        <w:drawing>
          <wp:inline xmlns:a="http://schemas.openxmlformats.org/drawingml/2006/main" xmlns:pic="http://schemas.openxmlformats.org/drawingml/2006/picture">
            <wp:extent cx="5852160" cy="3320806"/>
            <wp:docPr id="5" name="Picture 5"/>
            <wp:cNvGraphicFramePr>
              <a:graphicFrameLocks noChangeAspect="1"/>
            </wp:cNvGraphicFramePr>
            <a:graphic>
              <a:graphicData uri="http://schemas.openxmlformats.org/drawingml/2006/picture">
                <pic:pic>
                  <pic:nvPicPr>
                    <pic:cNvPr id="0" name="chart_04_geography.png"/>
                    <pic:cNvPicPr/>
                  </pic:nvPicPr>
                  <pic:blipFill>
                    <a:blip r:embed="rId13"/>
                    <a:stretch>
                      <a:fillRect/>
                    </a:stretch>
                  </pic:blipFill>
                  <pic:spPr>
                    <a:xfrm>
                      <a:off x="0" y="0"/>
                      <a:ext cx="5852160" cy="3320806"/>
                    </a:xfrm>
                    <a:prstGeom prst="rect"/>
                  </pic:spPr>
                </pic:pic>
              </a:graphicData>
            </a:graphic>
          </wp:inline>
        </w:drawing>
      </w:r>
    </w:p>
    <w:p>
      <w:pPr>
        <w:spacing w:after="200"/>
      </w:pPr>
      <w:r>
        <w:rPr>
          <w:rFonts w:ascii="맑은 고딕" w:hAnsi="맑은 고딕" w:eastAsia="맑은 고딕"/>
          <w:i/>
          <w:color w:val="595959"/>
          <w:sz w:val="16"/>
        </w:rPr>
        <w:t>그림 4 — 지역별 매출(청구지 기준). 자료: 모델. ⭐</w:t>
      </w:r>
    </w:p>
    <w:p>
      <w:pPr>
        <w:spacing w:before="240" w:after="80"/>
        <w:pBdr>
          <w:bottom w:val="single" w:sz="6" w:space="2" w:color="1F3864"/>
        </w:pBdr>
      </w:pPr>
      <w:r>
        <w:rPr>
          <w:rFonts w:ascii="맑은 고딕" w:hAnsi="맑은 고딕" w:eastAsia="맑은 고딕"/>
          <w:b/>
          <w:color w:val="1F3864"/>
          <w:sz w:val="30"/>
        </w:rPr>
        <w:t>산업 개요</w:t>
      </w:r>
    </w:p>
    <w:p>
      <w:pPr>
        <w:spacing w:after="120"/>
      </w:pPr>
      <w:r>
        <w:rPr>
          <w:rFonts w:ascii="맑은 고딕" w:hAnsi="맑은 고딕" w:eastAsia="맑은 고딕"/>
          <w:b/>
          <w:i w:val="0"/>
          <w:sz w:val="21"/>
        </w:rPr>
        <w:t>사실:</w:t>
      </w:r>
      <w:r>
        <w:rPr>
          <w:rFonts w:ascii="맑은 고딕" w:hAnsi="맑은 고딕" w:eastAsia="맑은 고딕"/>
          <w:i w:val="0"/>
          <w:sz w:val="21"/>
        </w:rPr>
        <w:t xml:space="preserve"> 글로벌 디지털 광고 시장 규모는 조사기관별 정의 차이로 편차가 크며, 2026년 기준 $354.9B(협의)에서 $836B(광의, 전체 광고비의 68.7%)까지 추정치가 분포한다. 공통적으로 디지털 광고가 전체 미디어 지출의 3분의 2 이상을 차지하며 연 10%대 성장을 지속한다는 점에는 이견이 없다.</w:t>
      </w:r>
    </w:p>
    <w:p>
      <w:pPr>
        <w:spacing w:after="120"/>
      </w:pPr>
      <w:r>
        <w:rPr>
          <w:rFonts w:ascii="맑은 고딕" w:hAnsi="맑은 고딕" w:eastAsia="맑은 고딕"/>
          <w:b/>
          <w:i w:val="0"/>
          <w:sz w:val="21"/>
        </w:rPr>
        <w:t>사실:</w:t>
      </w:r>
      <w:r>
        <w:rPr>
          <w:rFonts w:ascii="맑은 고딕" w:hAnsi="맑은 고딕" w:eastAsia="맑은 고딕"/>
          <w:i w:val="0"/>
          <w:sz w:val="21"/>
        </w:rPr>
        <w:t xml:space="preserve"> 클라우드 인프라 시장은 2026년 1분기 기준 분기 $129B 규모로 전년 대비 35% 성장하였으며, AI 인프라가 전체 클라우드 지출에서 차지하는 비중은 2023년 8%에서 2026년 19%로 상승하였다. 상위 3사 점유율은 AWS 약 31%, Azure 약 23~25%, Google Cloud 약 11~12%로, 합산 약 68%이다.</w:t>
      </w:r>
    </w:p>
    <w:p>
      <w:pPr>
        <w:spacing w:after="120"/>
      </w:pPr>
      <w:r>
        <w:rPr>
          <w:rFonts w:ascii="맑은 고딕" w:hAnsi="맑은 고딕" w:eastAsia="맑은 고딕"/>
          <w:b/>
          <w:i w:val="0"/>
          <w:sz w:val="21"/>
        </w:rPr>
        <w:t>추론:</w:t>
      </w:r>
      <w:r>
        <w:rPr>
          <w:rFonts w:ascii="맑은 고딕" w:hAnsi="맑은 고딕" w:eastAsia="맑은 고딕"/>
          <w:i w:val="0"/>
          <w:sz w:val="21"/>
        </w:rPr>
        <w:t xml:space="preserve"> 산업 구조상 핵심 변화는 클라우드의 성장 동인이 '기존 워크로드 이전'에서 'AI 학습·추론 컴퓨트'로 이동했다는 점이다. 이는 시장 전체 파이를 키우는 동시에, 자체 가속기와 데이터센터 전력을 확보한 사업자에게 유리한 경쟁 구도를 형성한다. Google Cloud의 63% 성장률이 AWS(28%)와 Azure(40%대)를 상회한 것은 낮은 기저효과와 함께 TPU 기반 원가 구조가 가격 경쟁력으로 전환된 결과로 해석할 수 있다.</w:t>
      </w:r>
    </w:p>
    <w:p>
      <w:pPr>
        <w:spacing w:after="120"/>
      </w:pPr>
      <w:r>
        <w:rPr>
          <w:rFonts w:ascii="맑은 고딕" w:hAnsi="맑은 고딕" w:eastAsia="맑은 고딕"/>
          <w:b/>
          <w:i w:val="0"/>
          <w:sz w:val="21"/>
        </w:rPr>
        <w:t>사실:</w:t>
      </w:r>
      <w:r>
        <w:rPr>
          <w:rFonts w:ascii="맑은 고딕" w:hAnsi="맑은 고딕" w:eastAsia="맑은 고딕"/>
          <w:i w:val="0"/>
          <w:sz w:val="21"/>
        </w:rPr>
        <w:t xml:space="preserve"> AI 인프라 경쟁은 자본 집약도가 급격히 상승하는 국면이다. Alphabet은 2026년 CapEx 가이던스를 $180B~$190B로 상향(종전 $175B~$185B)하였고, 2027년에는 이보다 "상당히 증가"할 것이라고 안내하였다. 2026년 1분기 CapEx는 $35.7B이며 이 중 약 60%가 서버, 40%가 데이터센터·네트워크 장비에 배분되었다.</w:t>
      </w:r>
    </w:p>
    <w:p>
      <w:pPr>
        <w:spacing w:after="120"/>
      </w:pPr>
      <w:r>
        <w:rPr>
          <w:rFonts w:ascii="맑은 고딕" w:hAnsi="맑은 고딕" w:eastAsia="맑은 고딕"/>
          <w:b/>
          <w:i w:val="0"/>
          <w:sz w:val="21"/>
        </w:rPr>
        <w:t>추론:</w:t>
      </w:r>
      <w:r>
        <w:rPr>
          <w:rFonts w:ascii="맑은 고딕" w:hAnsi="맑은 고딕" w:eastAsia="맑은 고딕"/>
          <w:i w:val="0"/>
          <w:sz w:val="21"/>
        </w:rPr>
        <w:t xml:space="preserve"> FY2025 CapEx가 매출의 22.7%였음을 감안하면, 2026년 $185B(중간값)는 매출 대비 약 38~40% 수준으로 급등한다. 이는 감가상각비 증가를 통해 향후 2~4년간 영업이익률에 하방 압력으로 작용할 것이 거의 확실하다. 투자 효율(투하자본 대비 클라우드·광고 매출 증분)이 실적 검증의 중심 지표가 될 전망이다.</w:t>
      </w:r>
    </w:p>
    <w:p>
      <w:pPr>
        <w:spacing w:after="120"/>
      </w:pPr>
      <w:r>
        <w:rPr>
          <w:rFonts w:ascii="맑은 고딕" w:hAnsi="맑은 고딕" w:eastAsia="맑은 고딕"/>
          <w:i w:val="0"/>
          <w:sz w:val="21"/>
        </w:rPr>
        <w:t>---</w:t>
      </w:r>
    </w:p>
    <w:p>
      <w:pPr>
        <w:spacing w:before="240" w:after="80"/>
        <w:pBdr>
          <w:bottom w:val="single" w:sz="6" w:space="2" w:color="1F3864"/>
        </w:pBdr>
      </w:pPr>
      <w:r>
        <w:rPr>
          <w:rFonts w:ascii="맑은 고딕" w:hAnsi="맑은 고딕" w:eastAsia="맑은 고딕"/>
          <w:b/>
          <w:color w:val="1F3864"/>
          <w:sz w:val="30"/>
        </w:rPr>
        <w:t>경쟁 환경</w:t>
      </w:r>
    </w:p>
    <w:p>
      <w:pPr>
        <w:spacing w:after="120"/>
      </w:pPr>
      <w:r>
        <w:rPr>
          <w:rFonts w:ascii="맑은 고딕" w:hAnsi="맑은 고딕" w:eastAsia="맑은 고딕"/>
          <w:b/>
          <w:i w:val="0"/>
          <w:sz w:val="21"/>
        </w:rPr>
        <w:t>Meta Platforms (META).</w:t>
      </w:r>
      <w:r>
        <w:rPr>
          <w:rFonts w:ascii="맑은 고딕" w:hAnsi="맑은 고딕" w:eastAsia="맑은 고딕"/>
          <w:i w:val="0"/>
          <w:sz w:val="21"/>
        </w:rPr>
        <w:t xml:space="preserve"> </w:t>
      </w:r>
      <w:r>
        <w:rPr>
          <w:rFonts w:ascii="맑은 고딕" w:hAnsi="맑은 고딕" w:eastAsia="맑은 고딕"/>
          <w:b/>
          <w:i w:val="0"/>
          <w:sz w:val="21"/>
        </w:rPr>
        <w:t>사실:</w:t>
      </w:r>
      <w:r>
        <w:rPr>
          <w:rFonts w:ascii="맑은 고딕" w:hAnsi="맑은 고딕" w:eastAsia="맑은 고딕"/>
          <w:i w:val="0"/>
          <w:sz w:val="21"/>
        </w:rPr>
        <w:t xml:space="preserve"> 소셜 피드 기반 광고에서 Alphabet과 브랜드·퍼포먼스 예산을 직접 경쟁한다. </w:t>
      </w:r>
      <w:r>
        <w:rPr>
          <w:rFonts w:ascii="맑은 고딕" w:hAnsi="맑은 고딕" w:eastAsia="맑은 고딕"/>
          <w:b/>
          <w:i w:val="0"/>
          <w:sz w:val="21"/>
        </w:rPr>
        <w:t>추론:</w:t>
      </w:r>
      <w:r>
        <w:rPr>
          <w:rFonts w:ascii="맑은 고딕" w:hAnsi="맑은 고딕" w:eastAsia="맑은 고딕"/>
          <w:i w:val="0"/>
          <w:sz w:val="21"/>
        </w:rPr>
        <w:t xml:space="preserve"> 광고 예산 배분 경쟁이지 대체 관계는 아니며, 검색 광고(구매 의도 확정)와 피드 광고(수요 창출)의 퍼널 위치가 다르다. 다만 AI 기반 크리에이티브 자동화 경쟁에서는 정면 충돌한다.</w:t>
      </w:r>
    </w:p>
    <w:p>
      <w:pPr>
        <w:spacing w:after="120"/>
      </w:pPr>
      <w:r>
        <w:rPr>
          <w:rFonts w:ascii="맑은 고딕" w:hAnsi="맑은 고딕" w:eastAsia="맑은 고딕"/>
          <w:b/>
          <w:i w:val="0"/>
          <w:sz w:val="21"/>
        </w:rPr>
        <w:t>Amazon (AMZN).</w:t>
      </w:r>
      <w:r>
        <w:rPr>
          <w:rFonts w:ascii="맑은 고딕" w:hAnsi="맑은 고딕" w:eastAsia="맑은 고딕"/>
          <w:i w:val="0"/>
          <w:sz w:val="21"/>
        </w:rPr>
        <w:t xml:space="preserve"> </w:t>
      </w:r>
      <w:r>
        <w:rPr>
          <w:rFonts w:ascii="맑은 고딕" w:hAnsi="맑은 고딕" w:eastAsia="맑은 고딕"/>
          <w:b/>
          <w:i w:val="0"/>
          <w:sz w:val="21"/>
        </w:rPr>
        <w:t>사실:</w:t>
      </w:r>
      <w:r>
        <w:rPr>
          <w:rFonts w:ascii="맑은 고딕" w:hAnsi="맑은 고딕" w:eastAsia="맑은 고딕"/>
          <w:i w:val="0"/>
          <w:sz w:val="21"/>
        </w:rPr>
        <w:t xml:space="preserve"> 리테일 미디어 광고에서 급성장하며 상품 검색의 시작점을 잠식하고 있고, AWS는 클라우드 1위(약 31%)로 Google Cloud의 최대 경쟁자이다. </w:t>
      </w:r>
      <w:r>
        <w:rPr>
          <w:rFonts w:ascii="맑은 고딕" w:hAnsi="맑은 고딕" w:eastAsia="맑은 고딕"/>
          <w:b/>
          <w:i w:val="0"/>
          <w:sz w:val="21"/>
        </w:rPr>
        <w:t>추론:</w:t>
      </w:r>
      <w:r>
        <w:rPr>
          <w:rFonts w:ascii="맑은 고딕" w:hAnsi="맑은 고딕" w:eastAsia="맑은 고딕"/>
          <w:i w:val="0"/>
          <w:sz w:val="21"/>
        </w:rPr>
        <w:t xml:space="preserve"> 상품 검색 트래픽 이탈은 구글 검색 광고 중 가장 단가가 높은 커머스 쿼리를 직접 위협한다는 점에서 구조적 위협에 해당한다.</w:t>
      </w:r>
    </w:p>
    <w:p>
      <w:pPr>
        <w:spacing w:after="120"/>
      </w:pPr>
      <w:r>
        <w:rPr>
          <w:rFonts w:ascii="맑은 고딕" w:hAnsi="맑은 고딕" w:eastAsia="맑은 고딕"/>
          <w:b/>
          <w:i w:val="0"/>
          <w:sz w:val="21"/>
        </w:rPr>
        <w:t>Microsoft (MSFT).</w:t>
      </w:r>
      <w:r>
        <w:rPr>
          <w:rFonts w:ascii="맑은 고딕" w:hAnsi="맑은 고딕" w:eastAsia="맑은 고딕"/>
          <w:i w:val="0"/>
          <w:sz w:val="21"/>
        </w:rPr>
        <w:t xml:space="preserve"> </w:t>
      </w:r>
      <w:r>
        <w:rPr>
          <w:rFonts w:ascii="맑은 고딕" w:hAnsi="맑은 고딕" w:eastAsia="맑은 고딕"/>
          <w:b/>
          <w:i w:val="0"/>
          <w:sz w:val="21"/>
        </w:rPr>
        <w:t>사실:</w:t>
      </w:r>
      <w:r>
        <w:rPr>
          <w:rFonts w:ascii="맑은 고딕" w:hAnsi="맑은 고딕" w:eastAsia="맑은 고딕"/>
          <w:i w:val="0"/>
          <w:sz w:val="21"/>
        </w:rPr>
        <w:t xml:space="preserve"> Azure는 2026 회계연도 3분기 40% 성장하며 3개 분기 연속 38%를 상회하였고, OpenAI와의 제휴 및 Copilot의 오피스 번들링으로 엔터프라이즈 AI 접점을 선점하고 있다. </w:t>
      </w:r>
      <w:r>
        <w:rPr>
          <w:rFonts w:ascii="맑은 고딕" w:hAnsi="맑은 고딕" w:eastAsia="맑은 고딕"/>
          <w:b/>
          <w:i w:val="0"/>
          <w:sz w:val="21"/>
        </w:rPr>
        <w:t>추론:</w:t>
      </w:r>
      <w:r>
        <w:rPr>
          <w:rFonts w:ascii="맑은 고딕" w:hAnsi="맑은 고딕" w:eastAsia="맑은 고딕"/>
          <w:i w:val="0"/>
          <w:sz w:val="21"/>
        </w:rPr>
        <w:t xml:space="preserve"> Workspace 대 Microsoft 365의 생산성 AI 경쟁은 Gemini 구독 매출의 상단을 제약하는 요인이다.</w:t>
      </w:r>
    </w:p>
    <w:p>
      <w:pPr>
        <w:spacing w:after="120"/>
      </w:pPr>
      <w:r>
        <w:rPr>
          <w:rFonts w:ascii="맑은 고딕" w:hAnsi="맑은 고딕" w:eastAsia="맑은 고딕"/>
          <w:b/>
          <w:i w:val="0"/>
          <w:sz w:val="21"/>
        </w:rPr>
        <w:t>OpenAI / ChatGPT.</w:t>
      </w:r>
      <w:r>
        <w:rPr>
          <w:rFonts w:ascii="맑은 고딕" w:hAnsi="맑은 고딕" w:eastAsia="맑은 고딕"/>
          <w:i w:val="0"/>
          <w:sz w:val="21"/>
        </w:rPr>
        <w:t xml:space="preserve"> </w:t>
      </w:r>
      <w:r>
        <w:rPr>
          <w:rFonts w:ascii="맑은 고딕" w:hAnsi="맑은 고딕" w:eastAsia="맑은 고딕"/>
          <w:b/>
          <w:i w:val="0"/>
          <w:sz w:val="21"/>
        </w:rPr>
        <w:t>사실:</w:t>
      </w:r>
      <w:r>
        <w:rPr>
          <w:rFonts w:ascii="맑은 고딕" w:hAnsi="맑은 고딕" w:eastAsia="맑은 고딕"/>
          <w:i w:val="0"/>
          <w:sz w:val="21"/>
        </w:rPr>
        <w:t xml:space="preserve"> 웹 기준 AI 챗봇 점유율 54.7%로 1위이며, 검색형 질의를 흡수하고 있다. </w:t>
      </w:r>
      <w:r>
        <w:rPr>
          <w:rFonts w:ascii="맑은 고딕" w:hAnsi="맑은 고딕" w:eastAsia="맑은 고딕"/>
          <w:b/>
          <w:i w:val="0"/>
          <w:sz w:val="21"/>
        </w:rPr>
        <w:t>추론:</w:t>
      </w:r>
      <w:r>
        <w:rPr>
          <w:rFonts w:ascii="맑은 고딕" w:hAnsi="맑은 고딕" w:eastAsia="맑은 고딕"/>
          <w:i w:val="0"/>
          <w:sz w:val="21"/>
        </w:rPr>
        <w:t xml:space="preserve"> 가장 직접적인 실존적 경쟁자이다. 다만 OpenAI가 광고 수익모델과 유통 채널(브라우저·OS 기본 탑재)에서 구글의 30년 인프라를 단기간에 복제하기는 어렵다는 점이 Alphabet의 방어선이다.</w:t>
      </w:r>
    </w:p>
    <w:p>
      <w:pPr>
        <w:spacing w:after="120"/>
      </w:pPr>
      <w:r>
        <w:rPr>
          <w:rFonts w:ascii="맑은 고딕" w:hAnsi="맑은 고딕" w:eastAsia="맑은 고딕"/>
          <w:b/>
          <w:i w:val="0"/>
          <w:sz w:val="21"/>
        </w:rPr>
        <w:t>TikTok(ByteDance).</w:t>
      </w:r>
      <w:r>
        <w:rPr>
          <w:rFonts w:ascii="맑은 고딕" w:hAnsi="맑은 고딕" w:eastAsia="맑은 고딕"/>
          <w:i w:val="0"/>
          <w:sz w:val="21"/>
        </w:rPr>
        <w:t xml:space="preserve"> </w:t>
      </w:r>
      <w:r>
        <w:rPr>
          <w:rFonts w:ascii="맑은 고딕" w:hAnsi="맑은 고딕" w:eastAsia="맑은 고딕"/>
          <w:b/>
          <w:i w:val="0"/>
          <w:sz w:val="21"/>
        </w:rPr>
        <w:t>사실:</w:t>
      </w:r>
      <w:r>
        <w:rPr>
          <w:rFonts w:ascii="맑은 고딕" w:hAnsi="맑은 고딕" w:eastAsia="맑은 고딕"/>
          <w:i w:val="0"/>
          <w:sz w:val="21"/>
        </w:rPr>
        <w:t xml:space="preserve"> 숏폼 동영상 시청시간에서 유튜브와 경쟁한다. </w:t>
      </w:r>
      <w:r>
        <w:rPr>
          <w:rFonts w:ascii="맑은 고딕" w:hAnsi="맑은 고딕" w:eastAsia="맑은 고딕"/>
          <w:b/>
          <w:i w:val="0"/>
          <w:sz w:val="21"/>
        </w:rPr>
        <w:t>추론:</w:t>
      </w:r>
      <w:r>
        <w:rPr>
          <w:rFonts w:ascii="맑은 고딕" w:hAnsi="맑은 고딕" w:eastAsia="맑은 고딕"/>
          <w:i w:val="0"/>
          <w:sz w:val="21"/>
        </w:rPr>
        <w:t xml:space="preserve"> 미국 내 규제 불확실성이 오히려 유튜브 Shorts에 반사이익을 제공해 온 측면이 있다.</w:t>
      </w:r>
    </w:p>
    <w:p>
      <w:pPr>
        <w:spacing w:after="120"/>
      </w:pPr>
      <w:r>
        <w:rPr>
          <w:rFonts w:ascii="맑은 고딕" w:hAnsi="맑은 고딕" w:eastAsia="맑은 고딕"/>
          <w:b/>
          <w:i w:val="0"/>
          <w:sz w:val="21"/>
        </w:rPr>
        <w:t>Apple (AAPL).</w:t>
      </w:r>
      <w:r>
        <w:rPr>
          <w:rFonts w:ascii="맑은 고딕" w:hAnsi="맑은 고딕" w:eastAsia="맑은 고딕"/>
          <w:i w:val="0"/>
          <w:sz w:val="21"/>
        </w:rPr>
        <w:t xml:space="preserve"> </w:t>
      </w:r>
      <w:r>
        <w:rPr>
          <w:rFonts w:ascii="맑은 고딕" w:hAnsi="맑은 고딕" w:eastAsia="맑은 고딕"/>
          <w:b/>
          <w:i w:val="0"/>
          <w:sz w:val="21"/>
        </w:rPr>
        <w:t>사실:</w:t>
      </w:r>
      <w:r>
        <w:rPr>
          <w:rFonts w:ascii="맑은 고딕" w:hAnsi="맑은 고딕" w:eastAsia="맑은 고딕"/>
          <w:i w:val="0"/>
          <w:sz w:val="21"/>
        </w:rPr>
        <w:t xml:space="preserve"> 검색 기본 탑재 계약의 상대방인 동시에, 자체 AI 및 검색 기능 내재화 시 잠재적 경쟁자로 전환된다. </w:t>
      </w:r>
      <w:r>
        <w:rPr>
          <w:rFonts w:ascii="맑은 고딕" w:hAnsi="맑은 고딕" w:eastAsia="맑은 고딕"/>
          <w:b/>
          <w:i w:val="0"/>
          <w:sz w:val="21"/>
        </w:rPr>
        <w:t>추론:</w:t>
      </w:r>
      <w:r>
        <w:rPr>
          <w:rFonts w:ascii="맑은 고딕" w:hAnsi="맑은 고딕" w:eastAsia="맑은 고딕"/>
          <w:i w:val="0"/>
          <w:sz w:val="21"/>
        </w:rPr>
        <w:t xml:space="preserve"> 애플은 현재 Alphabet의 최대 유통 파트너이자 최대 단일 협상 리스크이다. 반독점 판결로 배타성이 제거된 환경에서 애플이 복수 검색·AI 공급자를 병렬 탑재할 경우, 트래픽의 일부 유출은 불가피하다.</w:t>
      </w:r>
    </w:p>
    <w:p>
      <w:pPr>
        <w:spacing w:after="120"/>
      </w:pPr>
      <w:r>
        <w:rPr>
          <w:rFonts w:ascii="맑은 고딕" w:hAnsi="맑은 고딕" w:eastAsia="맑은 고딕"/>
          <w:b/>
          <w:i w:val="0"/>
          <w:sz w:val="21"/>
        </w:rPr>
        <w:t>NVIDIA (NVDA).</w:t>
      </w:r>
      <w:r>
        <w:rPr>
          <w:rFonts w:ascii="맑은 고딕" w:hAnsi="맑은 고딕" w:eastAsia="맑은 고딕"/>
          <w:i w:val="0"/>
          <w:sz w:val="21"/>
        </w:rPr>
        <w:t xml:space="preserve"> </w:t>
      </w:r>
      <w:r>
        <w:rPr>
          <w:rFonts w:ascii="맑은 고딕" w:hAnsi="맑은 고딕" w:eastAsia="맑은 고딕"/>
          <w:b/>
          <w:i w:val="0"/>
          <w:sz w:val="21"/>
        </w:rPr>
        <w:t>사실:</w:t>
      </w:r>
      <w:r>
        <w:rPr>
          <w:rFonts w:ascii="맑은 고딕" w:hAnsi="맑은 고딕" w:eastAsia="맑은 고딕"/>
          <w:i w:val="0"/>
          <w:sz w:val="21"/>
        </w:rPr>
        <w:t xml:space="preserve"> TPU와 GPU는 AI 가속기 시장에서 경쟁 관계이나, Alphabet은 동시에 NVIDIA의 대형 고객이기도 하다. </w:t>
      </w:r>
      <w:r>
        <w:rPr>
          <w:rFonts w:ascii="맑은 고딕" w:hAnsi="맑은 고딕" w:eastAsia="맑은 고딕"/>
          <w:b/>
          <w:i w:val="0"/>
          <w:sz w:val="21"/>
        </w:rPr>
        <w:t>추론:</w:t>
      </w:r>
      <w:r>
        <w:rPr>
          <w:rFonts w:ascii="맑은 고딕" w:hAnsi="맑은 고딕" w:eastAsia="맑은 고딕"/>
          <w:i w:val="0"/>
          <w:sz w:val="21"/>
        </w:rPr>
        <w:t xml:space="preserve"> 협력과 경쟁이 병존하는 관계로, TPU 외부 판매 확대는 이 균형을 흔들 수 있다.</w:t>
      </w:r>
    </w:p>
    <w:p>
      <w:pPr>
        <w:spacing w:after="120"/>
      </w:pPr>
      <w:r>
        <w:rPr>
          <w:rFonts w:ascii="맑은 고딕" w:hAnsi="맑은 고딕" w:eastAsia="맑은 고딕"/>
          <w:b/>
          <w:i w:val="0"/>
          <w:sz w:val="21"/>
        </w:rPr>
        <w:t>Anthropic·xAI 등 AI 랩.</w:t>
      </w:r>
      <w:r>
        <w:rPr>
          <w:rFonts w:ascii="맑은 고딕" w:hAnsi="맑은 고딕" w:eastAsia="맑은 고딕"/>
          <w:i w:val="0"/>
          <w:sz w:val="21"/>
        </w:rPr>
        <w:t xml:space="preserve"> </w:t>
      </w:r>
      <w:r>
        <w:rPr>
          <w:rFonts w:ascii="맑은 고딕" w:hAnsi="맑은 고딕" w:eastAsia="맑은 고딕"/>
          <w:b/>
          <w:i w:val="0"/>
          <w:sz w:val="21"/>
        </w:rPr>
        <w:t>사실:</w:t>
      </w:r>
      <w:r>
        <w:rPr>
          <w:rFonts w:ascii="맑은 고딕" w:hAnsi="맑은 고딕" w:eastAsia="맑은 고딕"/>
          <w:i w:val="0"/>
          <w:sz w:val="21"/>
        </w:rPr>
        <w:t xml:space="preserve"> Alphabet은 Anthropic의 주요 투자자이자 컴퓨트 공급자이다. </w:t>
      </w:r>
      <w:r>
        <w:rPr>
          <w:rFonts w:ascii="맑은 고딕" w:hAnsi="맑은 고딕" w:eastAsia="맑은 고딕"/>
          <w:b/>
          <w:i w:val="0"/>
          <w:sz w:val="21"/>
        </w:rPr>
        <w:t>추론:</w:t>
      </w:r>
      <w:r>
        <w:rPr>
          <w:rFonts w:ascii="맑은 고딕" w:hAnsi="맑은 고딕" w:eastAsia="맑은 고딕"/>
          <w:i w:val="0"/>
          <w:sz w:val="21"/>
        </w:rPr>
        <w:t xml:space="preserve"> 모델 계층의 경쟁자이면서 인프라 계층의 고객이라는 이중 관계는 클라우드 매출 성장의 질에 대한 논쟁을 야기한다.</w:t>
      </w:r>
    </w:p>
    <w:p>
      <w:pPr>
        <w:spacing w:after="120"/>
      </w:pPr>
      <w:r>
        <w:rPr>
          <w:rFonts w:ascii="맑은 고딕" w:hAnsi="맑은 고딕" w:eastAsia="맑은 고딕"/>
          <w:b/>
          <w:i w:val="0"/>
          <w:sz w:val="21"/>
        </w:rPr>
        <w:t>Perplexity 등 AI 검색 신생.</w:t>
      </w:r>
      <w:r>
        <w:rPr>
          <w:rFonts w:ascii="맑은 고딕" w:hAnsi="맑은 고딕" w:eastAsia="맑은 고딕"/>
          <w:i w:val="0"/>
          <w:sz w:val="21"/>
        </w:rPr>
        <w:t xml:space="preserve"> </w:t>
      </w:r>
      <w:r>
        <w:rPr>
          <w:rFonts w:ascii="맑은 고딕" w:hAnsi="맑은 고딕" w:eastAsia="맑은 고딕"/>
          <w:b/>
          <w:i w:val="0"/>
          <w:sz w:val="21"/>
        </w:rPr>
        <w:t>사실:</w:t>
      </w:r>
      <w:r>
        <w:rPr>
          <w:rFonts w:ascii="맑은 고딕" w:hAnsi="맑은 고딕" w:eastAsia="맑은 고딕"/>
          <w:i w:val="0"/>
          <w:sz w:val="21"/>
        </w:rPr>
        <w:t xml:space="preserve"> 점유율은 아직 미미하나 인용 기반 검색 UX를 선도하였다. </w:t>
      </w:r>
      <w:r>
        <w:rPr>
          <w:rFonts w:ascii="맑은 고딕" w:hAnsi="맑은 고딕" w:eastAsia="맑은 고딕"/>
          <w:b/>
          <w:i w:val="0"/>
          <w:sz w:val="21"/>
        </w:rPr>
        <w:t>추론:</w:t>
      </w:r>
      <w:r>
        <w:rPr>
          <w:rFonts w:ascii="맑은 고딕" w:hAnsi="맑은 고딕" w:eastAsia="맑은 고딕"/>
          <w:i w:val="0"/>
          <w:sz w:val="21"/>
        </w:rPr>
        <w:t xml:space="preserve"> 직접 위협보다는 구글의 제품 로드맵을 앞당긴 촉매로 기능하였다.</w:t>
      </w:r>
    </w:p>
    <w:p>
      <w:pPr>
        <w:spacing w:after="120"/>
      </w:pPr>
      <w:r>
        <w:rPr>
          <w:rFonts w:ascii="맑은 고딕" w:hAnsi="맑은 고딕" w:eastAsia="맑은 고딕"/>
          <w:i w:val="0"/>
          <w:sz w:val="21"/>
        </w:rPr>
        <w:t>---</w:t>
      </w:r>
    </w:p>
    <w:p>
      <w:pPr>
        <w:jc w:val="center"/>
      </w:pPr>
      <w:r>
        <w:drawing>
          <wp:inline xmlns:a="http://schemas.openxmlformats.org/drawingml/2006/main" xmlns:pic="http://schemas.openxmlformats.org/drawingml/2006/picture">
            <wp:extent cx="5486400" cy="3113256"/>
            <wp:docPr id="6" name="Picture 6"/>
            <wp:cNvGraphicFramePr>
              <a:graphicFrameLocks noChangeAspect="1"/>
            </wp:cNvGraphicFramePr>
            <a:graphic>
              <a:graphicData uri="http://schemas.openxmlformats.org/drawingml/2006/picture">
                <pic:pic>
                  <pic:nvPicPr>
                    <pic:cNvPr id="0" name="chart_11_peer_pe.png"/>
                    <pic:cNvPicPr/>
                  </pic:nvPicPr>
                  <pic:blipFill>
                    <a:blip r:embed="rId14"/>
                    <a:stretch>
                      <a:fillRect/>
                    </a:stretch>
                  </pic:blipFill>
                  <pic:spPr>
                    <a:xfrm>
                      <a:off x="0" y="0"/>
                      <a:ext cx="5486400" cy="3113256"/>
                    </a:xfrm>
                    <a:prstGeom prst="rect"/>
                  </pic:spPr>
                </pic:pic>
              </a:graphicData>
            </a:graphic>
          </wp:inline>
        </w:drawing>
      </w:r>
    </w:p>
    <w:p>
      <w:pPr>
        <w:spacing w:after="200"/>
      </w:pPr>
      <w:r>
        <w:rPr>
          <w:rFonts w:ascii="맑은 고딕" w:hAnsi="맑은 고딕" w:eastAsia="맑은 고딕"/>
          <w:i/>
          <w:color w:val="595959"/>
          <w:sz w:val="16"/>
        </w:rPr>
        <w:t>그림 11 — 피어 선행 P/E 비교. 자료: 피어 데이터.</w:t>
      </w:r>
    </w:p>
    <w:p>
      <w:pPr>
        <w:spacing w:before="240" w:after="80"/>
        <w:pBdr>
          <w:bottom w:val="single" w:sz="6" w:space="2" w:color="1F3864"/>
        </w:pBdr>
      </w:pPr>
      <w:r>
        <w:rPr>
          <w:rFonts w:ascii="맑은 고딕" w:hAnsi="맑은 고딕" w:eastAsia="맑은 고딕"/>
          <w:b/>
          <w:color w:val="1F3864"/>
          <w:sz w:val="30"/>
        </w:rPr>
        <w:t>시장 기회 (TAM)</w:t>
      </w:r>
    </w:p>
    <w:p>
      <w:pPr>
        <w:spacing w:after="120"/>
      </w:pPr>
      <w:r>
        <w:rPr>
          <w:rFonts w:ascii="맑은 고딕" w:hAnsi="맑은 고딕" w:eastAsia="맑은 고딕"/>
          <w:b/>
          <w:i w:val="0"/>
          <w:sz w:val="21"/>
        </w:rPr>
        <w:t>추론(계산 기반):</w:t>
      </w:r>
      <w:r>
        <w:rPr>
          <w:rFonts w:ascii="맑은 고딕" w:hAnsi="맑은 고딕" w:eastAsia="맑은 고딕"/>
          <w:i w:val="0"/>
          <w:sz w:val="21"/>
        </w:rPr>
        <w:t xml:space="preserve"> 광고 TAM은 전체 광고비 기준 $1T 내외, 디지털 광고에 한정하면 2026년 $700~840B 수준으로 추정된다. Alphabet의 광고 매출 $294.5B는 디지털 광고 TAM 대비 약 35~42%의 침투율에 해당하며, 이는 이미 성숙 단계임을 의미한다. 따라서 광고 부문의 향후 성장은 시장 성장률(연 10% 내외) + 소폭의 점유율 방어 여부로 결정될 가능성이 높고, 여기서 큰 폭의 상방을 기대하기는 어렵다.</w:t>
      </w:r>
    </w:p>
    <w:p>
      <w:pPr>
        <w:spacing w:after="120"/>
      </w:pPr>
      <w:r>
        <w:rPr>
          <w:rFonts w:ascii="맑은 고딕" w:hAnsi="맑은 고딕" w:eastAsia="맑은 고딕"/>
          <w:b/>
          <w:i w:val="0"/>
          <w:sz w:val="21"/>
        </w:rPr>
        <w:t>추론:</w:t>
      </w:r>
      <w:r>
        <w:rPr>
          <w:rFonts w:ascii="맑은 고딕" w:hAnsi="맑은 고딕" w:eastAsia="맑은 고딕"/>
          <w:i w:val="0"/>
          <w:sz w:val="21"/>
        </w:rPr>
        <w:t xml:space="preserve"> 클라우드 TAM은 인프라·플랫폼 기준 연환산 $500B 이상(2026년 1분기 $129B 연환산)이며, 여기에 소프트웨어·AI 서비스를 포함하면 $800B 이상으로 확대된다. Google Cloud의 점유율 11~12%는 침투율이 낮다는 뜻이며, 이는 Alphabet 성장 스토리에서 가장 명확한 상방 여지가 존재하는 영역이다. 63% 성장률과 $460B backlog는 이 여지가 실제로 실현되고 있다는 초기 증거로 볼 수 있다.</w:t>
      </w:r>
    </w:p>
    <w:p>
      <w:pPr>
        <w:spacing w:after="120"/>
      </w:pPr>
      <w:r>
        <w:rPr>
          <w:rFonts w:ascii="맑은 고딕" w:hAnsi="맑은 고딕" w:eastAsia="맑은 고딕"/>
          <w:b/>
          <w:i w:val="0"/>
          <w:sz w:val="21"/>
        </w:rPr>
        <w:t>추론:</w:t>
      </w:r>
      <w:r>
        <w:rPr>
          <w:rFonts w:ascii="맑은 고딕" w:hAnsi="맑은 고딕" w:eastAsia="맑은 고딕"/>
          <w:i w:val="0"/>
          <w:sz w:val="21"/>
        </w:rPr>
        <w:t xml:space="preserve"> AI TAM은 정의가 유동적이나, 구독(소비자 Pro/Ultra), 엔터프라이즈 좌석, API·컴퓨트 판매, 그리고 광고 단가 상승이라는 네 경로로 나뉜다. 현재 Gemini 직접 수익화 규모($1.2B 수준)는 TAM 대비 극히 초기 단계이며, 9억 MAU라는 사용자 기반의 화폐화율(ARPU)이 향후 수년의 핵심 레버가 될 것으로 판단된다. 다만 사용자 규모가 매출로 전환된다는 보장은 없으며, 무료 사용자 서비스 비용(추론 비용)이 매출보다 먼저 발생한다는 점은 유의해야 한다.</w:t>
      </w:r>
    </w:p>
    <w:p>
      <w:pPr>
        <w:spacing w:after="120"/>
      </w:pPr>
      <w:r>
        <w:rPr>
          <w:rFonts w:ascii="맑은 고딕" w:hAnsi="맑은 고딕" w:eastAsia="맑은 고딕"/>
          <w:b/>
          <w:i w:val="0"/>
          <w:sz w:val="21"/>
        </w:rPr>
        <w:t>추론:</w:t>
      </w:r>
      <w:r>
        <w:rPr>
          <w:rFonts w:ascii="맑은 고딕" w:hAnsi="맑은 고딕" w:eastAsia="맑은 고딕"/>
          <w:i w:val="0"/>
          <w:sz w:val="21"/>
        </w:rPr>
        <w:t xml:space="preserve"> Waymo의 자율주행 TAM(글로벌 승차공유·물류)은 이론적으로 수천억 달러 규모이나, 현재 매출 기여가 사실상 0에 가깝고 도시별 규제·안전 검증이 필요하므로 밸류에이션에는 보수적으로 반영하는 것이 합리적이다.</w:t>
      </w:r>
    </w:p>
    <w:p>
      <w:pPr>
        <w:spacing w:after="120"/>
      </w:pPr>
      <w:r>
        <w:rPr>
          <w:rFonts w:ascii="맑은 고딕" w:hAnsi="맑은 고딕" w:eastAsia="맑은 고딕"/>
          <w:i w:val="0"/>
          <w:sz w:val="21"/>
        </w:rPr>
        <w:t>---</w:t>
      </w:r>
    </w:p>
    <w:p>
      <w:r>
        <w:br w:type="page"/>
      </w:r>
    </w:p>
    <w:p>
      <w:pPr>
        <w:spacing w:before="240" w:after="80"/>
        <w:pBdr>
          <w:bottom w:val="single" w:sz="6" w:space="2" w:color="1F3864"/>
        </w:pBdr>
      </w:pPr>
      <w:r>
        <w:rPr>
          <w:rFonts w:ascii="맑은 고딕" w:hAnsi="맑은 고딕" w:eastAsia="맑은 고딕"/>
          <w:b/>
          <w:color w:val="1F3864"/>
          <w:sz w:val="30"/>
        </w:rPr>
        <w:t>재무 분석</w:t>
      </w:r>
    </w:p>
    <w:p>
      <w:pPr>
        <w:spacing w:before="160" w:after="80"/>
      </w:pPr>
      <w:r>
        <w:rPr>
          <w:rFonts w:ascii="맑은 고딕" w:hAnsi="맑은 고딕" w:eastAsia="맑은 고딕"/>
          <w:b/>
          <w:color w:val="1A1A1A"/>
          <w:sz w:val="25"/>
        </w:rPr>
        <w:t>과거 실적</w:t>
      </w:r>
    </w:p>
    <w:p>
      <w:pPr>
        <w:spacing w:after="140"/>
      </w:pPr>
      <w:r>
        <w:rPr>
          <w:rFonts w:ascii="맑은 고딕" w:hAnsi="맑은 고딕" w:eastAsia="맑은 고딕"/>
          <w:i w:val="0"/>
          <w:sz w:val="21"/>
        </w:rPr>
        <w:t>FY2022부터 FY2025까지 알파벳의 매출은 2,828억 달러에서 4,028억 달러로 42.4% 증가했으며 이 기간 연평균 성장률은 12.5%를 기록했다. 성장은 균질하지 않았다. FY2022는 팬데믹 이후 광고 수요 정상화와 환율 역풍으로 성장률이 크게 둔화된 해였고, FY2023 3,074억 달러는 전년 대비 8.7% 성장에 그쳤다. 그러나 FY2024 3,500억 달러(전년비 13.9%), FY2025 4,028억 달러(전년비 15.1%)로 성장률이 재가속했고, 이 재가속의 동인은 검색 광고의 견조한 회복과 클라우드 세그먼트의 고성장이었다.</w:t>
      </w:r>
    </w:p>
    <w:p>
      <w:pPr>
        <w:spacing w:after="140"/>
      </w:pPr>
      <w:r>
        <w:rPr>
          <w:rFonts w:ascii="맑은 고딕" w:hAnsi="맑은 고딕" w:eastAsia="맑은 고딕"/>
          <w:i w:val="0"/>
          <w:sz w:val="21"/>
        </w:rPr>
        <w:t>수익성 개선 폭은 매출 성장보다 두드러졌다. 영업이익은 FY2022 748억 달러에서 FY2023 843억 달러, FY2024 1,124억 달러, FY2025 1,290억 달러로 확대되어 3년간 72.5% 증가했다. 영업이익률은 FY2022 26.5%에서 FY2025 32.0%로 550bp 개선됐다. 개선의 원천은 세 가지다. 첫째, FY2023 초 단행한 대규모 인력 구조조정과 이후 지속된 채용 규율로 인건비 증가율이 매출 증가율을 하회했다. 둘째, 구글클라우드가 적자 세그먼트에서 흑자 세그먼트로 전환하며 전사 마진을 희석하던 요인이 제거됐다. 셋째, 기타베팅 부문의 손실 규모가 통제됐다.</w:t>
      </w:r>
    </w:p>
    <w:p>
      <w:pPr>
        <w:spacing w:after="140"/>
      </w:pPr>
      <w:r>
        <w:rPr>
          <w:rFonts w:ascii="맑은 고딕" w:hAnsi="맑은 고딕" w:eastAsia="맑은 고딕"/>
          <w:i w:val="0"/>
          <w:sz w:val="21"/>
        </w:rPr>
        <w:t>순이익은 FY2022 600억 달러에서 FY2023 738억 달러, FY2024 1,001억 달러, FY2025 1,322억 달러로 증가했다. 다만 FY2025 순이익 1,322억 달러에는 지분투자 평가익 약 298억 달러가 포함되어 있어 이를 제외한 정상화 순이익은 약 1,024억 달러 수준이며, 정상화 순이익률은 약 25~26%로 계산된다. 우리는 향후 이 항목의 재현성을 낮게 보며, 모델 상 FY2026E 순이익 1,394억 달러는 정상화 기반에서의 성장을 반영한 수치다. 투자자가 FY2025 표면 EPS 10.81달러를 기저로 성장률을 계산할 경우 FY2026E 11.61달러의 7.4% 증가는 실망스러워 보이지만, 정상화 기준으로는 30% 이상의 증가에 해당한다.</w:t>
      </w:r>
    </w:p>
    <w:p>
      <w:pPr>
        <w:spacing w:after="140"/>
      </w:pPr>
      <w:r>
        <w:rPr>
          <w:rFonts w:ascii="맑은 고딕" w:hAnsi="맑은 고딕" w:eastAsia="맑은 고딕"/>
          <w:i w:val="0"/>
          <w:sz w:val="21"/>
        </w:rPr>
        <w:t>희석 EPS는 FY2022 4.56달러에서 FY2025 10.81달러로 3년간 137% 증가하며 순이익 증가율 120%를 상회했다. 초과분은 자사주 매입에서 비롯됐다. 알파벳은 이 기간 지속적으로 발행주식수를 축소해 왔으며, 우리는 FY2026E 이후 희석주식수 12,230백만 주가 연 1.8%씩 감소한다고 가정했다. 이 가정만으로 FY2026E~FY2030E EPS 성장률에 연 약 1.8%포인트가 더해진다.</w:t>
      </w:r>
    </w:p>
    <w:p>
      <w:pPr>
        <w:spacing w:after="140"/>
      </w:pPr>
      <w:r>
        <w:rPr>
          <w:rFonts w:ascii="맑은 고딕" w:hAnsi="맑은 고딕" w:eastAsia="맑은 고딕"/>
          <w:i w:val="0"/>
          <w:sz w:val="21"/>
        </w:rPr>
        <w:t>세그먼트 구조를 보면 FY2025 기준 구글서치·기타 2,236억 달러(55.5%), 유튜브광고 427억 달러(10.6%), 구글네트워크 282억 달러(7.0%), 구독·플랫폼·기기 491억 달러(12.2%), 구글클라우드 572억 달러(14.2%), 기타베팅 20억 달러(0.5%)로 구성된다. 주목할 변화는 두 가지다. 구글네트워크는 유일하게 절대 규모가 정체 내지 축소되는 세그먼트로, 서드파티 쿠키 규제와 광고주의 자사 인벤토리 선호가 구조적 역풍으로 작용한다. 반면 구독·플랫폼·기기는 유튜브 프리미엄, 구글원, 제미나이 유료 구독의 확대로 매출총이익률이 낮음에도 성장 기여도가 커지고 있다.</w:t>
      </w:r>
    </w:p>
    <w:p>
      <w:pPr>
        <w:spacing w:after="140"/>
      </w:pPr>
      <w:r>
        <w:rPr>
          <w:rFonts w:ascii="맑은 고딕" w:hAnsi="맑은 고딕" w:eastAsia="맑은 고딕"/>
          <w:i w:val="0"/>
          <w:sz w:val="21"/>
        </w:rPr>
        <w:t>현금흐름은 손익계산서와 괴리를 보였다. FY2025 FCF는 733억 달러로 순이익 1,322억 달러의 55.4%, 정상화 순이익 대비로도 72% 수준에 그쳤다. 원인은 설비투자다. FY2025 설비투자 914억 달러는 매출 대비 22.7%로, 데이터센터와 TPU 인프라에 대한 선제 투자가 집중된 결과다. 이 투자는 미래 클라우드 매출과 AI 서비스 원가경쟁력의 기반이 되지만, 단기적으로는 주주에게 귀속되는 현금을 감소시킨다. 우리가 DCF에서 현재가를 정당화하지 못하는 가장 직접적인 이유가 여기에 있다.</w:t>
      </w:r>
    </w:p>
    <w:p>
      <w:pPr>
        <w:spacing w:after="140"/>
      </w:pPr>
      <w:r>
        <w:rPr>
          <w:rFonts w:ascii="맑은 고딕" w:hAnsi="맑은 고딕" w:eastAsia="맑은 고딕"/>
          <w:i w:val="0"/>
          <w:sz w:val="21"/>
        </w:rPr>
        <w:t>재무구조는 여전히 압도적으로 견고하다. 순현금 774억 달러를 보유해 실질적 무차입 상태이며, 금리 상승기에도 이자비용 부담이 없고 대규모 설비투자를 외부 조달 없이 영업현금흐름으로 소화할 수 있다. 법인세율은 17%를 가정했다. 이 재무 여력은 하방 시나리오에서 알파벳의 생존 위험을 사실상 제거하며, 우리가 매도 의견을 제시하면서도 이 종목을 공매도 아이디어가 아닌 비중축소 아이디어로 규정하는 근거다.</w:t>
      </w:r>
    </w:p>
    <w:p>
      <w:pPr>
        <w:spacing w:before="160" w:after="80"/>
      </w:pPr>
      <w:r>
        <w:rPr>
          <w:rFonts w:ascii="맑은 고딕" w:hAnsi="맑은 고딕" w:eastAsia="맑은 고딕"/>
          <w:b/>
          <w:color w:val="1A1A1A"/>
          <w:sz w:val="22"/>
        </w:rPr>
        <w:t>손익계산서 요약 ($B)</w:t>
      </w:r>
    </w:p>
    <w:tbl>
      <w:tblPr>
        <w:tblStyle w:val="LightGrid-Accent1"/>
        <w:tblW w:type="auto" w:w="0"/>
        <w:tblLayout w:type="autofit"/>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shd w:fill="1F3864"/>
          </w:tcPr>
          <w:p>
            <w:pPr>
              <w:spacing w:after="20" w:before="20"/>
              <w:jc w:val="left"/>
            </w:pPr>
            <w:r/>
            <w:r>
              <w:rPr>
                <w:rFonts w:ascii="맑은 고딕" w:hAnsi="맑은 고딕" w:eastAsia="맑은 고딕"/>
                <w:b/>
                <w:color w:val="FFFFFF"/>
                <w:sz w:val="15"/>
              </w:rPr>
              <w:t>$B</w:t>
            </w:r>
          </w:p>
        </w:tc>
        <w:tc>
          <w:tcPr>
            <w:tcW w:type="dxa" w:w="994"/>
            <w:shd w:fill="1F3864"/>
          </w:tcPr>
          <w:p>
            <w:pPr>
              <w:spacing w:after="20" w:before="20"/>
              <w:jc w:val="right"/>
            </w:pPr>
            <w:r/>
            <w:r>
              <w:rPr>
                <w:rFonts w:ascii="맑은 고딕" w:hAnsi="맑은 고딕" w:eastAsia="맑은 고딕"/>
                <w:b/>
                <w:color w:val="FFFFFF"/>
                <w:sz w:val="15"/>
              </w:rPr>
              <w:t>FY22</w:t>
            </w:r>
          </w:p>
        </w:tc>
        <w:tc>
          <w:tcPr>
            <w:tcW w:type="dxa" w:w="994"/>
            <w:shd w:fill="1F3864"/>
          </w:tcPr>
          <w:p>
            <w:pPr>
              <w:spacing w:after="20" w:before="20"/>
              <w:jc w:val="right"/>
            </w:pPr>
            <w:r/>
            <w:r>
              <w:rPr>
                <w:rFonts w:ascii="맑은 고딕" w:hAnsi="맑은 고딕" w:eastAsia="맑은 고딕"/>
                <w:b/>
                <w:color w:val="FFFFFF"/>
                <w:sz w:val="15"/>
              </w:rPr>
              <w:t>FY23</w:t>
            </w:r>
          </w:p>
        </w:tc>
        <w:tc>
          <w:tcPr>
            <w:tcW w:type="dxa" w:w="994"/>
            <w:shd w:fill="1F3864"/>
          </w:tcPr>
          <w:p>
            <w:pPr>
              <w:spacing w:after="20" w:before="20"/>
              <w:jc w:val="right"/>
            </w:pPr>
            <w:r/>
            <w:r>
              <w:rPr>
                <w:rFonts w:ascii="맑은 고딕" w:hAnsi="맑은 고딕" w:eastAsia="맑은 고딕"/>
                <w:b/>
                <w:color w:val="FFFFFF"/>
                <w:sz w:val="15"/>
              </w:rPr>
              <w:t>FY24</w:t>
            </w:r>
          </w:p>
        </w:tc>
        <w:tc>
          <w:tcPr>
            <w:tcW w:type="dxa" w:w="994"/>
            <w:shd w:fill="1F3864"/>
          </w:tcPr>
          <w:p>
            <w:pPr>
              <w:spacing w:after="20" w:before="20"/>
              <w:jc w:val="right"/>
            </w:pPr>
            <w:r/>
            <w:r>
              <w:rPr>
                <w:rFonts w:ascii="맑은 고딕" w:hAnsi="맑은 고딕" w:eastAsia="맑은 고딕"/>
                <w:b/>
                <w:color w:val="FFFFFF"/>
                <w:sz w:val="15"/>
              </w:rPr>
              <w:t>FY25</w:t>
            </w:r>
          </w:p>
        </w:tc>
        <w:tc>
          <w:tcPr>
            <w:tcW w:type="dxa" w:w="994"/>
            <w:shd w:fill="1F3864"/>
          </w:tcPr>
          <w:p>
            <w:pPr>
              <w:spacing w:after="20" w:before="20"/>
              <w:jc w:val="right"/>
            </w:pPr>
            <w:r/>
            <w:r>
              <w:rPr>
                <w:rFonts w:ascii="맑은 고딕" w:hAnsi="맑은 고딕" w:eastAsia="맑은 고딕"/>
                <w:b/>
                <w:color w:val="FFFFFF"/>
                <w:sz w:val="15"/>
              </w:rPr>
              <w:t>FY26E</w:t>
            </w:r>
          </w:p>
        </w:tc>
        <w:tc>
          <w:tcPr>
            <w:tcW w:type="dxa" w:w="994"/>
            <w:shd w:fill="1F3864"/>
          </w:tcPr>
          <w:p>
            <w:pPr>
              <w:spacing w:after="20" w:before="20"/>
              <w:jc w:val="right"/>
            </w:pPr>
            <w:r/>
            <w:r>
              <w:rPr>
                <w:rFonts w:ascii="맑은 고딕" w:hAnsi="맑은 고딕" w:eastAsia="맑은 고딕"/>
                <w:b/>
                <w:color w:val="FFFFFF"/>
                <w:sz w:val="15"/>
              </w:rPr>
              <w:t>FY27E</w:t>
            </w:r>
          </w:p>
        </w:tc>
        <w:tc>
          <w:tcPr>
            <w:tcW w:type="dxa" w:w="994"/>
            <w:shd w:fill="1F3864"/>
          </w:tcPr>
          <w:p>
            <w:pPr>
              <w:spacing w:after="20" w:before="20"/>
              <w:jc w:val="right"/>
            </w:pPr>
            <w:r/>
            <w:r>
              <w:rPr>
                <w:rFonts w:ascii="맑은 고딕" w:hAnsi="맑은 고딕" w:eastAsia="맑은 고딕"/>
                <w:b/>
                <w:color w:val="FFFFFF"/>
                <w:sz w:val="15"/>
              </w:rPr>
              <w:t>FY28E</w:t>
            </w:r>
          </w:p>
        </w:tc>
        <w:tc>
          <w:tcPr>
            <w:tcW w:type="dxa" w:w="994"/>
            <w:shd w:fill="1F3864"/>
          </w:tcPr>
          <w:p>
            <w:pPr>
              <w:spacing w:after="20" w:before="20"/>
              <w:jc w:val="right"/>
            </w:pPr>
            <w:r/>
            <w:r>
              <w:rPr>
                <w:rFonts w:ascii="맑은 고딕" w:hAnsi="맑은 고딕" w:eastAsia="맑은 고딕"/>
                <w:b/>
                <w:color w:val="FFFFFF"/>
                <w:sz w:val="15"/>
              </w:rPr>
              <w:t>FY29E</w:t>
            </w:r>
          </w:p>
        </w:tc>
        <w:tc>
          <w:tcPr>
            <w:tcW w:type="dxa" w:w="994"/>
            <w:shd w:fill="1F3864"/>
          </w:tcPr>
          <w:p>
            <w:pPr>
              <w:spacing w:after="20" w:before="20"/>
              <w:jc w:val="right"/>
            </w:pPr>
            <w:r/>
            <w:r>
              <w:rPr>
                <w:rFonts w:ascii="맑은 고딕" w:hAnsi="맑은 고딕" w:eastAsia="맑은 고딕"/>
                <w:b/>
                <w:color w:val="FFFFFF"/>
                <w:sz w:val="15"/>
              </w:rPr>
              <w:t>FY30E</w:t>
            </w:r>
          </w:p>
        </w:tc>
      </w:tr>
      <w:tr>
        <w:tc>
          <w:tcPr>
            <w:tcW w:type="dxa" w:w="994"/>
          </w:tcPr>
          <w:p>
            <w:pPr>
              <w:spacing w:after="20" w:before="20"/>
              <w:jc w:val="left"/>
            </w:pPr>
            <w:r/>
            <w:r>
              <w:rPr>
                <w:rFonts w:ascii="맑은 고딕" w:hAnsi="맑은 고딕" w:eastAsia="맑은 고딕"/>
                <w:b w:val="0"/>
                <w:sz w:val="15"/>
              </w:rPr>
              <w:t>매출</w:t>
            </w:r>
          </w:p>
        </w:tc>
        <w:tc>
          <w:tcPr>
            <w:tcW w:type="dxa" w:w="994"/>
          </w:tcPr>
          <w:p>
            <w:pPr>
              <w:spacing w:after="20" w:before="20"/>
              <w:jc w:val="right"/>
            </w:pPr>
            <w:r/>
            <w:r>
              <w:rPr>
                <w:rFonts w:ascii="맑은 고딕" w:hAnsi="맑은 고딕" w:eastAsia="맑은 고딕"/>
                <w:b w:val="0"/>
                <w:sz w:val="15"/>
              </w:rPr>
              <w:t>282.8</w:t>
            </w:r>
          </w:p>
        </w:tc>
        <w:tc>
          <w:tcPr>
            <w:tcW w:type="dxa" w:w="994"/>
          </w:tcPr>
          <w:p>
            <w:pPr>
              <w:spacing w:after="20" w:before="20"/>
              <w:jc w:val="right"/>
            </w:pPr>
            <w:r/>
            <w:r>
              <w:rPr>
                <w:rFonts w:ascii="맑은 고딕" w:hAnsi="맑은 고딕" w:eastAsia="맑은 고딕"/>
                <w:b w:val="0"/>
                <w:sz w:val="15"/>
              </w:rPr>
              <w:t>307.4</w:t>
            </w:r>
          </w:p>
        </w:tc>
        <w:tc>
          <w:tcPr>
            <w:tcW w:type="dxa" w:w="994"/>
          </w:tcPr>
          <w:p>
            <w:pPr>
              <w:spacing w:after="20" w:before="20"/>
              <w:jc w:val="right"/>
            </w:pPr>
            <w:r/>
            <w:r>
              <w:rPr>
                <w:rFonts w:ascii="맑은 고딕" w:hAnsi="맑은 고딕" w:eastAsia="맑은 고딕"/>
                <w:b w:val="0"/>
                <w:sz w:val="15"/>
              </w:rPr>
              <w:t>350.0</w:t>
            </w:r>
          </w:p>
        </w:tc>
        <w:tc>
          <w:tcPr>
            <w:tcW w:type="dxa" w:w="994"/>
          </w:tcPr>
          <w:p>
            <w:pPr>
              <w:spacing w:after="20" w:before="20"/>
              <w:jc w:val="right"/>
            </w:pPr>
            <w:r/>
            <w:r>
              <w:rPr>
                <w:rFonts w:ascii="맑은 고딕" w:hAnsi="맑은 고딕" w:eastAsia="맑은 고딕"/>
                <w:b w:val="0"/>
                <w:sz w:val="15"/>
              </w:rPr>
              <w:t>402.8</w:t>
            </w:r>
          </w:p>
        </w:tc>
        <w:tc>
          <w:tcPr>
            <w:tcW w:type="dxa" w:w="994"/>
          </w:tcPr>
          <w:p>
            <w:pPr>
              <w:spacing w:after="20" w:before="20"/>
              <w:jc w:val="right"/>
            </w:pPr>
            <w:r/>
            <w:r>
              <w:rPr>
                <w:rFonts w:ascii="맑은 고딕" w:hAnsi="맑은 고딕" w:eastAsia="맑은 고딕"/>
                <w:b w:val="0"/>
                <w:sz w:val="15"/>
              </w:rPr>
              <w:t>483.5</w:t>
            </w:r>
          </w:p>
        </w:tc>
        <w:tc>
          <w:tcPr>
            <w:tcW w:type="dxa" w:w="994"/>
          </w:tcPr>
          <w:p>
            <w:pPr>
              <w:spacing w:after="20" w:before="20"/>
              <w:jc w:val="right"/>
            </w:pPr>
            <w:r/>
            <w:r>
              <w:rPr>
                <w:rFonts w:ascii="맑은 고딕" w:hAnsi="맑은 고딕" w:eastAsia="맑은 고딕"/>
                <w:b w:val="0"/>
                <w:sz w:val="15"/>
              </w:rPr>
              <w:t>567.7</w:t>
            </w:r>
          </w:p>
        </w:tc>
        <w:tc>
          <w:tcPr>
            <w:tcW w:type="dxa" w:w="994"/>
          </w:tcPr>
          <w:p>
            <w:pPr>
              <w:spacing w:after="20" w:before="20"/>
              <w:jc w:val="right"/>
            </w:pPr>
            <w:r/>
            <w:r>
              <w:rPr>
                <w:rFonts w:ascii="맑은 고딕" w:hAnsi="맑은 고딕" w:eastAsia="맑은 고딕"/>
                <w:b w:val="0"/>
                <w:sz w:val="15"/>
              </w:rPr>
              <w:t>653.9</w:t>
            </w:r>
          </w:p>
        </w:tc>
        <w:tc>
          <w:tcPr>
            <w:tcW w:type="dxa" w:w="994"/>
          </w:tcPr>
          <w:p>
            <w:pPr>
              <w:spacing w:after="20" w:before="20"/>
              <w:jc w:val="right"/>
            </w:pPr>
            <w:r/>
            <w:r>
              <w:rPr>
                <w:rFonts w:ascii="맑은 고딕" w:hAnsi="맑은 고딕" w:eastAsia="맑은 고딕"/>
                <w:b w:val="0"/>
                <w:sz w:val="15"/>
              </w:rPr>
              <w:t>738.7</w:t>
            </w:r>
          </w:p>
        </w:tc>
        <w:tc>
          <w:tcPr>
            <w:tcW w:type="dxa" w:w="994"/>
          </w:tcPr>
          <w:p>
            <w:pPr>
              <w:spacing w:after="20" w:before="20"/>
              <w:jc w:val="right"/>
            </w:pPr>
            <w:r/>
            <w:r>
              <w:rPr>
                <w:rFonts w:ascii="맑은 고딕" w:hAnsi="맑은 고딕" w:eastAsia="맑은 고딕"/>
                <w:b w:val="0"/>
                <w:sz w:val="15"/>
              </w:rPr>
              <w:t>823.9</w:t>
            </w:r>
          </w:p>
        </w:tc>
      </w:tr>
      <w:tr>
        <w:tc>
          <w:tcPr>
            <w:tcW w:type="dxa" w:w="994"/>
          </w:tcPr>
          <w:p>
            <w:pPr>
              <w:spacing w:after="20" w:before="20"/>
              <w:jc w:val="left"/>
            </w:pPr>
            <w:r/>
            <w:r>
              <w:rPr>
                <w:rFonts w:ascii="맑은 고딕" w:hAnsi="맑은 고딕" w:eastAsia="맑은 고딕"/>
                <w:b w:val="0"/>
                <w:sz w:val="15"/>
              </w:rPr>
              <w:t>매출원가</w:t>
            </w:r>
          </w:p>
        </w:tc>
        <w:tc>
          <w:tcPr>
            <w:tcW w:type="dxa" w:w="994"/>
          </w:tcPr>
          <w:p>
            <w:pPr>
              <w:spacing w:after="20" w:before="20"/>
              <w:jc w:val="right"/>
            </w:pPr>
            <w:r/>
            <w:r>
              <w:rPr>
                <w:rFonts w:ascii="맑은 고딕" w:hAnsi="맑은 고딕" w:eastAsia="맑은 고딕"/>
                <w:b w:val="0"/>
                <w:sz w:val="15"/>
              </w:rPr>
              <w:t>126.2</w:t>
            </w:r>
          </w:p>
        </w:tc>
        <w:tc>
          <w:tcPr>
            <w:tcW w:type="dxa" w:w="994"/>
          </w:tcPr>
          <w:p>
            <w:pPr>
              <w:spacing w:after="20" w:before="20"/>
              <w:jc w:val="right"/>
            </w:pPr>
            <w:r/>
            <w:r>
              <w:rPr>
                <w:rFonts w:ascii="맑은 고딕" w:hAnsi="맑은 고딕" w:eastAsia="맑은 고딕"/>
                <w:b w:val="0"/>
                <w:sz w:val="15"/>
              </w:rPr>
              <w:t>133.3</w:t>
            </w:r>
          </w:p>
        </w:tc>
        <w:tc>
          <w:tcPr>
            <w:tcW w:type="dxa" w:w="994"/>
          </w:tcPr>
          <w:p>
            <w:pPr>
              <w:spacing w:after="20" w:before="20"/>
              <w:jc w:val="right"/>
            </w:pPr>
            <w:r/>
            <w:r>
              <w:rPr>
                <w:rFonts w:ascii="맑은 고딕" w:hAnsi="맑은 고딕" w:eastAsia="맑은 고딕"/>
                <w:b w:val="0"/>
                <w:sz w:val="15"/>
              </w:rPr>
              <w:t>146.3</w:t>
            </w:r>
          </w:p>
        </w:tc>
        <w:tc>
          <w:tcPr>
            <w:tcW w:type="dxa" w:w="994"/>
          </w:tcPr>
          <w:p>
            <w:pPr>
              <w:spacing w:after="20" w:before="20"/>
              <w:jc w:val="right"/>
            </w:pPr>
            <w:r/>
            <w:r>
              <w:rPr>
                <w:rFonts w:ascii="맑은 고딕" w:hAnsi="맑은 고딕" w:eastAsia="맑은 고딕"/>
                <w:b w:val="0"/>
                <w:sz w:val="15"/>
              </w:rPr>
              <w:t>162.5</w:t>
            </w:r>
          </w:p>
        </w:tc>
        <w:tc>
          <w:tcPr>
            <w:tcW w:type="dxa" w:w="994"/>
          </w:tcPr>
          <w:p>
            <w:pPr>
              <w:spacing w:after="20" w:before="20"/>
              <w:jc w:val="right"/>
            </w:pPr>
            <w:r/>
            <w:r>
              <w:rPr>
                <w:rFonts w:ascii="맑은 고딕" w:hAnsi="맑은 고딕" w:eastAsia="맑은 고딕"/>
                <w:b w:val="0"/>
                <w:sz w:val="15"/>
              </w:rPr>
              <w:t>198.2</w:t>
            </w:r>
          </w:p>
        </w:tc>
        <w:tc>
          <w:tcPr>
            <w:tcW w:type="dxa" w:w="994"/>
          </w:tcPr>
          <w:p>
            <w:pPr>
              <w:spacing w:after="20" w:before="20"/>
              <w:jc w:val="right"/>
            </w:pPr>
            <w:r/>
            <w:r>
              <w:rPr>
                <w:rFonts w:ascii="맑은 고딕" w:hAnsi="맑은 고딕" w:eastAsia="맑은 고딕"/>
                <w:b w:val="0"/>
                <w:sz w:val="15"/>
              </w:rPr>
              <w:t>231.6</w:t>
            </w:r>
          </w:p>
        </w:tc>
        <w:tc>
          <w:tcPr>
            <w:tcW w:type="dxa" w:w="994"/>
          </w:tcPr>
          <w:p>
            <w:pPr>
              <w:spacing w:after="20" w:before="20"/>
              <w:jc w:val="right"/>
            </w:pPr>
            <w:r/>
            <w:r>
              <w:rPr>
                <w:rFonts w:ascii="맑은 고딕" w:hAnsi="맑은 고딕" w:eastAsia="맑은 고딕"/>
                <w:b w:val="0"/>
                <w:sz w:val="15"/>
              </w:rPr>
              <w:t>265.5</w:t>
            </w:r>
          </w:p>
        </w:tc>
        <w:tc>
          <w:tcPr>
            <w:tcW w:type="dxa" w:w="994"/>
          </w:tcPr>
          <w:p>
            <w:pPr>
              <w:spacing w:after="20" w:before="20"/>
              <w:jc w:val="right"/>
            </w:pPr>
            <w:r/>
            <w:r>
              <w:rPr>
                <w:rFonts w:ascii="맑은 고딕" w:hAnsi="맑은 고딕" w:eastAsia="맑은 고딕"/>
                <w:b w:val="0"/>
                <w:sz w:val="15"/>
              </w:rPr>
              <w:t>299.2</w:t>
            </w:r>
          </w:p>
        </w:tc>
        <w:tc>
          <w:tcPr>
            <w:tcW w:type="dxa" w:w="994"/>
          </w:tcPr>
          <w:p>
            <w:pPr>
              <w:spacing w:after="20" w:before="20"/>
              <w:jc w:val="right"/>
            </w:pPr>
            <w:r/>
            <w:r>
              <w:rPr>
                <w:rFonts w:ascii="맑은 고딕" w:hAnsi="맑은 고딕" w:eastAsia="맑은 고딕"/>
                <w:b w:val="0"/>
                <w:sz w:val="15"/>
              </w:rPr>
              <w:t>332.9</w:t>
            </w:r>
          </w:p>
        </w:tc>
      </w:tr>
      <w:tr>
        <w:tc>
          <w:tcPr>
            <w:tcW w:type="dxa" w:w="994"/>
          </w:tcPr>
          <w:p>
            <w:pPr>
              <w:spacing w:after="20" w:before="20"/>
              <w:jc w:val="left"/>
            </w:pPr>
            <w:r/>
            <w:r>
              <w:rPr>
                <w:rFonts w:ascii="맑은 고딕" w:hAnsi="맑은 고딕" w:eastAsia="맑은 고딕"/>
                <w:b w:val="0"/>
                <w:sz w:val="15"/>
              </w:rPr>
              <w:t>매출총이익</w:t>
            </w:r>
          </w:p>
        </w:tc>
        <w:tc>
          <w:tcPr>
            <w:tcW w:type="dxa" w:w="994"/>
          </w:tcPr>
          <w:p>
            <w:pPr>
              <w:spacing w:after="20" w:before="20"/>
              <w:jc w:val="right"/>
            </w:pPr>
            <w:r/>
            <w:r>
              <w:rPr>
                <w:rFonts w:ascii="맑은 고딕" w:hAnsi="맑은 고딕" w:eastAsia="맑은 고딕"/>
                <w:b w:val="0"/>
                <w:sz w:val="15"/>
              </w:rPr>
              <w:t>156.6</w:t>
            </w:r>
          </w:p>
        </w:tc>
        <w:tc>
          <w:tcPr>
            <w:tcW w:type="dxa" w:w="994"/>
          </w:tcPr>
          <w:p>
            <w:pPr>
              <w:spacing w:after="20" w:before="20"/>
              <w:jc w:val="right"/>
            </w:pPr>
            <w:r/>
            <w:r>
              <w:rPr>
                <w:rFonts w:ascii="맑은 고딕" w:hAnsi="맑은 고딕" w:eastAsia="맑은 고딕"/>
                <w:b w:val="0"/>
                <w:sz w:val="15"/>
              </w:rPr>
              <w:t>174.1</w:t>
            </w:r>
          </w:p>
        </w:tc>
        <w:tc>
          <w:tcPr>
            <w:tcW w:type="dxa" w:w="994"/>
          </w:tcPr>
          <w:p>
            <w:pPr>
              <w:spacing w:after="20" w:before="20"/>
              <w:jc w:val="right"/>
            </w:pPr>
            <w:r/>
            <w:r>
              <w:rPr>
                <w:rFonts w:ascii="맑은 고딕" w:hAnsi="맑은 고딕" w:eastAsia="맑은 고딕"/>
                <w:b w:val="0"/>
                <w:sz w:val="15"/>
              </w:rPr>
              <w:t>203.7</w:t>
            </w:r>
          </w:p>
        </w:tc>
        <w:tc>
          <w:tcPr>
            <w:tcW w:type="dxa" w:w="994"/>
          </w:tcPr>
          <w:p>
            <w:pPr>
              <w:spacing w:after="20" w:before="20"/>
              <w:jc w:val="right"/>
            </w:pPr>
            <w:r/>
            <w:r>
              <w:rPr>
                <w:rFonts w:ascii="맑은 고딕" w:hAnsi="맑은 고딕" w:eastAsia="맑은 고딕"/>
                <w:b w:val="0"/>
                <w:sz w:val="15"/>
              </w:rPr>
              <w:t>240.3</w:t>
            </w:r>
          </w:p>
        </w:tc>
        <w:tc>
          <w:tcPr>
            <w:tcW w:type="dxa" w:w="994"/>
          </w:tcPr>
          <w:p>
            <w:pPr>
              <w:spacing w:after="20" w:before="20"/>
              <w:jc w:val="right"/>
            </w:pPr>
            <w:r/>
            <w:r>
              <w:rPr>
                <w:rFonts w:ascii="맑은 고딕" w:hAnsi="맑은 고딕" w:eastAsia="맑은 고딕"/>
                <w:b w:val="0"/>
                <w:sz w:val="15"/>
              </w:rPr>
              <w:t>285.3</w:t>
            </w:r>
          </w:p>
        </w:tc>
        <w:tc>
          <w:tcPr>
            <w:tcW w:type="dxa" w:w="994"/>
          </w:tcPr>
          <w:p>
            <w:pPr>
              <w:spacing w:after="20" w:before="20"/>
              <w:jc w:val="right"/>
            </w:pPr>
            <w:r/>
            <w:r>
              <w:rPr>
                <w:rFonts w:ascii="맑은 고딕" w:hAnsi="맑은 고딕" w:eastAsia="맑은 고딕"/>
                <w:b w:val="0"/>
                <w:sz w:val="15"/>
              </w:rPr>
              <w:t>336.1</w:t>
            </w:r>
          </w:p>
        </w:tc>
        <w:tc>
          <w:tcPr>
            <w:tcW w:type="dxa" w:w="994"/>
          </w:tcPr>
          <w:p>
            <w:pPr>
              <w:spacing w:after="20" w:before="20"/>
              <w:jc w:val="right"/>
            </w:pPr>
            <w:r/>
            <w:r>
              <w:rPr>
                <w:rFonts w:ascii="맑은 고딕" w:hAnsi="맑은 고딕" w:eastAsia="맑은 고딕"/>
                <w:b w:val="0"/>
                <w:sz w:val="15"/>
              </w:rPr>
              <w:t>388.4</w:t>
            </w:r>
          </w:p>
        </w:tc>
        <w:tc>
          <w:tcPr>
            <w:tcW w:type="dxa" w:w="994"/>
          </w:tcPr>
          <w:p>
            <w:pPr>
              <w:spacing w:after="20" w:before="20"/>
              <w:jc w:val="right"/>
            </w:pPr>
            <w:r/>
            <w:r>
              <w:rPr>
                <w:rFonts w:ascii="맑은 고딕" w:hAnsi="맑은 고딕" w:eastAsia="맑은 고딕"/>
                <w:b w:val="0"/>
                <w:sz w:val="15"/>
              </w:rPr>
              <w:t>439.5</w:t>
            </w:r>
          </w:p>
        </w:tc>
        <w:tc>
          <w:tcPr>
            <w:tcW w:type="dxa" w:w="994"/>
          </w:tcPr>
          <w:p>
            <w:pPr>
              <w:spacing w:after="20" w:before="20"/>
              <w:jc w:val="right"/>
            </w:pPr>
            <w:r/>
            <w:r>
              <w:rPr>
                <w:rFonts w:ascii="맑은 고딕" w:hAnsi="맑은 고딕" w:eastAsia="맑은 고딕"/>
                <w:b w:val="0"/>
                <w:sz w:val="15"/>
              </w:rPr>
              <w:t>491.0</w:t>
            </w:r>
          </w:p>
        </w:tc>
      </w:tr>
      <w:tr>
        <w:tc>
          <w:tcPr>
            <w:tcW w:type="dxa" w:w="994"/>
          </w:tcPr>
          <w:p>
            <w:pPr>
              <w:spacing w:after="20" w:before="20"/>
              <w:jc w:val="left"/>
            </w:pPr>
            <w:r/>
            <w:r>
              <w:rPr>
                <w:rFonts w:ascii="맑은 고딕" w:hAnsi="맑은 고딕" w:eastAsia="맑은 고딕"/>
                <w:b w:val="0"/>
                <w:sz w:val="15"/>
              </w:rPr>
              <w:t>연구개발비</w:t>
            </w:r>
          </w:p>
        </w:tc>
        <w:tc>
          <w:tcPr>
            <w:tcW w:type="dxa" w:w="994"/>
          </w:tcPr>
          <w:p>
            <w:pPr>
              <w:spacing w:after="20" w:before="20"/>
              <w:jc w:val="right"/>
            </w:pPr>
            <w:r/>
            <w:r>
              <w:rPr>
                <w:rFonts w:ascii="맑은 고딕" w:hAnsi="맑은 고딕" w:eastAsia="맑은 고딕"/>
                <w:b w:val="0"/>
                <w:sz w:val="15"/>
              </w:rPr>
              <w:t>39.5</w:t>
            </w:r>
          </w:p>
        </w:tc>
        <w:tc>
          <w:tcPr>
            <w:tcW w:type="dxa" w:w="994"/>
          </w:tcPr>
          <w:p>
            <w:pPr>
              <w:spacing w:after="20" w:before="20"/>
              <w:jc w:val="right"/>
            </w:pPr>
            <w:r/>
            <w:r>
              <w:rPr>
                <w:rFonts w:ascii="맑은 고딕" w:hAnsi="맑은 고딕" w:eastAsia="맑은 고딕"/>
                <w:b w:val="0"/>
                <w:sz w:val="15"/>
              </w:rPr>
              <w:t>45.4</w:t>
            </w:r>
          </w:p>
        </w:tc>
        <w:tc>
          <w:tcPr>
            <w:tcW w:type="dxa" w:w="994"/>
          </w:tcPr>
          <w:p>
            <w:pPr>
              <w:spacing w:after="20" w:before="20"/>
              <w:jc w:val="right"/>
            </w:pPr>
            <w:r/>
            <w:r>
              <w:rPr>
                <w:rFonts w:ascii="맑은 고딕" w:hAnsi="맑은 고딕" w:eastAsia="맑은 고딕"/>
                <w:b w:val="0"/>
                <w:sz w:val="15"/>
              </w:rPr>
              <w:t>49.3</w:t>
            </w:r>
          </w:p>
        </w:tc>
        <w:tc>
          <w:tcPr>
            <w:tcW w:type="dxa" w:w="994"/>
          </w:tcPr>
          <w:p>
            <w:pPr>
              <w:spacing w:after="20" w:before="20"/>
              <w:jc w:val="right"/>
            </w:pPr>
            <w:r/>
            <w:r>
              <w:rPr>
                <w:rFonts w:ascii="맑은 고딕" w:hAnsi="맑은 고딕" w:eastAsia="맑은 고딕"/>
                <w:b w:val="0"/>
                <w:sz w:val="15"/>
              </w:rPr>
              <w:t>61.1</w:t>
            </w:r>
          </w:p>
        </w:tc>
        <w:tc>
          <w:tcPr>
            <w:tcW w:type="dxa" w:w="994"/>
          </w:tcPr>
          <w:p>
            <w:pPr>
              <w:spacing w:after="20" w:before="20"/>
              <w:jc w:val="right"/>
            </w:pPr>
            <w:r/>
            <w:r>
              <w:rPr>
                <w:rFonts w:ascii="맑은 고딕" w:hAnsi="맑은 고딕" w:eastAsia="맑은 고딕"/>
                <w:b w:val="0"/>
                <w:sz w:val="15"/>
              </w:rPr>
              <w:t>68.7</w:t>
            </w:r>
          </w:p>
        </w:tc>
        <w:tc>
          <w:tcPr>
            <w:tcW w:type="dxa" w:w="994"/>
          </w:tcPr>
          <w:p>
            <w:pPr>
              <w:spacing w:after="20" w:before="20"/>
              <w:jc w:val="right"/>
            </w:pPr>
            <w:r/>
            <w:r>
              <w:rPr>
                <w:rFonts w:ascii="맑은 고딕" w:hAnsi="맑은 고딕" w:eastAsia="맑은 고딕"/>
                <w:b w:val="0"/>
                <w:sz w:val="15"/>
              </w:rPr>
              <w:t>80.0</w:t>
            </w:r>
          </w:p>
        </w:tc>
        <w:tc>
          <w:tcPr>
            <w:tcW w:type="dxa" w:w="994"/>
          </w:tcPr>
          <w:p>
            <w:pPr>
              <w:spacing w:after="20" w:before="20"/>
              <w:jc w:val="right"/>
            </w:pPr>
            <w:r/>
            <w:r>
              <w:rPr>
                <w:rFonts w:ascii="맑은 고딕" w:hAnsi="맑은 고딕" w:eastAsia="맑은 고딕"/>
                <w:b w:val="0"/>
                <w:sz w:val="15"/>
              </w:rPr>
              <w:t>91.5</w:t>
            </w:r>
          </w:p>
        </w:tc>
        <w:tc>
          <w:tcPr>
            <w:tcW w:type="dxa" w:w="994"/>
          </w:tcPr>
          <w:p>
            <w:pPr>
              <w:spacing w:after="20" w:before="20"/>
              <w:jc w:val="right"/>
            </w:pPr>
            <w:r/>
            <w:r>
              <w:rPr>
                <w:rFonts w:ascii="맑은 고딕" w:hAnsi="맑은 고딕" w:eastAsia="맑은 고딕"/>
                <w:b w:val="0"/>
                <w:sz w:val="15"/>
              </w:rPr>
              <w:t>102.7</w:t>
            </w:r>
          </w:p>
        </w:tc>
        <w:tc>
          <w:tcPr>
            <w:tcW w:type="dxa" w:w="994"/>
          </w:tcPr>
          <w:p>
            <w:pPr>
              <w:spacing w:after="20" w:before="20"/>
              <w:jc w:val="right"/>
            </w:pPr>
            <w:r/>
            <w:r>
              <w:rPr>
                <w:rFonts w:ascii="맑은 고딕" w:hAnsi="맑은 고딕" w:eastAsia="맑은 고딕"/>
                <w:b w:val="0"/>
                <w:sz w:val="15"/>
              </w:rPr>
              <w:t>113.7</w:t>
            </w:r>
          </w:p>
        </w:tc>
      </w:tr>
      <w:tr>
        <w:tc>
          <w:tcPr>
            <w:tcW w:type="dxa" w:w="994"/>
          </w:tcPr>
          <w:p>
            <w:pPr>
              <w:spacing w:after="20" w:before="20"/>
              <w:jc w:val="left"/>
            </w:pPr>
            <w:r/>
            <w:r>
              <w:rPr>
                <w:rFonts w:ascii="맑은 고딕" w:hAnsi="맑은 고딕" w:eastAsia="맑은 고딕"/>
                <w:b w:val="0"/>
                <w:sz w:val="15"/>
              </w:rPr>
              <w:t>판매·일반관리비</w:t>
            </w:r>
          </w:p>
        </w:tc>
        <w:tc>
          <w:tcPr>
            <w:tcW w:type="dxa" w:w="994"/>
          </w:tcPr>
          <w:p>
            <w:pPr>
              <w:spacing w:after="20" w:before="20"/>
              <w:jc w:val="right"/>
            </w:pPr>
            <w:r/>
            <w:r>
              <w:rPr>
                <w:rFonts w:ascii="맑은 고딕" w:hAnsi="맑은 고딕" w:eastAsia="맑은 고딕"/>
                <w:b w:val="0"/>
                <w:sz w:val="15"/>
              </w:rPr>
              <w:t>42.3</w:t>
            </w:r>
          </w:p>
        </w:tc>
        <w:tc>
          <w:tcPr>
            <w:tcW w:type="dxa" w:w="994"/>
          </w:tcPr>
          <w:p>
            <w:pPr>
              <w:spacing w:after="20" w:before="20"/>
              <w:jc w:val="right"/>
            </w:pPr>
            <w:r/>
            <w:r>
              <w:rPr>
                <w:rFonts w:ascii="맑은 고딕" w:hAnsi="맑은 고딕" w:eastAsia="맑은 고딕"/>
                <w:b w:val="0"/>
                <w:sz w:val="15"/>
              </w:rPr>
              <w:t>44.3</w:t>
            </w:r>
          </w:p>
        </w:tc>
        <w:tc>
          <w:tcPr>
            <w:tcW w:type="dxa" w:w="994"/>
          </w:tcPr>
          <w:p>
            <w:pPr>
              <w:spacing w:after="20" w:before="20"/>
              <w:jc w:val="right"/>
            </w:pPr>
            <w:r/>
            <w:r>
              <w:rPr>
                <w:rFonts w:ascii="맑은 고딕" w:hAnsi="맑은 고딕" w:eastAsia="맑은 고딕"/>
                <w:b w:val="0"/>
                <w:sz w:val="15"/>
              </w:rPr>
              <w:t>42.0</w:t>
            </w:r>
          </w:p>
        </w:tc>
        <w:tc>
          <w:tcPr>
            <w:tcW w:type="dxa" w:w="994"/>
          </w:tcPr>
          <w:p>
            <w:pPr>
              <w:spacing w:after="20" w:before="20"/>
              <w:jc w:val="right"/>
            </w:pPr>
            <w:r/>
            <w:r>
              <w:rPr>
                <w:rFonts w:ascii="맑은 고딕" w:hAnsi="맑은 고딕" w:eastAsia="맑은 고딕"/>
                <w:b w:val="0"/>
                <w:sz w:val="15"/>
              </w:rPr>
              <w:t>50.2</w:t>
            </w:r>
          </w:p>
        </w:tc>
        <w:tc>
          <w:tcPr>
            <w:tcW w:type="dxa" w:w="994"/>
          </w:tcPr>
          <w:p>
            <w:pPr>
              <w:spacing w:after="20" w:before="20"/>
              <w:jc w:val="right"/>
            </w:pPr>
            <w:r/>
            <w:r>
              <w:rPr>
                <w:rFonts w:ascii="맑은 고딕" w:hAnsi="맑은 고딕" w:eastAsia="맑은 고딕"/>
                <w:b w:val="0"/>
                <w:sz w:val="15"/>
              </w:rPr>
              <w:t>54.2</w:t>
            </w:r>
          </w:p>
        </w:tc>
        <w:tc>
          <w:tcPr>
            <w:tcW w:type="dxa" w:w="994"/>
          </w:tcPr>
          <w:p>
            <w:pPr>
              <w:spacing w:after="20" w:before="20"/>
              <w:jc w:val="right"/>
            </w:pPr>
            <w:r/>
            <w:r>
              <w:rPr>
                <w:rFonts w:ascii="맑은 고딕" w:hAnsi="맑은 고딕" w:eastAsia="맑은 고딕"/>
                <w:b w:val="0"/>
                <w:sz w:val="15"/>
              </w:rPr>
              <w:t>62.4</w:t>
            </w:r>
          </w:p>
        </w:tc>
        <w:tc>
          <w:tcPr>
            <w:tcW w:type="dxa" w:w="994"/>
          </w:tcPr>
          <w:p>
            <w:pPr>
              <w:spacing w:after="20" w:before="20"/>
              <w:jc w:val="right"/>
            </w:pPr>
            <w:r/>
            <w:r>
              <w:rPr>
                <w:rFonts w:ascii="맑은 고딕" w:hAnsi="맑은 고딕" w:eastAsia="맑은 고딕"/>
                <w:b w:val="0"/>
                <w:sz w:val="15"/>
              </w:rPr>
              <w:t>70.6</w:t>
            </w:r>
          </w:p>
        </w:tc>
        <w:tc>
          <w:tcPr>
            <w:tcW w:type="dxa" w:w="994"/>
          </w:tcPr>
          <w:p>
            <w:pPr>
              <w:spacing w:after="20" w:before="20"/>
              <w:jc w:val="right"/>
            </w:pPr>
            <w:r/>
            <w:r>
              <w:rPr>
                <w:rFonts w:ascii="맑은 고딕" w:hAnsi="맑은 고딕" w:eastAsia="맑은 고딕"/>
                <w:b w:val="0"/>
                <w:sz w:val="15"/>
              </w:rPr>
              <w:t>79.0</w:t>
            </w:r>
          </w:p>
        </w:tc>
        <w:tc>
          <w:tcPr>
            <w:tcW w:type="dxa" w:w="994"/>
          </w:tcPr>
          <w:p>
            <w:pPr>
              <w:spacing w:after="20" w:before="20"/>
              <w:jc w:val="right"/>
            </w:pPr>
            <w:r/>
            <w:r>
              <w:rPr>
                <w:rFonts w:ascii="맑은 고딕" w:hAnsi="맑은 고딕" w:eastAsia="맑은 고딕"/>
                <w:b w:val="0"/>
                <w:sz w:val="15"/>
              </w:rPr>
              <w:t>87.3</w:t>
            </w:r>
          </w:p>
        </w:tc>
      </w:tr>
      <w:tr>
        <w:tc>
          <w:tcPr>
            <w:tcW w:type="dxa" w:w="994"/>
          </w:tcPr>
          <w:p>
            <w:pPr>
              <w:spacing w:after="20" w:before="20"/>
              <w:jc w:val="left"/>
            </w:pPr>
            <w:r/>
            <w:r>
              <w:rPr>
                <w:rFonts w:ascii="맑은 고딕" w:hAnsi="맑은 고딕" w:eastAsia="맑은 고딕"/>
                <w:b w:val="0"/>
                <w:sz w:val="15"/>
              </w:rPr>
              <w:t>영업이익</w:t>
            </w:r>
          </w:p>
        </w:tc>
        <w:tc>
          <w:tcPr>
            <w:tcW w:type="dxa" w:w="994"/>
          </w:tcPr>
          <w:p>
            <w:pPr>
              <w:spacing w:after="20" w:before="20"/>
              <w:jc w:val="right"/>
            </w:pPr>
            <w:r/>
            <w:r>
              <w:rPr>
                <w:rFonts w:ascii="맑은 고딕" w:hAnsi="맑은 고딕" w:eastAsia="맑은 고딕"/>
                <w:b w:val="0"/>
                <w:sz w:val="15"/>
              </w:rPr>
              <w:t>74.8</w:t>
            </w:r>
          </w:p>
        </w:tc>
        <w:tc>
          <w:tcPr>
            <w:tcW w:type="dxa" w:w="994"/>
          </w:tcPr>
          <w:p>
            <w:pPr>
              <w:spacing w:after="20" w:before="20"/>
              <w:jc w:val="right"/>
            </w:pPr>
            <w:r/>
            <w:r>
              <w:rPr>
                <w:rFonts w:ascii="맑은 고딕" w:hAnsi="맑은 고딕" w:eastAsia="맑은 고딕"/>
                <w:b w:val="0"/>
                <w:sz w:val="15"/>
              </w:rPr>
              <w:t>84.3</w:t>
            </w:r>
          </w:p>
        </w:tc>
        <w:tc>
          <w:tcPr>
            <w:tcW w:type="dxa" w:w="994"/>
          </w:tcPr>
          <w:p>
            <w:pPr>
              <w:spacing w:after="20" w:before="20"/>
              <w:jc w:val="right"/>
            </w:pPr>
            <w:r/>
            <w:r>
              <w:rPr>
                <w:rFonts w:ascii="맑은 고딕" w:hAnsi="맑은 고딕" w:eastAsia="맑은 고딕"/>
                <w:b w:val="0"/>
                <w:sz w:val="15"/>
              </w:rPr>
              <w:t>112.4</w:t>
            </w:r>
          </w:p>
        </w:tc>
        <w:tc>
          <w:tcPr>
            <w:tcW w:type="dxa" w:w="994"/>
          </w:tcPr>
          <w:p>
            <w:pPr>
              <w:spacing w:after="20" w:before="20"/>
              <w:jc w:val="right"/>
            </w:pPr>
            <w:r/>
            <w:r>
              <w:rPr>
                <w:rFonts w:ascii="맑은 고딕" w:hAnsi="맑은 고딕" w:eastAsia="맑은 고딕"/>
                <w:b w:val="0"/>
                <w:sz w:val="15"/>
              </w:rPr>
              <w:t>129.0</w:t>
            </w:r>
          </w:p>
        </w:tc>
        <w:tc>
          <w:tcPr>
            <w:tcW w:type="dxa" w:w="994"/>
          </w:tcPr>
          <w:p>
            <w:pPr>
              <w:spacing w:after="20" w:before="20"/>
              <w:jc w:val="right"/>
            </w:pPr>
            <w:r/>
            <w:r>
              <w:rPr>
                <w:rFonts w:ascii="맑은 고딕" w:hAnsi="맑은 고딕" w:eastAsia="맑은 고딕"/>
                <w:b w:val="0"/>
                <w:sz w:val="15"/>
              </w:rPr>
              <w:t>162.5</w:t>
            </w:r>
          </w:p>
        </w:tc>
        <w:tc>
          <w:tcPr>
            <w:tcW w:type="dxa" w:w="994"/>
          </w:tcPr>
          <w:p>
            <w:pPr>
              <w:spacing w:after="20" w:before="20"/>
              <w:jc w:val="right"/>
            </w:pPr>
            <w:r/>
            <w:r>
              <w:rPr>
                <w:rFonts w:ascii="맑은 고딕" w:hAnsi="맑은 고딕" w:eastAsia="맑은 고딕"/>
                <w:b w:val="0"/>
                <w:sz w:val="15"/>
              </w:rPr>
              <w:t>193.6</w:t>
            </w:r>
          </w:p>
        </w:tc>
        <w:tc>
          <w:tcPr>
            <w:tcW w:type="dxa" w:w="994"/>
          </w:tcPr>
          <w:p>
            <w:pPr>
              <w:spacing w:after="20" w:before="20"/>
              <w:jc w:val="right"/>
            </w:pPr>
            <w:r/>
            <w:r>
              <w:rPr>
                <w:rFonts w:ascii="맑은 고딕" w:hAnsi="맑은 고딕" w:eastAsia="맑은 고딕"/>
                <w:b w:val="0"/>
                <w:sz w:val="15"/>
              </w:rPr>
              <w:t>226.2</w:t>
            </w:r>
          </w:p>
        </w:tc>
        <w:tc>
          <w:tcPr>
            <w:tcW w:type="dxa" w:w="994"/>
          </w:tcPr>
          <w:p>
            <w:pPr>
              <w:spacing w:after="20" w:before="20"/>
              <w:jc w:val="right"/>
            </w:pPr>
            <w:r/>
            <w:r>
              <w:rPr>
                <w:rFonts w:ascii="맑은 고딕" w:hAnsi="맑은 고딕" w:eastAsia="맑은 고딕"/>
                <w:b w:val="0"/>
                <w:sz w:val="15"/>
              </w:rPr>
              <w:t>257.8</w:t>
            </w:r>
          </w:p>
        </w:tc>
        <w:tc>
          <w:tcPr>
            <w:tcW w:type="dxa" w:w="994"/>
          </w:tcPr>
          <w:p>
            <w:pPr>
              <w:spacing w:after="20" w:before="20"/>
              <w:jc w:val="right"/>
            </w:pPr>
            <w:r/>
            <w:r>
              <w:rPr>
                <w:rFonts w:ascii="맑은 고딕" w:hAnsi="맑은 고딕" w:eastAsia="맑은 고딕"/>
                <w:b w:val="0"/>
                <w:sz w:val="15"/>
              </w:rPr>
              <w:t>290.0</w:t>
            </w:r>
          </w:p>
        </w:tc>
      </w:tr>
      <w:tr>
        <w:tc>
          <w:tcPr>
            <w:tcW w:type="dxa" w:w="994"/>
          </w:tcPr>
          <w:p>
            <w:pPr>
              <w:spacing w:after="20" w:before="20"/>
              <w:jc w:val="left"/>
            </w:pPr>
            <w:r/>
            <w:r>
              <w:rPr>
                <w:rFonts w:ascii="맑은 고딕" w:hAnsi="맑은 고딕" w:eastAsia="맑은 고딕"/>
                <w:b w:val="0"/>
                <w:sz w:val="15"/>
              </w:rPr>
              <w:t>EBITDA</w:t>
            </w:r>
          </w:p>
        </w:tc>
        <w:tc>
          <w:tcPr>
            <w:tcW w:type="dxa" w:w="994"/>
          </w:tcPr>
          <w:p>
            <w:pPr>
              <w:spacing w:after="20" w:before="20"/>
              <w:jc w:val="right"/>
            </w:pPr>
            <w:r/>
            <w:r>
              <w:rPr>
                <w:rFonts w:ascii="맑은 고딕" w:hAnsi="맑은 고딕" w:eastAsia="맑은 고딕"/>
                <w:b w:val="0"/>
                <w:sz w:val="15"/>
              </w:rPr>
              <w:t>88.3</w:t>
            </w:r>
          </w:p>
        </w:tc>
        <w:tc>
          <w:tcPr>
            <w:tcW w:type="dxa" w:w="994"/>
          </w:tcPr>
          <w:p>
            <w:pPr>
              <w:spacing w:after="20" w:before="20"/>
              <w:jc w:val="right"/>
            </w:pPr>
            <w:r/>
            <w:r>
              <w:rPr>
                <w:rFonts w:ascii="맑은 고딕" w:hAnsi="맑은 고딕" w:eastAsia="맑은 고딕"/>
                <w:b w:val="0"/>
                <w:sz w:val="15"/>
              </w:rPr>
              <w:t>96.2</w:t>
            </w:r>
          </w:p>
        </w:tc>
        <w:tc>
          <w:tcPr>
            <w:tcW w:type="dxa" w:w="994"/>
          </w:tcPr>
          <w:p>
            <w:pPr>
              <w:spacing w:after="20" w:before="20"/>
              <w:jc w:val="right"/>
            </w:pPr>
            <w:r/>
            <w:r>
              <w:rPr>
                <w:rFonts w:ascii="맑은 고딕" w:hAnsi="맑은 고딕" w:eastAsia="맑은 고딕"/>
                <w:b w:val="0"/>
                <w:sz w:val="15"/>
              </w:rPr>
              <w:t>127.7</w:t>
            </w:r>
          </w:p>
        </w:tc>
        <w:tc>
          <w:tcPr>
            <w:tcW w:type="dxa" w:w="994"/>
          </w:tcPr>
          <w:p>
            <w:pPr>
              <w:spacing w:after="20" w:before="20"/>
              <w:jc w:val="right"/>
            </w:pPr>
            <w:r/>
            <w:r>
              <w:rPr>
                <w:rFonts w:ascii="맑은 고딕" w:hAnsi="맑은 고딕" w:eastAsia="맑은 고딕"/>
                <w:b w:val="0"/>
                <w:sz w:val="15"/>
              </w:rPr>
              <w:t>150.2</w:t>
            </w:r>
          </w:p>
        </w:tc>
        <w:tc>
          <w:tcPr>
            <w:tcW w:type="dxa" w:w="994"/>
          </w:tcPr>
          <w:p>
            <w:pPr>
              <w:spacing w:after="20" w:before="20"/>
              <w:jc w:val="right"/>
            </w:pPr>
            <w:r/>
            <w:r>
              <w:rPr>
                <w:rFonts w:ascii="맑은 고딕" w:hAnsi="맑은 고딕" w:eastAsia="맑은 고딕"/>
                <w:b w:val="0"/>
                <w:sz w:val="15"/>
              </w:rPr>
              <w:t>187.6</w:t>
            </w:r>
          </w:p>
        </w:tc>
        <w:tc>
          <w:tcPr>
            <w:tcW w:type="dxa" w:w="994"/>
          </w:tcPr>
          <w:p>
            <w:pPr>
              <w:spacing w:after="20" w:before="20"/>
              <w:jc w:val="right"/>
            </w:pPr>
            <w:r/>
            <w:r>
              <w:rPr>
                <w:rFonts w:ascii="맑은 고딕" w:hAnsi="맑은 고딕" w:eastAsia="맑은 고딕"/>
                <w:b w:val="0"/>
                <w:sz w:val="15"/>
              </w:rPr>
              <w:t>224.8</w:t>
            </w:r>
          </w:p>
        </w:tc>
        <w:tc>
          <w:tcPr>
            <w:tcW w:type="dxa" w:w="994"/>
          </w:tcPr>
          <w:p>
            <w:pPr>
              <w:spacing w:after="20" w:before="20"/>
              <w:jc w:val="right"/>
            </w:pPr>
            <w:r/>
            <w:r>
              <w:rPr>
                <w:rFonts w:ascii="맑은 고딕" w:hAnsi="맑은 고딕" w:eastAsia="맑은 고딕"/>
                <w:b w:val="0"/>
                <w:sz w:val="15"/>
              </w:rPr>
              <w:t>263.5</w:t>
            </w:r>
          </w:p>
        </w:tc>
        <w:tc>
          <w:tcPr>
            <w:tcW w:type="dxa" w:w="994"/>
          </w:tcPr>
          <w:p>
            <w:pPr>
              <w:spacing w:after="20" w:before="20"/>
              <w:jc w:val="right"/>
            </w:pPr>
            <w:r/>
            <w:r>
              <w:rPr>
                <w:rFonts w:ascii="맑은 고딕" w:hAnsi="맑은 고딕" w:eastAsia="맑은 고딕"/>
                <w:b w:val="0"/>
                <w:sz w:val="15"/>
              </w:rPr>
              <w:t>300.6</w:t>
            </w:r>
          </w:p>
        </w:tc>
        <w:tc>
          <w:tcPr>
            <w:tcW w:type="dxa" w:w="994"/>
          </w:tcPr>
          <w:p>
            <w:pPr>
              <w:spacing w:after="20" w:before="20"/>
              <w:jc w:val="right"/>
            </w:pPr>
            <w:r/>
            <w:r>
              <w:rPr>
                <w:rFonts w:ascii="맑은 고딕" w:hAnsi="맑은 고딕" w:eastAsia="맑은 고딕"/>
                <w:b w:val="0"/>
                <w:sz w:val="15"/>
              </w:rPr>
              <w:t>337.8</w:t>
            </w:r>
          </w:p>
        </w:tc>
      </w:tr>
      <w:tr>
        <w:tc>
          <w:tcPr>
            <w:tcW w:type="dxa" w:w="994"/>
          </w:tcPr>
          <w:p>
            <w:pPr>
              <w:spacing w:after="20" w:before="20"/>
              <w:jc w:val="left"/>
            </w:pPr>
            <w:r/>
            <w:r>
              <w:rPr>
                <w:rFonts w:ascii="맑은 고딕" w:hAnsi="맑은 고딕" w:eastAsia="맑은 고딕"/>
                <w:b w:val="0"/>
                <w:sz w:val="15"/>
              </w:rPr>
              <w:t>당기순이익</w:t>
            </w:r>
          </w:p>
        </w:tc>
        <w:tc>
          <w:tcPr>
            <w:tcW w:type="dxa" w:w="994"/>
          </w:tcPr>
          <w:p>
            <w:pPr>
              <w:spacing w:after="20" w:before="20"/>
              <w:jc w:val="right"/>
            </w:pPr>
            <w:r/>
            <w:r>
              <w:rPr>
                <w:rFonts w:ascii="맑은 고딕" w:hAnsi="맑은 고딕" w:eastAsia="맑은 고딕"/>
                <w:b w:val="0"/>
                <w:sz w:val="15"/>
              </w:rPr>
              <w:t>60.0</w:t>
            </w:r>
          </w:p>
        </w:tc>
        <w:tc>
          <w:tcPr>
            <w:tcW w:type="dxa" w:w="994"/>
          </w:tcPr>
          <w:p>
            <w:pPr>
              <w:spacing w:after="20" w:before="20"/>
              <w:jc w:val="right"/>
            </w:pPr>
            <w:r/>
            <w:r>
              <w:rPr>
                <w:rFonts w:ascii="맑은 고딕" w:hAnsi="맑은 고딕" w:eastAsia="맑은 고딕"/>
                <w:b w:val="0"/>
                <w:sz w:val="15"/>
              </w:rPr>
              <w:t>73.8</w:t>
            </w:r>
          </w:p>
        </w:tc>
        <w:tc>
          <w:tcPr>
            <w:tcW w:type="dxa" w:w="994"/>
          </w:tcPr>
          <w:p>
            <w:pPr>
              <w:spacing w:after="20" w:before="20"/>
              <w:jc w:val="right"/>
            </w:pPr>
            <w:r/>
            <w:r>
              <w:rPr>
                <w:rFonts w:ascii="맑은 고딕" w:hAnsi="맑은 고딕" w:eastAsia="맑은 고딕"/>
                <w:b w:val="0"/>
                <w:sz w:val="15"/>
              </w:rPr>
              <w:t>100.1</w:t>
            </w:r>
          </w:p>
        </w:tc>
        <w:tc>
          <w:tcPr>
            <w:tcW w:type="dxa" w:w="994"/>
          </w:tcPr>
          <w:p>
            <w:pPr>
              <w:spacing w:after="20" w:before="20"/>
              <w:jc w:val="right"/>
            </w:pPr>
            <w:r/>
            <w:r>
              <w:rPr>
                <w:rFonts w:ascii="맑은 고딕" w:hAnsi="맑은 고딕" w:eastAsia="맑은 고딕"/>
                <w:b w:val="0"/>
                <w:sz w:val="15"/>
              </w:rPr>
              <w:t>132.2</w:t>
            </w:r>
          </w:p>
        </w:tc>
        <w:tc>
          <w:tcPr>
            <w:tcW w:type="dxa" w:w="994"/>
          </w:tcPr>
          <w:p>
            <w:pPr>
              <w:spacing w:after="20" w:before="20"/>
              <w:jc w:val="right"/>
            </w:pPr>
            <w:r/>
            <w:r>
              <w:rPr>
                <w:rFonts w:ascii="맑은 고딕" w:hAnsi="맑은 고딕" w:eastAsia="맑은 고딕"/>
                <w:b w:val="0"/>
                <w:sz w:val="15"/>
              </w:rPr>
              <w:t>139.4</w:t>
            </w:r>
          </w:p>
        </w:tc>
        <w:tc>
          <w:tcPr>
            <w:tcW w:type="dxa" w:w="994"/>
          </w:tcPr>
          <w:p>
            <w:pPr>
              <w:spacing w:after="20" w:before="20"/>
              <w:jc w:val="right"/>
            </w:pPr>
            <w:r/>
            <w:r>
              <w:rPr>
                <w:rFonts w:ascii="맑은 고딕" w:hAnsi="맑은 고딕" w:eastAsia="맑은 고딕"/>
                <w:b w:val="0"/>
                <w:sz w:val="15"/>
              </w:rPr>
              <w:t>165.5</w:t>
            </w:r>
          </w:p>
        </w:tc>
        <w:tc>
          <w:tcPr>
            <w:tcW w:type="dxa" w:w="994"/>
          </w:tcPr>
          <w:p>
            <w:pPr>
              <w:spacing w:after="20" w:before="20"/>
              <w:jc w:val="right"/>
            </w:pPr>
            <w:r/>
            <w:r>
              <w:rPr>
                <w:rFonts w:ascii="맑은 고딕" w:hAnsi="맑은 고딕" w:eastAsia="맑은 고딕"/>
                <w:b w:val="0"/>
                <w:sz w:val="15"/>
              </w:rPr>
              <w:t>192.8</w:t>
            </w:r>
          </w:p>
        </w:tc>
        <w:tc>
          <w:tcPr>
            <w:tcW w:type="dxa" w:w="994"/>
          </w:tcPr>
          <w:p>
            <w:pPr>
              <w:spacing w:after="20" w:before="20"/>
              <w:jc w:val="right"/>
            </w:pPr>
            <w:r/>
            <w:r>
              <w:rPr>
                <w:rFonts w:ascii="맑은 고딕" w:hAnsi="맑은 고딕" w:eastAsia="맑은 고딕"/>
                <w:b w:val="0"/>
                <w:sz w:val="15"/>
              </w:rPr>
              <w:t>219.3</w:t>
            </w:r>
          </w:p>
        </w:tc>
        <w:tc>
          <w:tcPr>
            <w:tcW w:type="dxa" w:w="994"/>
          </w:tcPr>
          <w:p>
            <w:pPr>
              <w:spacing w:after="20" w:before="20"/>
              <w:jc w:val="right"/>
            </w:pPr>
            <w:r/>
            <w:r>
              <w:rPr>
                <w:rFonts w:ascii="맑은 고딕" w:hAnsi="맑은 고딕" w:eastAsia="맑은 고딕"/>
                <w:b w:val="0"/>
                <w:sz w:val="15"/>
              </w:rPr>
              <w:t>246.3</w:t>
            </w:r>
          </w:p>
        </w:tc>
      </w:tr>
      <w:tr>
        <w:tc>
          <w:tcPr>
            <w:tcW w:type="dxa" w:w="994"/>
          </w:tcPr>
          <w:p>
            <w:pPr>
              <w:spacing w:after="20" w:before="20"/>
              <w:jc w:val="left"/>
            </w:pPr>
            <w:r/>
            <w:r>
              <w:rPr>
                <w:rFonts w:ascii="맑은 고딕" w:hAnsi="맑은 고딕" w:eastAsia="맑은 고딕"/>
                <w:b w:val="0"/>
                <w:sz w:val="15"/>
              </w:rPr>
              <w:t>희석 EPS ($)</w:t>
            </w:r>
          </w:p>
        </w:tc>
        <w:tc>
          <w:tcPr>
            <w:tcW w:type="dxa" w:w="994"/>
          </w:tcPr>
          <w:p>
            <w:pPr>
              <w:spacing w:after="20" w:before="20"/>
              <w:jc w:val="right"/>
            </w:pPr>
            <w:r/>
            <w:r>
              <w:rPr>
                <w:rFonts w:ascii="맑은 고딕" w:hAnsi="맑은 고딕" w:eastAsia="맑은 고딕"/>
                <w:b w:val="0"/>
                <w:sz w:val="15"/>
              </w:rPr>
              <w:t>4.56</w:t>
            </w:r>
          </w:p>
        </w:tc>
        <w:tc>
          <w:tcPr>
            <w:tcW w:type="dxa" w:w="994"/>
          </w:tcPr>
          <w:p>
            <w:pPr>
              <w:spacing w:after="20" w:before="20"/>
              <w:jc w:val="right"/>
            </w:pPr>
            <w:r/>
            <w:r>
              <w:rPr>
                <w:rFonts w:ascii="맑은 고딕" w:hAnsi="맑은 고딕" w:eastAsia="맑은 고딕"/>
                <w:b w:val="0"/>
                <w:sz w:val="15"/>
              </w:rPr>
              <w:t>5.80</w:t>
            </w:r>
          </w:p>
        </w:tc>
        <w:tc>
          <w:tcPr>
            <w:tcW w:type="dxa" w:w="994"/>
          </w:tcPr>
          <w:p>
            <w:pPr>
              <w:spacing w:after="20" w:before="20"/>
              <w:jc w:val="right"/>
            </w:pPr>
            <w:r/>
            <w:r>
              <w:rPr>
                <w:rFonts w:ascii="맑은 고딕" w:hAnsi="맑은 고딕" w:eastAsia="맑은 고딕"/>
                <w:b w:val="0"/>
                <w:sz w:val="15"/>
              </w:rPr>
              <w:t>8.04</w:t>
            </w:r>
          </w:p>
        </w:tc>
        <w:tc>
          <w:tcPr>
            <w:tcW w:type="dxa" w:w="994"/>
          </w:tcPr>
          <w:p>
            <w:pPr>
              <w:spacing w:after="20" w:before="20"/>
              <w:jc w:val="right"/>
            </w:pPr>
            <w:r/>
            <w:r>
              <w:rPr>
                <w:rFonts w:ascii="맑은 고딕" w:hAnsi="맑은 고딕" w:eastAsia="맑은 고딕"/>
                <w:b w:val="0"/>
                <w:sz w:val="15"/>
              </w:rPr>
              <w:t>10.81</w:t>
            </w:r>
          </w:p>
        </w:tc>
        <w:tc>
          <w:tcPr>
            <w:tcW w:type="dxa" w:w="994"/>
          </w:tcPr>
          <w:p>
            <w:pPr>
              <w:spacing w:after="20" w:before="20"/>
              <w:jc w:val="right"/>
            </w:pPr>
            <w:r/>
            <w:r>
              <w:rPr>
                <w:rFonts w:ascii="맑은 고딕" w:hAnsi="맑은 고딕" w:eastAsia="맑은 고딕"/>
                <w:b w:val="0"/>
                <w:sz w:val="15"/>
              </w:rPr>
              <w:t>11.61</w:t>
            </w:r>
          </w:p>
        </w:tc>
        <w:tc>
          <w:tcPr>
            <w:tcW w:type="dxa" w:w="994"/>
          </w:tcPr>
          <w:p>
            <w:pPr>
              <w:spacing w:after="20" w:before="20"/>
              <w:jc w:val="right"/>
            </w:pPr>
            <w:r/>
            <w:r>
              <w:rPr>
                <w:rFonts w:ascii="맑은 고딕" w:hAnsi="맑은 고딕" w:eastAsia="맑은 고딕"/>
                <w:b w:val="0"/>
                <w:sz w:val="15"/>
              </w:rPr>
              <w:t>14.03</w:t>
            </w:r>
          </w:p>
        </w:tc>
        <w:tc>
          <w:tcPr>
            <w:tcW w:type="dxa" w:w="994"/>
          </w:tcPr>
          <w:p>
            <w:pPr>
              <w:spacing w:after="20" w:before="20"/>
              <w:jc w:val="right"/>
            </w:pPr>
            <w:r/>
            <w:r>
              <w:rPr>
                <w:rFonts w:ascii="맑은 고딕" w:hAnsi="맑은 고딕" w:eastAsia="맑은 고딕"/>
                <w:b w:val="0"/>
                <w:sz w:val="15"/>
              </w:rPr>
              <w:t>16.65</w:t>
            </w:r>
          </w:p>
        </w:tc>
        <w:tc>
          <w:tcPr>
            <w:tcW w:type="dxa" w:w="994"/>
          </w:tcPr>
          <w:p>
            <w:pPr>
              <w:spacing w:after="20" w:before="20"/>
              <w:jc w:val="right"/>
            </w:pPr>
            <w:r/>
            <w:r>
              <w:rPr>
                <w:rFonts w:ascii="맑은 고딕" w:hAnsi="맑은 고딕" w:eastAsia="맑은 고딕"/>
                <w:b w:val="0"/>
                <w:sz w:val="15"/>
              </w:rPr>
              <w:t>19.28</w:t>
            </w:r>
          </w:p>
        </w:tc>
        <w:tc>
          <w:tcPr>
            <w:tcW w:type="dxa" w:w="994"/>
          </w:tcPr>
          <w:p>
            <w:pPr>
              <w:spacing w:after="20" w:before="20"/>
              <w:jc w:val="right"/>
            </w:pPr>
            <w:r/>
            <w:r>
              <w:rPr>
                <w:rFonts w:ascii="맑은 고딕" w:hAnsi="맑은 고딕" w:eastAsia="맑은 고딕"/>
                <w:b w:val="0"/>
                <w:sz w:val="15"/>
              </w:rPr>
              <w:t>22.05</w:t>
            </w:r>
          </w:p>
        </w:tc>
      </w:tr>
      <w:tr>
        <w:tc>
          <w:tcPr>
            <w:tcW w:type="dxa" w:w="994"/>
          </w:tcPr>
          <w:p>
            <w:pPr>
              <w:spacing w:after="20" w:before="20"/>
              <w:jc w:val="left"/>
            </w:pPr>
            <w:r/>
            <w:r>
              <w:rPr>
                <w:rFonts w:ascii="맑은 고딕" w:hAnsi="맑은 고딕" w:eastAsia="맑은 고딕"/>
                <w:b w:val="0"/>
                <w:sz w:val="15"/>
              </w:rPr>
              <w:t>희석주식수 (백만주)</w:t>
            </w:r>
          </w:p>
        </w:tc>
        <w:tc>
          <w:tcPr>
            <w:tcW w:type="dxa" w:w="994"/>
          </w:tcPr>
          <w:p>
            <w:pPr>
              <w:spacing w:after="20" w:before="20"/>
              <w:jc w:val="right"/>
            </w:pPr>
            <w:r/>
            <w:r>
              <w:rPr>
                <w:rFonts w:ascii="맑은 고딕" w:hAnsi="맑은 고딕" w:eastAsia="맑은 고딕"/>
                <w:b w:val="0"/>
                <w:sz w:val="15"/>
              </w:rPr>
              <w:t>13,159</w:t>
            </w:r>
          </w:p>
        </w:tc>
        <w:tc>
          <w:tcPr>
            <w:tcW w:type="dxa" w:w="994"/>
          </w:tcPr>
          <w:p>
            <w:pPr>
              <w:spacing w:after="20" w:before="20"/>
              <w:jc w:val="right"/>
            </w:pPr>
            <w:r/>
            <w:r>
              <w:rPr>
                <w:rFonts w:ascii="맑은 고딕" w:hAnsi="맑은 고딕" w:eastAsia="맑은 고딕"/>
                <w:b w:val="0"/>
                <w:sz w:val="15"/>
              </w:rPr>
              <w:t>12,722</w:t>
            </w:r>
          </w:p>
        </w:tc>
        <w:tc>
          <w:tcPr>
            <w:tcW w:type="dxa" w:w="994"/>
          </w:tcPr>
          <w:p>
            <w:pPr>
              <w:spacing w:after="20" w:before="20"/>
              <w:jc w:val="right"/>
            </w:pPr>
            <w:r/>
            <w:r>
              <w:rPr>
                <w:rFonts w:ascii="맑은 고딕" w:hAnsi="맑은 고딕" w:eastAsia="맑은 고딕"/>
                <w:b w:val="0"/>
                <w:sz w:val="15"/>
              </w:rPr>
              <w:t>12,447</w:t>
            </w:r>
          </w:p>
        </w:tc>
        <w:tc>
          <w:tcPr>
            <w:tcW w:type="dxa" w:w="994"/>
          </w:tcPr>
          <w:p>
            <w:pPr>
              <w:spacing w:after="20" w:before="20"/>
              <w:jc w:val="right"/>
            </w:pPr>
            <w:r/>
            <w:r>
              <w:rPr>
                <w:rFonts w:ascii="맑은 고딕" w:hAnsi="맑은 고딕" w:eastAsia="맑은 고딕"/>
                <w:b w:val="0"/>
                <w:sz w:val="15"/>
              </w:rPr>
              <w:t>12,230</w:t>
            </w:r>
          </w:p>
        </w:tc>
        <w:tc>
          <w:tcPr>
            <w:tcW w:type="dxa" w:w="994"/>
          </w:tcPr>
          <w:p>
            <w:pPr>
              <w:spacing w:after="20" w:before="20"/>
              <w:jc w:val="right"/>
            </w:pPr>
            <w:r/>
            <w:r>
              <w:rPr>
                <w:rFonts w:ascii="맑은 고딕" w:hAnsi="맑은 고딕" w:eastAsia="맑은 고딕"/>
                <w:b w:val="0"/>
                <w:sz w:val="15"/>
              </w:rPr>
              <w:t>12,010</w:t>
            </w:r>
          </w:p>
        </w:tc>
        <w:tc>
          <w:tcPr>
            <w:tcW w:type="dxa" w:w="994"/>
          </w:tcPr>
          <w:p>
            <w:pPr>
              <w:spacing w:after="20" w:before="20"/>
              <w:jc w:val="right"/>
            </w:pPr>
            <w:r/>
            <w:r>
              <w:rPr>
                <w:rFonts w:ascii="맑은 고딕" w:hAnsi="맑은 고딕" w:eastAsia="맑은 고딕"/>
                <w:b w:val="0"/>
                <w:sz w:val="15"/>
              </w:rPr>
              <w:t>11,794</w:t>
            </w:r>
          </w:p>
        </w:tc>
        <w:tc>
          <w:tcPr>
            <w:tcW w:type="dxa" w:w="994"/>
          </w:tcPr>
          <w:p>
            <w:pPr>
              <w:spacing w:after="20" w:before="20"/>
              <w:jc w:val="right"/>
            </w:pPr>
            <w:r/>
            <w:r>
              <w:rPr>
                <w:rFonts w:ascii="맑은 고딕" w:hAnsi="맑은 고딕" w:eastAsia="맑은 고딕"/>
                <w:b w:val="0"/>
                <w:sz w:val="15"/>
              </w:rPr>
              <w:t>11,581</w:t>
            </w:r>
          </w:p>
        </w:tc>
        <w:tc>
          <w:tcPr>
            <w:tcW w:type="dxa" w:w="994"/>
          </w:tcPr>
          <w:p>
            <w:pPr>
              <w:spacing w:after="20" w:before="20"/>
              <w:jc w:val="right"/>
            </w:pPr>
            <w:r/>
            <w:r>
              <w:rPr>
                <w:rFonts w:ascii="맑은 고딕" w:hAnsi="맑은 고딕" w:eastAsia="맑은 고딕"/>
                <w:b w:val="0"/>
                <w:sz w:val="15"/>
              </w:rPr>
              <w:t>11,373</w:t>
            </w:r>
          </w:p>
        </w:tc>
        <w:tc>
          <w:tcPr>
            <w:tcW w:type="dxa" w:w="994"/>
          </w:tcPr>
          <w:p>
            <w:pPr>
              <w:spacing w:after="20" w:before="20"/>
              <w:jc w:val="right"/>
            </w:pPr>
            <w:r/>
            <w:r>
              <w:rPr>
                <w:rFonts w:ascii="맑은 고딕" w:hAnsi="맑은 고딕" w:eastAsia="맑은 고딕"/>
                <w:b w:val="0"/>
                <w:sz w:val="15"/>
              </w:rPr>
              <w:t>11,168</w:t>
            </w:r>
          </w:p>
        </w:tc>
      </w:tr>
    </w:tbl>
    <w:p>
      <w:pPr>
        <w:spacing w:after="40"/>
      </w:pPr>
    </w:p>
    <w:p>
      <w:pPr>
        <w:spacing w:after="200"/>
      </w:pPr>
      <w:r>
        <w:rPr>
          <w:rFonts w:ascii="맑은 고딕" w:hAnsi="맑은 고딕" w:eastAsia="맑은 고딕"/>
          <w:i/>
          <w:color w:val="595959"/>
          <w:sz w:val="16"/>
        </w:rPr>
        <w:t>표 2 — 손익계산서 요약. 자료: 모델.</w:t>
      </w:r>
    </w:p>
    <w:tbl>
      <w:tblPr>
        <w:tblStyle w:val="LightGrid-Accent1"/>
        <w:tblW w:type="auto" w:w="0"/>
        <w:tblLayout w:type="autofit"/>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shd w:fill="1F3864"/>
          </w:tcPr>
          <w:p>
            <w:pPr>
              <w:spacing w:after="20" w:before="20"/>
              <w:jc w:val="left"/>
            </w:pPr>
            <w:r/>
            <w:r>
              <w:rPr>
                <w:rFonts w:ascii="맑은 고딕" w:hAnsi="맑은 고딕" w:eastAsia="맑은 고딕"/>
                <w:b/>
                <w:color w:val="FFFFFF"/>
                <w:sz w:val="15"/>
              </w:rPr>
              <w:t>세그먼트 ($B)</w:t>
            </w:r>
          </w:p>
        </w:tc>
        <w:tc>
          <w:tcPr>
            <w:tcW w:type="dxa" w:w="994"/>
            <w:shd w:fill="1F3864"/>
          </w:tcPr>
          <w:p>
            <w:pPr>
              <w:spacing w:after="20" w:before="20"/>
              <w:jc w:val="right"/>
            </w:pPr>
            <w:r/>
            <w:r>
              <w:rPr>
                <w:rFonts w:ascii="맑은 고딕" w:hAnsi="맑은 고딕" w:eastAsia="맑은 고딕"/>
                <w:b/>
                <w:color w:val="FFFFFF"/>
                <w:sz w:val="15"/>
              </w:rPr>
              <w:t>FY22</w:t>
            </w:r>
          </w:p>
        </w:tc>
        <w:tc>
          <w:tcPr>
            <w:tcW w:type="dxa" w:w="994"/>
            <w:shd w:fill="1F3864"/>
          </w:tcPr>
          <w:p>
            <w:pPr>
              <w:spacing w:after="20" w:before="20"/>
              <w:jc w:val="right"/>
            </w:pPr>
            <w:r/>
            <w:r>
              <w:rPr>
                <w:rFonts w:ascii="맑은 고딕" w:hAnsi="맑은 고딕" w:eastAsia="맑은 고딕"/>
                <w:b/>
                <w:color w:val="FFFFFF"/>
                <w:sz w:val="15"/>
              </w:rPr>
              <w:t>FY23</w:t>
            </w:r>
          </w:p>
        </w:tc>
        <w:tc>
          <w:tcPr>
            <w:tcW w:type="dxa" w:w="994"/>
            <w:shd w:fill="1F3864"/>
          </w:tcPr>
          <w:p>
            <w:pPr>
              <w:spacing w:after="20" w:before="20"/>
              <w:jc w:val="right"/>
            </w:pPr>
            <w:r/>
            <w:r>
              <w:rPr>
                <w:rFonts w:ascii="맑은 고딕" w:hAnsi="맑은 고딕" w:eastAsia="맑은 고딕"/>
                <w:b/>
                <w:color w:val="FFFFFF"/>
                <w:sz w:val="15"/>
              </w:rPr>
              <w:t>FY24</w:t>
            </w:r>
          </w:p>
        </w:tc>
        <w:tc>
          <w:tcPr>
            <w:tcW w:type="dxa" w:w="994"/>
            <w:shd w:fill="1F3864"/>
          </w:tcPr>
          <w:p>
            <w:pPr>
              <w:spacing w:after="20" w:before="20"/>
              <w:jc w:val="right"/>
            </w:pPr>
            <w:r/>
            <w:r>
              <w:rPr>
                <w:rFonts w:ascii="맑은 고딕" w:hAnsi="맑은 고딕" w:eastAsia="맑은 고딕"/>
                <w:b/>
                <w:color w:val="FFFFFF"/>
                <w:sz w:val="15"/>
              </w:rPr>
              <w:t>FY25</w:t>
            </w:r>
          </w:p>
        </w:tc>
        <w:tc>
          <w:tcPr>
            <w:tcW w:type="dxa" w:w="994"/>
            <w:shd w:fill="1F3864"/>
          </w:tcPr>
          <w:p>
            <w:pPr>
              <w:spacing w:after="20" w:before="20"/>
              <w:jc w:val="right"/>
            </w:pPr>
            <w:r/>
            <w:r>
              <w:rPr>
                <w:rFonts w:ascii="맑은 고딕" w:hAnsi="맑은 고딕" w:eastAsia="맑은 고딕"/>
                <w:b/>
                <w:color w:val="FFFFFF"/>
                <w:sz w:val="15"/>
              </w:rPr>
              <w:t>FY26E</w:t>
            </w:r>
          </w:p>
        </w:tc>
        <w:tc>
          <w:tcPr>
            <w:tcW w:type="dxa" w:w="994"/>
            <w:shd w:fill="1F3864"/>
          </w:tcPr>
          <w:p>
            <w:pPr>
              <w:spacing w:after="20" w:before="20"/>
              <w:jc w:val="right"/>
            </w:pPr>
            <w:r/>
            <w:r>
              <w:rPr>
                <w:rFonts w:ascii="맑은 고딕" w:hAnsi="맑은 고딕" w:eastAsia="맑은 고딕"/>
                <w:b/>
                <w:color w:val="FFFFFF"/>
                <w:sz w:val="15"/>
              </w:rPr>
              <w:t>FY27E</w:t>
            </w:r>
          </w:p>
        </w:tc>
        <w:tc>
          <w:tcPr>
            <w:tcW w:type="dxa" w:w="994"/>
            <w:shd w:fill="1F3864"/>
          </w:tcPr>
          <w:p>
            <w:pPr>
              <w:spacing w:after="20" w:before="20"/>
              <w:jc w:val="right"/>
            </w:pPr>
            <w:r/>
            <w:r>
              <w:rPr>
                <w:rFonts w:ascii="맑은 고딕" w:hAnsi="맑은 고딕" w:eastAsia="맑은 고딕"/>
                <w:b/>
                <w:color w:val="FFFFFF"/>
                <w:sz w:val="15"/>
              </w:rPr>
              <w:t>FY28E</w:t>
            </w:r>
          </w:p>
        </w:tc>
        <w:tc>
          <w:tcPr>
            <w:tcW w:type="dxa" w:w="994"/>
            <w:shd w:fill="1F3864"/>
          </w:tcPr>
          <w:p>
            <w:pPr>
              <w:spacing w:after="20" w:before="20"/>
              <w:jc w:val="right"/>
            </w:pPr>
            <w:r/>
            <w:r>
              <w:rPr>
                <w:rFonts w:ascii="맑은 고딕" w:hAnsi="맑은 고딕" w:eastAsia="맑은 고딕"/>
                <w:b/>
                <w:color w:val="FFFFFF"/>
                <w:sz w:val="15"/>
              </w:rPr>
              <w:t>FY29E</w:t>
            </w:r>
          </w:p>
        </w:tc>
        <w:tc>
          <w:tcPr>
            <w:tcW w:type="dxa" w:w="994"/>
            <w:shd w:fill="1F3864"/>
          </w:tcPr>
          <w:p>
            <w:pPr>
              <w:spacing w:after="20" w:before="20"/>
              <w:jc w:val="right"/>
            </w:pPr>
            <w:r/>
            <w:r>
              <w:rPr>
                <w:rFonts w:ascii="맑은 고딕" w:hAnsi="맑은 고딕" w:eastAsia="맑은 고딕"/>
                <w:b/>
                <w:color w:val="FFFFFF"/>
                <w:sz w:val="15"/>
              </w:rPr>
              <w:t>FY30E</w:t>
            </w:r>
          </w:p>
        </w:tc>
      </w:tr>
      <w:tr>
        <w:tc>
          <w:tcPr>
            <w:tcW w:type="dxa" w:w="994"/>
          </w:tcPr>
          <w:p>
            <w:pPr>
              <w:spacing w:after="20" w:before="20"/>
              <w:jc w:val="left"/>
            </w:pPr>
            <w:r/>
            <w:r>
              <w:rPr>
                <w:rFonts w:ascii="맑은 고딕" w:hAnsi="맑은 고딕" w:eastAsia="맑은 고딕"/>
                <w:b w:val="0"/>
                <w:sz w:val="15"/>
              </w:rPr>
              <w:t>구글 서치·기타</w:t>
            </w:r>
          </w:p>
        </w:tc>
        <w:tc>
          <w:tcPr>
            <w:tcW w:type="dxa" w:w="994"/>
          </w:tcPr>
          <w:p>
            <w:pPr>
              <w:spacing w:after="20" w:before="20"/>
              <w:jc w:val="right"/>
            </w:pPr>
            <w:r/>
            <w:r>
              <w:rPr>
                <w:rFonts w:ascii="맑은 고딕" w:hAnsi="맑은 고딕" w:eastAsia="맑은 고딕"/>
                <w:b w:val="0"/>
                <w:sz w:val="15"/>
              </w:rPr>
              <w:t>161.8</w:t>
            </w:r>
          </w:p>
        </w:tc>
        <w:tc>
          <w:tcPr>
            <w:tcW w:type="dxa" w:w="994"/>
          </w:tcPr>
          <w:p>
            <w:pPr>
              <w:spacing w:after="20" w:before="20"/>
              <w:jc w:val="right"/>
            </w:pPr>
            <w:r/>
            <w:r>
              <w:rPr>
                <w:rFonts w:ascii="맑은 고딕" w:hAnsi="맑은 고딕" w:eastAsia="맑은 고딕"/>
                <w:b w:val="0"/>
                <w:sz w:val="15"/>
              </w:rPr>
              <w:t>175.2</w:t>
            </w:r>
          </w:p>
        </w:tc>
        <w:tc>
          <w:tcPr>
            <w:tcW w:type="dxa" w:w="994"/>
          </w:tcPr>
          <w:p>
            <w:pPr>
              <w:spacing w:after="20" w:before="20"/>
              <w:jc w:val="right"/>
            </w:pPr>
            <w:r/>
            <w:r>
              <w:rPr>
                <w:rFonts w:ascii="맑은 고딕" w:hAnsi="맑은 고딕" w:eastAsia="맑은 고딕"/>
                <w:b w:val="0"/>
                <w:sz w:val="15"/>
              </w:rPr>
              <w:t>198.1</w:t>
            </w:r>
          </w:p>
        </w:tc>
        <w:tc>
          <w:tcPr>
            <w:tcW w:type="dxa" w:w="994"/>
          </w:tcPr>
          <w:p>
            <w:pPr>
              <w:spacing w:after="20" w:before="20"/>
              <w:jc w:val="right"/>
            </w:pPr>
            <w:r/>
            <w:r>
              <w:rPr>
                <w:rFonts w:ascii="맑은 고딕" w:hAnsi="맑은 고딕" w:eastAsia="맑은 고딕"/>
                <w:b w:val="0"/>
                <w:sz w:val="15"/>
              </w:rPr>
              <w:t>223.6</w:t>
            </w:r>
          </w:p>
        </w:tc>
        <w:tc>
          <w:tcPr>
            <w:tcW w:type="dxa" w:w="994"/>
          </w:tcPr>
          <w:p>
            <w:pPr>
              <w:spacing w:after="20" w:before="20"/>
              <w:jc w:val="right"/>
            </w:pPr>
            <w:r/>
            <w:r>
              <w:rPr>
                <w:rFonts w:ascii="맑은 고딕" w:hAnsi="맑은 고딕" w:eastAsia="맑은 고딕"/>
                <w:b w:val="0"/>
                <w:sz w:val="15"/>
              </w:rPr>
              <w:t>259.3</w:t>
            </w:r>
          </w:p>
        </w:tc>
        <w:tc>
          <w:tcPr>
            <w:tcW w:type="dxa" w:w="994"/>
          </w:tcPr>
          <w:p>
            <w:pPr>
              <w:spacing w:after="20" w:before="20"/>
              <w:jc w:val="right"/>
            </w:pPr>
            <w:r/>
            <w:r>
              <w:rPr>
                <w:rFonts w:ascii="맑은 고딕" w:hAnsi="맑은 고딕" w:eastAsia="맑은 고딕"/>
                <w:b w:val="0"/>
                <w:sz w:val="15"/>
              </w:rPr>
              <w:t>293.1</w:t>
            </w:r>
          </w:p>
        </w:tc>
        <w:tc>
          <w:tcPr>
            <w:tcW w:type="dxa" w:w="994"/>
          </w:tcPr>
          <w:p>
            <w:pPr>
              <w:spacing w:after="20" w:before="20"/>
              <w:jc w:val="right"/>
            </w:pPr>
            <w:r/>
            <w:r>
              <w:rPr>
                <w:rFonts w:ascii="맑은 고딕" w:hAnsi="맑은 고딕" w:eastAsia="맑은 고딕"/>
                <w:b w:val="0"/>
                <w:sz w:val="15"/>
              </w:rPr>
              <w:t>325.3</w:t>
            </w:r>
          </w:p>
        </w:tc>
        <w:tc>
          <w:tcPr>
            <w:tcW w:type="dxa" w:w="994"/>
          </w:tcPr>
          <w:p>
            <w:pPr>
              <w:spacing w:after="20" w:before="20"/>
              <w:jc w:val="right"/>
            </w:pPr>
            <w:r/>
            <w:r>
              <w:rPr>
                <w:rFonts w:ascii="맑은 고딕" w:hAnsi="맑은 고딕" w:eastAsia="맑은 고딕"/>
                <w:b w:val="0"/>
                <w:sz w:val="15"/>
              </w:rPr>
              <w:t>354.6</w:t>
            </w:r>
          </w:p>
        </w:tc>
        <w:tc>
          <w:tcPr>
            <w:tcW w:type="dxa" w:w="994"/>
          </w:tcPr>
          <w:p>
            <w:pPr>
              <w:spacing w:after="20" w:before="20"/>
              <w:jc w:val="right"/>
            </w:pPr>
            <w:r/>
            <w:r>
              <w:rPr>
                <w:rFonts w:ascii="맑은 고딕" w:hAnsi="맑은 고딕" w:eastAsia="맑은 고딕"/>
                <w:b w:val="0"/>
                <w:sz w:val="15"/>
              </w:rPr>
              <w:t>382.9</w:t>
            </w:r>
          </w:p>
        </w:tc>
      </w:tr>
      <w:tr>
        <w:tc>
          <w:tcPr>
            <w:tcW w:type="dxa" w:w="994"/>
          </w:tcPr>
          <w:p>
            <w:pPr>
              <w:spacing w:after="20" w:before="20"/>
              <w:jc w:val="left"/>
            </w:pPr>
            <w:r/>
            <w:r>
              <w:rPr>
                <w:rFonts w:ascii="맑은 고딕" w:hAnsi="맑은 고딕" w:eastAsia="맑은 고딕"/>
                <w:b w:val="0"/>
                <w:sz w:val="15"/>
              </w:rPr>
              <w:t>유튜브 광고</w:t>
            </w:r>
          </w:p>
        </w:tc>
        <w:tc>
          <w:tcPr>
            <w:tcW w:type="dxa" w:w="994"/>
          </w:tcPr>
          <w:p>
            <w:pPr>
              <w:spacing w:after="20" w:before="20"/>
              <w:jc w:val="right"/>
            </w:pPr>
            <w:r/>
            <w:r>
              <w:rPr>
                <w:rFonts w:ascii="맑은 고딕" w:hAnsi="맑은 고딕" w:eastAsia="맑은 고딕"/>
                <w:b w:val="0"/>
                <w:sz w:val="15"/>
              </w:rPr>
              <w:t>28.6</w:t>
            </w:r>
          </w:p>
        </w:tc>
        <w:tc>
          <w:tcPr>
            <w:tcW w:type="dxa" w:w="994"/>
          </w:tcPr>
          <w:p>
            <w:pPr>
              <w:spacing w:after="20" w:before="20"/>
              <w:jc w:val="right"/>
            </w:pPr>
            <w:r/>
            <w:r>
              <w:rPr>
                <w:rFonts w:ascii="맑은 고딕" w:hAnsi="맑은 고딕" w:eastAsia="맑은 고딕"/>
                <w:b w:val="0"/>
                <w:sz w:val="15"/>
              </w:rPr>
              <w:t>31.4</w:t>
            </w:r>
          </w:p>
        </w:tc>
        <w:tc>
          <w:tcPr>
            <w:tcW w:type="dxa" w:w="994"/>
          </w:tcPr>
          <w:p>
            <w:pPr>
              <w:spacing w:after="20" w:before="20"/>
              <w:jc w:val="right"/>
            </w:pPr>
            <w:r/>
            <w:r>
              <w:rPr>
                <w:rFonts w:ascii="맑은 고딕" w:hAnsi="맑은 고딕" w:eastAsia="맑은 고딕"/>
                <w:b w:val="0"/>
                <w:sz w:val="15"/>
              </w:rPr>
              <w:t>36.1</w:t>
            </w:r>
          </w:p>
        </w:tc>
        <w:tc>
          <w:tcPr>
            <w:tcW w:type="dxa" w:w="994"/>
          </w:tcPr>
          <w:p>
            <w:pPr>
              <w:spacing w:after="20" w:before="20"/>
              <w:jc w:val="right"/>
            </w:pPr>
            <w:r/>
            <w:r>
              <w:rPr>
                <w:rFonts w:ascii="맑은 고딕" w:hAnsi="맑은 고딕" w:eastAsia="맑은 고딕"/>
                <w:b w:val="0"/>
                <w:sz w:val="15"/>
              </w:rPr>
              <w:t>42.7</w:t>
            </w:r>
          </w:p>
        </w:tc>
        <w:tc>
          <w:tcPr>
            <w:tcW w:type="dxa" w:w="994"/>
          </w:tcPr>
          <w:p>
            <w:pPr>
              <w:spacing w:after="20" w:before="20"/>
              <w:jc w:val="right"/>
            </w:pPr>
            <w:r/>
            <w:r>
              <w:rPr>
                <w:rFonts w:ascii="맑은 고딕" w:hAnsi="맑은 고딕" w:eastAsia="맑은 고딕"/>
                <w:b w:val="0"/>
                <w:sz w:val="15"/>
              </w:rPr>
              <w:t>50.0</w:t>
            </w:r>
          </w:p>
        </w:tc>
        <w:tc>
          <w:tcPr>
            <w:tcW w:type="dxa" w:w="994"/>
          </w:tcPr>
          <w:p>
            <w:pPr>
              <w:spacing w:after="20" w:before="20"/>
              <w:jc w:val="right"/>
            </w:pPr>
            <w:r/>
            <w:r>
              <w:rPr>
                <w:rFonts w:ascii="맑은 고딕" w:hAnsi="맑은 고딕" w:eastAsia="맑은 고딕"/>
                <w:b w:val="0"/>
                <w:sz w:val="15"/>
              </w:rPr>
              <w:t>57.5</w:t>
            </w:r>
          </w:p>
        </w:tc>
        <w:tc>
          <w:tcPr>
            <w:tcW w:type="dxa" w:w="994"/>
          </w:tcPr>
          <w:p>
            <w:pPr>
              <w:spacing w:after="20" w:before="20"/>
              <w:jc w:val="right"/>
            </w:pPr>
            <w:r/>
            <w:r>
              <w:rPr>
                <w:rFonts w:ascii="맑은 고딕" w:hAnsi="맑은 고딕" w:eastAsia="맑은 고딕"/>
                <w:b w:val="0"/>
                <w:sz w:val="15"/>
              </w:rPr>
              <w:t>64.9</w:t>
            </w:r>
          </w:p>
        </w:tc>
        <w:tc>
          <w:tcPr>
            <w:tcW w:type="dxa" w:w="994"/>
          </w:tcPr>
          <w:p>
            <w:pPr>
              <w:spacing w:after="20" w:before="20"/>
              <w:jc w:val="right"/>
            </w:pPr>
            <w:r/>
            <w:r>
              <w:rPr>
                <w:rFonts w:ascii="맑은 고딕" w:hAnsi="맑은 고딕" w:eastAsia="맑은 고딕"/>
                <w:b w:val="0"/>
                <w:sz w:val="15"/>
              </w:rPr>
              <w:t>72.1</w:t>
            </w:r>
          </w:p>
        </w:tc>
        <w:tc>
          <w:tcPr>
            <w:tcW w:type="dxa" w:w="994"/>
          </w:tcPr>
          <w:p>
            <w:pPr>
              <w:spacing w:after="20" w:before="20"/>
              <w:jc w:val="right"/>
            </w:pPr>
            <w:r/>
            <w:r>
              <w:rPr>
                <w:rFonts w:ascii="맑은 고딕" w:hAnsi="맑은 고딕" w:eastAsia="맑은 고딕"/>
                <w:b w:val="0"/>
                <w:sz w:val="15"/>
              </w:rPr>
              <w:t>79.3</w:t>
            </w:r>
          </w:p>
        </w:tc>
      </w:tr>
      <w:tr>
        <w:tc>
          <w:tcPr>
            <w:tcW w:type="dxa" w:w="994"/>
          </w:tcPr>
          <w:p>
            <w:pPr>
              <w:spacing w:after="20" w:before="20"/>
              <w:jc w:val="left"/>
            </w:pPr>
            <w:r/>
            <w:r>
              <w:rPr>
                <w:rFonts w:ascii="맑은 고딕" w:hAnsi="맑은 고딕" w:eastAsia="맑은 고딕"/>
                <w:b w:val="0"/>
                <w:sz w:val="15"/>
              </w:rPr>
              <w:t>구글 네트워크</w:t>
            </w:r>
          </w:p>
        </w:tc>
        <w:tc>
          <w:tcPr>
            <w:tcW w:type="dxa" w:w="994"/>
          </w:tcPr>
          <w:p>
            <w:pPr>
              <w:spacing w:after="20" w:before="20"/>
              <w:jc w:val="right"/>
            </w:pPr>
            <w:r/>
            <w:r>
              <w:rPr>
                <w:rFonts w:ascii="맑은 고딕" w:hAnsi="맑은 고딕" w:eastAsia="맑은 고딕"/>
                <w:b w:val="0"/>
                <w:sz w:val="15"/>
              </w:rPr>
              <w:t>33.4</w:t>
            </w:r>
          </w:p>
        </w:tc>
        <w:tc>
          <w:tcPr>
            <w:tcW w:type="dxa" w:w="994"/>
          </w:tcPr>
          <w:p>
            <w:pPr>
              <w:spacing w:after="20" w:before="20"/>
              <w:jc w:val="right"/>
            </w:pPr>
            <w:r/>
            <w:r>
              <w:rPr>
                <w:rFonts w:ascii="맑은 고딕" w:hAnsi="맑은 고딕" w:eastAsia="맑은 고딕"/>
                <w:b w:val="0"/>
                <w:sz w:val="15"/>
              </w:rPr>
              <w:t>30.4</w:t>
            </w:r>
          </w:p>
        </w:tc>
        <w:tc>
          <w:tcPr>
            <w:tcW w:type="dxa" w:w="994"/>
          </w:tcPr>
          <w:p>
            <w:pPr>
              <w:spacing w:after="20" w:before="20"/>
              <w:jc w:val="right"/>
            </w:pPr>
            <w:r/>
            <w:r>
              <w:rPr>
                <w:rFonts w:ascii="맑은 고딕" w:hAnsi="맑은 고딕" w:eastAsia="맑은 고딕"/>
                <w:b w:val="0"/>
                <w:sz w:val="15"/>
              </w:rPr>
              <w:t>30.5</w:t>
            </w:r>
          </w:p>
        </w:tc>
        <w:tc>
          <w:tcPr>
            <w:tcW w:type="dxa" w:w="994"/>
          </w:tcPr>
          <w:p>
            <w:pPr>
              <w:spacing w:after="20" w:before="20"/>
              <w:jc w:val="right"/>
            </w:pPr>
            <w:r/>
            <w:r>
              <w:rPr>
                <w:rFonts w:ascii="맑은 고딕" w:hAnsi="맑은 고딕" w:eastAsia="맑은 고딕"/>
                <w:b w:val="0"/>
                <w:sz w:val="15"/>
              </w:rPr>
              <w:t>28.2</w:t>
            </w:r>
          </w:p>
        </w:tc>
        <w:tc>
          <w:tcPr>
            <w:tcW w:type="dxa" w:w="994"/>
          </w:tcPr>
          <w:p>
            <w:pPr>
              <w:spacing w:after="20" w:before="20"/>
              <w:jc w:val="right"/>
            </w:pPr>
            <w:r/>
            <w:r>
              <w:rPr>
                <w:rFonts w:ascii="맑은 고딕" w:hAnsi="맑은 고딕" w:eastAsia="맑은 고딕"/>
                <w:b w:val="0"/>
                <w:sz w:val="15"/>
              </w:rPr>
              <w:t>25.9</w:t>
            </w:r>
          </w:p>
        </w:tc>
        <w:tc>
          <w:tcPr>
            <w:tcW w:type="dxa" w:w="994"/>
          </w:tcPr>
          <w:p>
            <w:pPr>
              <w:spacing w:after="20" w:before="20"/>
              <w:jc w:val="right"/>
            </w:pPr>
            <w:r/>
            <w:r>
              <w:rPr>
                <w:rFonts w:ascii="맑은 고딕" w:hAnsi="맑은 고딕" w:eastAsia="맑은 고딕"/>
                <w:b w:val="0"/>
                <w:sz w:val="15"/>
              </w:rPr>
              <w:t>24.4</w:t>
            </w:r>
          </w:p>
        </w:tc>
        <w:tc>
          <w:tcPr>
            <w:tcW w:type="dxa" w:w="994"/>
          </w:tcPr>
          <w:p>
            <w:pPr>
              <w:spacing w:after="20" w:before="20"/>
              <w:jc w:val="right"/>
            </w:pPr>
            <w:r/>
            <w:r>
              <w:rPr>
                <w:rFonts w:ascii="맑은 고딕" w:hAnsi="맑은 고딕" w:eastAsia="맑은 고딕"/>
                <w:b w:val="0"/>
                <w:sz w:val="15"/>
              </w:rPr>
              <w:t>23.4</w:t>
            </w:r>
          </w:p>
        </w:tc>
        <w:tc>
          <w:tcPr>
            <w:tcW w:type="dxa" w:w="994"/>
          </w:tcPr>
          <w:p>
            <w:pPr>
              <w:spacing w:after="20" w:before="20"/>
              <w:jc w:val="right"/>
            </w:pPr>
            <w:r/>
            <w:r>
              <w:rPr>
                <w:rFonts w:ascii="맑은 고딕" w:hAnsi="맑은 고딕" w:eastAsia="맑은 고딕"/>
                <w:b w:val="0"/>
                <w:sz w:val="15"/>
              </w:rPr>
              <w:t>22.7</w:t>
            </w:r>
          </w:p>
        </w:tc>
        <w:tc>
          <w:tcPr>
            <w:tcW w:type="dxa" w:w="994"/>
          </w:tcPr>
          <w:p>
            <w:pPr>
              <w:spacing w:after="20" w:before="20"/>
              <w:jc w:val="right"/>
            </w:pPr>
            <w:r/>
            <w:r>
              <w:rPr>
                <w:rFonts w:ascii="맑은 고딕" w:hAnsi="맑은 고딕" w:eastAsia="맑은 고딕"/>
                <w:b w:val="0"/>
                <w:sz w:val="15"/>
              </w:rPr>
              <w:t>22.3</w:t>
            </w:r>
          </w:p>
        </w:tc>
      </w:tr>
      <w:tr>
        <w:tc>
          <w:tcPr>
            <w:tcW w:type="dxa" w:w="994"/>
          </w:tcPr>
          <w:p>
            <w:pPr>
              <w:spacing w:after="20" w:before="20"/>
              <w:jc w:val="left"/>
            </w:pPr>
            <w:r/>
            <w:r>
              <w:rPr>
                <w:rFonts w:ascii="맑은 고딕" w:hAnsi="맑은 고딕" w:eastAsia="맑은 고딕"/>
                <w:b w:val="0"/>
                <w:sz w:val="15"/>
              </w:rPr>
              <w:t>구독·플랫폼·기기</w:t>
            </w:r>
          </w:p>
        </w:tc>
        <w:tc>
          <w:tcPr>
            <w:tcW w:type="dxa" w:w="994"/>
          </w:tcPr>
          <w:p>
            <w:pPr>
              <w:spacing w:after="20" w:before="20"/>
              <w:jc w:val="right"/>
            </w:pPr>
            <w:r/>
            <w:r>
              <w:rPr>
                <w:rFonts w:ascii="맑은 고딕" w:hAnsi="맑은 고딕" w:eastAsia="맑은 고딕"/>
                <w:b w:val="0"/>
                <w:sz w:val="15"/>
              </w:rPr>
              <w:t>27.4</w:t>
            </w:r>
          </w:p>
        </w:tc>
        <w:tc>
          <w:tcPr>
            <w:tcW w:type="dxa" w:w="994"/>
          </w:tcPr>
          <w:p>
            <w:pPr>
              <w:spacing w:after="20" w:before="20"/>
              <w:jc w:val="right"/>
            </w:pPr>
            <w:r/>
            <w:r>
              <w:rPr>
                <w:rFonts w:ascii="맑은 고딕" w:hAnsi="맑은 고딕" w:eastAsia="맑은 고딕"/>
                <w:b w:val="0"/>
                <w:sz w:val="15"/>
              </w:rPr>
              <w:t>34.4</w:t>
            </w:r>
          </w:p>
        </w:tc>
        <w:tc>
          <w:tcPr>
            <w:tcW w:type="dxa" w:w="994"/>
          </w:tcPr>
          <w:p>
            <w:pPr>
              <w:spacing w:after="20" w:before="20"/>
              <w:jc w:val="right"/>
            </w:pPr>
            <w:r/>
            <w:r>
              <w:rPr>
                <w:rFonts w:ascii="맑은 고딕" w:hAnsi="맑은 고딕" w:eastAsia="맑은 고딕"/>
                <w:b w:val="0"/>
                <w:sz w:val="15"/>
              </w:rPr>
              <w:t>40.3</w:t>
            </w:r>
          </w:p>
        </w:tc>
        <w:tc>
          <w:tcPr>
            <w:tcW w:type="dxa" w:w="994"/>
          </w:tcPr>
          <w:p>
            <w:pPr>
              <w:spacing w:after="20" w:before="20"/>
              <w:jc w:val="right"/>
            </w:pPr>
            <w:r/>
            <w:r>
              <w:rPr>
                <w:rFonts w:ascii="맑은 고딕" w:hAnsi="맑은 고딕" w:eastAsia="맑은 고딕"/>
                <w:b w:val="0"/>
                <w:sz w:val="15"/>
              </w:rPr>
              <w:t>49.1</w:t>
            </w:r>
          </w:p>
        </w:tc>
        <w:tc>
          <w:tcPr>
            <w:tcW w:type="dxa" w:w="994"/>
          </w:tcPr>
          <w:p>
            <w:pPr>
              <w:spacing w:after="20" w:before="20"/>
              <w:jc w:val="right"/>
            </w:pPr>
            <w:r/>
            <w:r>
              <w:rPr>
                <w:rFonts w:ascii="맑은 고딕" w:hAnsi="맑은 고딕" w:eastAsia="맑은 고딕"/>
                <w:b w:val="0"/>
                <w:sz w:val="15"/>
              </w:rPr>
              <w:t>60.0</w:t>
            </w:r>
          </w:p>
        </w:tc>
        <w:tc>
          <w:tcPr>
            <w:tcW w:type="dxa" w:w="994"/>
          </w:tcPr>
          <w:p>
            <w:pPr>
              <w:spacing w:after="20" w:before="20"/>
              <w:jc w:val="right"/>
            </w:pPr>
            <w:r/>
            <w:r>
              <w:rPr>
                <w:rFonts w:ascii="맑은 고딕" w:hAnsi="맑은 고딕" w:eastAsia="맑은 고딕"/>
                <w:b w:val="0"/>
                <w:sz w:val="15"/>
              </w:rPr>
              <w:t>71.4</w:t>
            </w:r>
          </w:p>
        </w:tc>
        <w:tc>
          <w:tcPr>
            <w:tcW w:type="dxa" w:w="994"/>
          </w:tcPr>
          <w:p>
            <w:pPr>
              <w:spacing w:after="20" w:before="20"/>
              <w:jc w:val="right"/>
            </w:pPr>
            <w:r/>
            <w:r>
              <w:rPr>
                <w:rFonts w:ascii="맑은 고딕" w:hAnsi="맑은 고딕" w:eastAsia="맑은 고딕"/>
                <w:b w:val="0"/>
                <w:sz w:val="15"/>
              </w:rPr>
              <w:t>82.8</w:t>
            </w:r>
          </w:p>
        </w:tc>
        <w:tc>
          <w:tcPr>
            <w:tcW w:type="dxa" w:w="994"/>
          </w:tcPr>
          <w:p>
            <w:pPr>
              <w:spacing w:after="20" w:before="20"/>
              <w:jc w:val="right"/>
            </w:pPr>
            <w:r/>
            <w:r>
              <w:rPr>
                <w:rFonts w:ascii="맑은 고딕" w:hAnsi="맑은 고딕" w:eastAsia="맑은 고딕"/>
                <w:b w:val="0"/>
                <w:sz w:val="15"/>
              </w:rPr>
              <w:t>94.4</w:t>
            </w:r>
          </w:p>
        </w:tc>
        <w:tc>
          <w:tcPr>
            <w:tcW w:type="dxa" w:w="994"/>
          </w:tcPr>
          <w:p>
            <w:pPr>
              <w:spacing w:after="20" w:before="20"/>
              <w:jc w:val="right"/>
            </w:pPr>
            <w:r/>
            <w:r>
              <w:rPr>
                <w:rFonts w:ascii="맑은 고딕" w:hAnsi="맑은 고딕" w:eastAsia="맑은 고딕"/>
                <w:b w:val="0"/>
                <w:sz w:val="15"/>
              </w:rPr>
              <w:t>105.7</w:t>
            </w:r>
          </w:p>
        </w:tc>
      </w:tr>
      <w:tr>
        <w:tc>
          <w:tcPr>
            <w:tcW w:type="dxa" w:w="994"/>
          </w:tcPr>
          <w:p>
            <w:pPr>
              <w:spacing w:after="20" w:before="20"/>
              <w:jc w:val="left"/>
            </w:pPr>
            <w:r/>
            <w:r>
              <w:rPr>
                <w:rFonts w:ascii="맑은 고딕" w:hAnsi="맑은 고딕" w:eastAsia="맑은 고딕"/>
                <w:b w:val="0"/>
                <w:sz w:val="15"/>
              </w:rPr>
              <w:t>구글 클라우드</w:t>
            </w:r>
          </w:p>
        </w:tc>
        <w:tc>
          <w:tcPr>
            <w:tcW w:type="dxa" w:w="994"/>
          </w:tcPr>
          <w:p>
            <w:pPr>
              <w:spacing w:after="20" w:before="20"/>
              <w:jc w:val="right"/>
            </w:pPr>
            <w:r/>
            <w:r>
              <w:rPr>
                <w:rFonts w:ascii="맑은 고딕" w:hAnsi="맑은 고딕" w:eastAsia="맑은 고딕"/>
                <w:b w:val="0"/>
                <w:sz w:val="15"/>
              </w:rPr>
              <w:t>26.9</w:t>
            </w:r>
          </w:p>
        </w:tc>
        <w:tc>
          <w:tcPr>
            <w:tcW w:type="dxa" w:w="994"/>
          </w:tcPr>
          <w:p>
            <w:pPr>
              <w:spacing w:after="20" w:before="20"/>
              <w:jc w:val="right"/>
            </w:pPr>
            <w:r/>
            <w:r>
              <w:rPr>
                <w:rFonts w:ascii="맑은 고딕" w:hAnsi="맑은 고딕" w:eastAsia="맑은 고딕"/>
                <w:b w:val="0"/>
                <w:sz w:val="15"/>
              </w:rPr>
              <w:t>34.1</w:t>
            </w:r>
          </w:p>
        </w:tc>
        <w:tc>
          <w:tcPr>
            <w:tcW w:type="dxa" w:w="994"/>
          </w:tcPr>
          <w:p>
            <w:pPr>
              <w:spacing w:after="20" w:before="20"/>
              <w:jc w:val="right"/>
            </w:pPr>
            <w:r/>
            <w:r>
              <w:rPr>
                <w:rFonts w:ascii="맑은 고딕" w:hAnsi="맑은 고딕" w:eastAsia="맑은 고딕"/>
                <w:b w:val="0"/>
                <w:sz w:val="15"/>
              </w:rPr>
              <w:t>43.4</w:t>
            </w:r>
          </w:p>
        </w:tc>
        <w:tc>
          <w:tcPr>
            <w:tcW w:type="dxa" w:w="994"/>
          </w:tcPr>
          <w:p>
            <w:pPr>
              <w:spacing w:after="20" w:before="20"/>
              <w:jc w:val="right"/>
            </w:pPr>
            <w:r/>
            <w:r>
              <w:rPr>
                <w:rFonts w:ascii="맑은 고딕" w:hAnsi="맑은 고딕" w:eastAsia="맑은 고딕"/>
                <w:b w:val="0"/>
                <w:sz w:val="15"/>
              </w:rPr>
              <w:t>57.2</w:t>
            </w:r>
          </w:p>
        </w:tc>
        <w:tc>
          <w:tcPr>
            <w:tcW w:type="dxa" w:w="994"/>
          </w:tcPr>
          <w:p>
            <w:pPr>
              <w:spacing w:after="20" w:before="20"/>
              <w:jc w:val="right"/>
            </w:pPr>
            <w:r/>
            <w:r>
              <w:rPr>
                <w:rFonts w:ascii="맑은 고딕" w:hAnsi="맑은 고딕" w:eastAsia="맑은 고딕"/>
                <w:b w:val="0"/>
                <w:sz w:val="15"/>
              </w:rPr>
              <w:t>85.8</w:t>
            </w:r>
          </w:p>
        </w:tc>
        <w:tc>
          <w:tcPr>
            <w:tcW w:type="dxa" w:w="994"/>
          </w:tcPr>
          <w:p>
            <w:pPr>
              <w:spacing w:after="20" w:before="20"/>
              <w:jc w:val="right"/>
            </w:pPr>
            <w:r/>
            <w:r>
              <w:rPr>
                <w:rFonts w:ascii="맑은 고딕" w:hAnsi="맑은 고딕" w:eastAsia="맑은 고딕"/>
                <w:b w:val="0"/>
                <w:sz w:val="15"/>
              </w:rPr>
              <w:t>118.4</w:t>
            </w:r>
          </w:p>
        </w:tc>
        <w:tc>
          <w:tcPr>
            <w:tcW w:type="dxa" w:w="994"/>
          </w:tcPr>
          <w:p>
            <w:pPr>
              <w:spacing w:after="20" w:before="20"/>
              <w:jc w:val="right"/>
            </w:pPr>
            <w:r/>
            <w:r>
              <w:rPr>
                <w:rFonts w:ascii="맑은 고딕" w:hAnsi="맑은 고딕" w:eastAsia="맑은 고딕"/>
                <w:b w:val="0"/>
                <w:sz w:val="15"/>
              </w:rPr>
              <w:t>153.9</w:t>
            </w:r>
          </w:p>
        </w:tc>
        <w:tc>
          <w:tcPr>
            <w:tcW w:type="dxa" w:w="994"/>
          </w:tcPr>
          <w:p>
            <w:pPr>
              <w:spacing w:after="20" w:before="20"/>
              <w:jc w:val="right"/>
            </w:pPr>
            <w:r/>
            <w:r>
              <w:rPr>
                <w:rFonts w:ascii="맑은 고딕" w:hAnsi="맑은 고딕" w:eastAsia="맑은 고딕"/>
                <w:b w:val="0"/>
                <w:sz w:val="15"/>
              </w:rPr>
              <w:t>190.9</w:t>
            </w:r>
          </w:p>
        </w:tc>
        <w:tc>
          <w:tcPr>
            <w:tcW w:type="dxa" w:w="994"/>
          </w:tcPr>
          <w:p>
            <w:pPr>
              <w:spacing w:after="20" w:before="20"/>
              <w:jc w:val="right"/>
            </w:pPr>
            <w:r/>
            <w:r>
              <w:rPr>
                <w:rFonts w:ascii="맑은 고딕" w:hAnsi="맑은 고딕" w:eastAsia="맑은 고딕"/>
                <w:b w:val="0"/>
                <w:sz w:val="15"/>
              </w:rPr>
              <w:t>229.1</w:t>
            </w:r>
          </w:p>
        </w:tc>
      </w:tr>
      <w:tr>
        <w:tc>
          <w:tcPr>
            <w:tcW w:type="dxa" w:w="994"/>
          </w:tcPr>
          <w:p>
            <w:pPr>
              <w:spacing w:after="20" w:before="20"/>
              <w:jc w:val="left"/>
            </w:pPr>
            <w:r/>
            <w:r>
              <w:rPr>
                <w:rFonts w:ascii="맑은 고딕" w:hAnsi="맑은 고딕" w:eastAsia="맑은 고딕"/>
                <w:b w:val="0"/>
                <w:sz w:val="15"/>
              </w:rPr>
              <w:t>기타 베팅·헤징</w:t>
            </w:r>
          </w:p>
        </w:tc>
        <w:tc>
          <w:tcPr>
            <w:tcW w:type="dxa" w:w="994"/>
          </w:tcPr>
          <w:p>
            <w:pPr>
              <w:spacing w:after="20" w:before="20"/>
              <w:jc w:val="right"/>
            </w:pPr>
            <w:r/>
            <w:r>
              <w:rPr>
                <w:rFonts w:ascii="맑은 고딕" w:hAnsi="맑은 고딕" w:eastAsia="맑은 고딕"/>
                <w:b w:val="0"/>
                <w:sz w:val="15"/>
              </w:rPr>
              <w:t>4.8</w:t>
            </w:r>
          </w:p>
        </w:tc>
        <w:tc>
          <w:tcPr>
            <w:tcW w:type="dxa" w:w="994"/>
          </w:tcPr>
          <w:p>
            <w:pPr>
              <w:spacing w:after="20" w:before="20"/>
              <w:jc w:val="right"/>
            </w:pPr>
            <w:r/>
            <w:r>
              <w:rPr>
                <w:rFonts w:ascii="맑은 고딕" w:hAnsi="맑은 고딕" w:eastAsia="맑은 고딕"/>
                <w:b w:val="0"/>
                <w:sz w:val="15"/>
              </w:rPr>
              <w:t>1.8</w:t>
            </w:r>
          </w:p>
        </w:tc>
        <w:tc>
          <w:tcPr>
            <w:tcW w:type="dxa" w:w="994"/>
          </w:tcPr>
          <w:p>
            <w:pPr>
              <w:spacing w:after="20" w:before="20"/>
              <w:jc w:val="right"/>
            </w:pPr>
            <w:r/>
            <w:r>
              <w:rPr>
                <w:rFonts w:ascii="맑은 고딕" w:hAnsi="맑은 고딕" w:eastAsia="맑은 고딕"/>
                <w:b w:val="0"/>
                <w:sz w:val="15"/>
              </w:rPr>
              <w:t>1.8</w:t>
            </w:r>
          </w:p>
        </w:tc>
        <w:tc>
          <w:tcPr>
            <w:tcW w:type="dxa" w:w="994"/>
          </w:tcPr>
          <w:p>
            <w:pPr>
              <w:spacing w:after="20" w:before="20"/>
              <w:jc w:val="right"/>
            </w:pPr>
            <w:r/>
            <w:r>
              <w:rPr>
                <w:rFonts w:ascii="맑은 고딕" w:hAnsi="맑은 고딕" w:eastAsia="맑은 고딕"/>
                <w:b w:val="0"/>
                <w:sz w:val="15"/>
              </w:rPr>
              <w:t>2.0</w:t>
            </w:r>
          </w:p>
        </w:tc>
        <w:tc>
          <w:tcPr>
            <w:tcW w:type="dxa" w:w="994"/>
          </w:tcPr>
          <w:p>
            <w:pPr>
              <w:spacing w:after="20" w:before="20"/>
              <w:jc w:val="right"/>
            </w:pPr>
            <w:r/>
            <w:r>
              <w:rPr>
                <w:rFonts w:ascii="맑은 고딕" w:hAnsi="맑은 고딕" w:eastAsia="맑은 고딕"/>
                <w:b w:val="0"/>
                <w:sz w:val="15"/>
              </w:rPr>
              <w:t>2.5</w:t>
            </w:r>
          </w:p>
        </w:tc>
        <w:tc>
          <w:tcPr>
            <w:tcW w:type="dxa" w:w="994"/>
          </w:tcPr>
          <w:p>
            <w:pPr>
              <w:spacing w:after="20" w:before="20"/>
              <w:jc w:val="right"/>
            </w:pPr>
            <w:r/>
            <w:r>
              <w:rPr>
                <w:rFonts w:ascii="맑은 고딕" w:hAnsi="맑은 고딕" w:eastAsia="맑은 고딕"/>
                <w:b w:val="0"/>
                <w:sz w:val="15"/>
              </w:rPr>
              <w:t>3.0</w:t>
            </w:r>
          </w:p>
        </w:tc>
        <w:tc>
          <w:tcPr>
            <w:tcW w:type="dxa" w:w="994"/>
          </w:tcPr>
          <w:p>
            <w:pPr>
              <w:spacing w:after="20" w:before="20"/>
              <w:jc w:val="right"/>
            </w:pPr>
            <w:r/>
            <w:r>
              <w:rPr>
                <w:rFonts w:ascii="맑은 고딕" w:hAnsi="맑은 고딕" w:eastAsia="맑은 고딕"/>
                <w:b w:val="0"/>
                <w:sz w:val="15"/>
              </w:rPr>
              <w:t>3.6</w:t>
            </w:r>
          </w:p>
        </w:tc>
        <w:tc>
          <w:tcPr>
            <w:tcW w:type="dxa" w:w="994"/>
          </w:tcPr>
          <w:p>
            <w:pPr>
              <w:spacing w:after="20" w:before="20"/>
              <w:jc w:val="right"/>
            </w:pPr>
            <w:r/>
            <w:r>
              <w:rPr>
                <w:rFonts w:ascii="맑은 고딕" w:hAnsi="맑은 고딕" w:eastAsia="맑은 고딕"/>
                <w:b w:val="0"/>
                <w:sz w:val="15"/>
              </w:rPr>
              <w:t>4.1</w:t>
            </w:r>
          </w:p>
        </w:tc>
        <w:tc>
          <w:tcPr>
            <w:tcW w:type="dxa" w:w="994"/>
          </w:tcPr>
          <w:p>
            <w:pPr>
              <w:spacing w:after="20" w:before="20"/>
              <w:jc w:val="right"/>
            </w:pPr>
            <w:r/>
            <w:r>
              <w:rPr>
                <w:rFonts w:ascii="맑은 고딕" w:hAnsi="맑은 고딕" w:eastAsia="맑은 고딕"/>
                <w:b w:val="0"/>
                <w:sz w:val="15"/>
              </w:rPr>
              <w:t>4.7</w:t>
            </w:r>
          </w:p>
        </w:tc>
      </w:tr>
      <w:tr>
        <w:tc>
          <w:tcPr>
            <w:tcW w:type="dxa" w:w="994"/>
          </w:tcPr>
          <w:p>
            <w:pPr>
              <w:spacing w:after="20" w:before="20"/>
              <w:jc w:val="left"/>
            </w:pPr>
            <w:r/>
            <w:r>
              <w:rPr>
                <w:rFonts w:ascii="맑은 고딕" w:hAnsi="맑은 고딕" w:eastAsia="맑은 고딕"/>
                <w:b w:val="0"/>
                <w:sz w:val="15"/>
              </w:rPr>
              <w:t>합계</w:t>
            </w:r>
          </w:p>
        </w:tc>
        <w:tc>
          <w:tcPr>
            <w:tcW w:type="dxa" w:w="994"/>
          </w:tcPr>
          <w:p>
            <w:pPr>
              <w:spacing w:after="20" w:before="20"/>
              <w:jc w:val="right"/>
            </w:pPr>
            <w:r/>
            <w:r>
              <w:rPr>
                <w:rFonts w:ascii="맑은 고딕" w:hAnsi="맑은 고딕" w:eastAsia="맑은 고딕"/>
                <w:b w:val="0"/>
                <w:sz w:val="15"/>
              </w:rPr>
              <w:t>282.8</w:t>
            </w:r>
          </w:p>
        </w:tc>
        <w:tc>
          <w:tcPr>
            <w:tcW w:type="dxa" w:w="994"/>
          </w:tcPr>
          <w:p>
            <w:pPr>
              <w:spacing w:after="20" w:before="20"/>
              <w:jc w:val="right"/>
            </w:pPr>
            <w:r/>
            <w:r>
              <w:rPr>
                <w:rFonts w:ascii="맑은 고딕" w:hAnsi="맑은 고딕" w:eastAsia="맑은 고딕"/>
                <w:b w:val="0"/>
                <w:sz w:val="15"/>
              </w:rPr>
              <w:t>307.4</w:t>
            </w:r>
          </w:p>
        </w:tc>
        <w:tc>
          <w:tcPr>
            <w:tcW w:type="dxa" w:w="994"/>
          </w:tcPr>
          <w:p>
            <w:pPr>
              <w:spacing w:after="20" w:before="20"/>
              <w:jc w:val="right"/>
            </w:pPr>
            <w:r/>
            <w:r>
              <w:rPr>
                <w:rFonts w:ascii="맑은 고딕" w:hAnsi="맑은 고딕" w:eastAsia="맑은 고딕"/>
                <w:b w:val="0"/>
                <w:sz w:val="15"/>
              </w:rPr>
              <w:t>350.0</w:t>
            </w:r>
          </w:p>
        </w:tc>
        <w:tc>
          <w:tcPr>
            <w:tcW w:type="dxa" w:w="994"/>
          </w:tcPr>
          <w:p>
            <w:pPr>
              <w:spacing w:after="20" w:before="20"/>
              <w:jc w:val="right"/>
            </w:pPr>
            <w:r/>
            <w:r>
              <w:rPr>
                <w:rFonts w:ascii="맑은 고딕" w:hAnsi="맑은 고딕" w:eastAsia="맑은 고딕"/>
                <w:b w:val="0"/>
                <w:sz w:val="15"/>
              </w:rPr>
              <w:t>402.8</w:t>
            </w:r>
          </w:p>
        </w:tc>
        <w:tc>
          <w:tcPr>
            <w:tcW w:type="dxa" w:w="994"/>
          </w:tcPr>
          <w:p>
            <w:pPr>
              <w:spacing w:after="20" w:before="20"/>
              <w:jc w:val="right"/>
            </w:pPr>
            <w:r/>
            <w:r>
              <w:rPr>
                <w:rFonts w:ascii="맑은 고딕" w:hAnsi="맑은 고딕" w:eastAsia="맑은 고딕"/>
                <w:b w:val="0"/>
                <w:sz w:val="15"/>
              </w:rPr>
              <w:t>483.5</w:t>
            </w:r>
          </w:p>
        </w:tc>
        <w:tc>
          <w:tcPr>
            <w:tcW w:type="dxa" w:w="994"/>
          </w:tcPr>
          <w:p>
            <w:pPr>
              <w:spacing w:after="20" w:before="20"/>
              <w:jc w:val="right"/>
            </w:pPr>
            <w:r/>
            <w:r>
              <w:rPr>
                <w:rFonts w:ascii="맑은 고딕" w:hAnsi="맑은 고딕" w:eastAsia="맑은 고딕"/>
                <w:b w:val="0"/>
                <w:sz w:val="15"/>
              </w:rPr>
              <w:t>567.7</w:t>
            </w:r>
          </w:p>
        </w:tc>
        <w:tc>
          <w:tcPr>
            <w:tcW w:type="dxa" w:w="994"/>
          </w:tcPr>
          <w:p>
            <w:pPr>
              <w:spacing w:after="20" w:before="20"/>
              <w:jc w:val="right"/>
            </w:pPr>
            <w:r/>
            <w:r>
              <w:rPr>
                <w:rFonts w:ascii="맑은 고딕" w:hAnsi="맑은 고딕" w:eastAsia="맑은 고딕"/>
                <w:b w:val="0"/>
                <w:sz w:val="15"/>
              </w:rPr>
              <w:t>653.9</w:t>
            </w:r>
          </w:p>
        </w:tc>
        <w:tc>
          <w:tcPr>
            <w:tcW w:type="dxa" w:w="994"/>
          </w:tcPr>
          <w:p>
            <w:pPr>
              <w:spacing w:after="20" w:before="20"/>
              <w:jc w:val="right"/>
            </w:pPr>
            <w:r/>
            <w:r>
              <w:rPr>
                <w:rFonts w:ascii="맑은 고딕" w:hAnsi="맑은 고딕" w:eastAsia="맑은 고딕"/>
                <w:b w:val="0"/>
                <w:sz w:val="15"/>
              </w:rPr>
              <w:t>738.7</w:t>
            </w:r>
          </w:p>
        </w:tc>
        <w:tc>
          <w:tcPr>
            <w:tcW w:type="dxa" w:w="994"/>
          </w:tcPr>
          <w:p>
            <w:pPr>
              <w:spacing w:after="20" w:before="20"/>
              <w:jc w:val="right"/>
            </w:pPr>
            <w:r/>
            <w:r>
              <w:rPr>
                <w:rFonts w:ascii="맑은 고딕" w:hAnsi="맑은 고딕" w:eastAsia="맑은 고딕"/>
                <w:b w:val="0"/>
                <w:sz w:val="15"/>
              </w:rPr>
              <w:t>823.9</w:t>
            </w:r>
          </w:p>
        </w:tc>
      </w:tr>
    </w:tbl>
    <w:p>
      <w:pPr>
        <w:spacing w:after="40"/>
      </w:pPr>
    </w:p>
    <w:p>
      <w:pPr>
        <w:spacing w:after="200"/>
      </w:pPr>
      <w:r>
        <w:rPr>
          <w:rFonts w:ascii="맑은 고딕" w:hAnsi="맑은 고딕" w:eastAsia="맑은 고딕"/>
          <w:i/>
          <w:color w:val="595959"/>
          <w:sz w:val="16"/>
        </w:rPr>
        <w:t>표 3 — 세그먼트별 매출($B). 자료: 회사 공시 비중 기반 배분, 모델.</w:t>
      </w:r>
    </w:p>
    <w:p>
      <w:pPr>
        <w:jc w:val="center"/>
      </w:pPr>
      <w:r>
        <w:drawing>
          <wp:inline xmlns:a="http://schemas.openxmlformats.org/drawingml/2006/main" xmlns:pic="http://schemas.openxmlformats.org/drawingml/2006/picture">
            <wp:extent cx="5486400" cy="2840777"/>
            <wp:docPr id="7" name="Picture 7"/>
            <wp:cNvGraphicFramePr>
              <a:graphicFrameLocks noChangeAspect="1"/>
            </wp:cNvGraphicFramePr>
            <a:graphic>
              <a:graphicData uri="http://schemas.openxmlformats.org/drawingml/2006/picture">
                <pic:pic>
                  <pic:nvPicPr>
                    <pic:cNvPr id="0" name="chart_06_margins.png"/>
                    <pic:cNvPicPr/>
                  </pic:nvPicPr>
                  <pic:blipFill>
                    <a:blip r:embed="rId15"/>
                    <a:stretch>
                      <a:fillRect/>
                    </a:stretch>
                  </pic:blipFill>
                  <pic:spPr>
                    <a:xfrm>
                      <a:off x="0" y="0"/>
                      <a:ext cx="5486400" cy="2840777"/>
                    </a:xfrm>
                    <a:prstGeom prst="rect"/>
                  </pic:spPr>
                </pic:pic>
              </a:graphicData>
            </a:graphic>
          </wp:inline>
        </w:drawing>
      </w:r>
    </w:p>
    <w:p>
      <w:pPr>
        <w:spacing w:after="200"/>
      </w:pPr>
      <w:r>
        <w:rPr>
          <w:rFonts w:ascii="맑은 고딕" w:hAnsi="맑은 고딕" w:eastAsia="맑은 고딕"/>
          <w:i/>
          <w:color w:val="595959"/>
          <w:sz w:val="16"/>
        </w:rPr>
        <w:t>그림 6 — 수익성 마진 추이. 자료: 모델.</w:t>
      </w:r>
    </w:p>
    <w:p>
      <w:pPr>
        <w:jc w:val="center"/>
      </w:pPr>
      <w:r>
        <w:drawing>
          <wp:inline xmlns:a="http://schemas.openxmlformats.org/drawingml/2006/main" xmlns:pic="http://schemas.openxmlformats.org/drawingml/2006/picture">
            <wp:extent cx="5486400" cy="2840777"/>
            <wp:docPr id="8" name="Picture 8"/>
            <wp:cNvGraphicFramePr>
              <a:graphicFrameLocks noChangeAspect="1"/>
            </wp:cNvGraphicFramePr>
            <a:graphic>
              <a:graphicData uri="http://schemas.openxmlformats.org/drawingml/2006/picture">
                <pic:pic>
                  <pic:nvPicPr>
                    <pic:cNvPr id="0" name="chart_08_fcf_capex.png"/>
                    <pic:cNvPicPr/>
                  </pic:nvPicPr>
                  <pic:blipFill>
                    <a:blip r:embed="rId16"/>
                    <a:stretch>
                      <a:fillRect/>
                    </a:stretch>
                  </pic:blipFill>
                  <pic:spPr>
                    <a:xfrm>
                      <a:off x="0" y="0"/>
                      <a:ext cx="5486400" cy="2840777"/>
                    </a:xfrm>
                    <a:prstGeom prst="rect"/>
                  </pic:spPr>
                </pic:pic>
              </a:graphicData>
            </a:graphic>
          </wp:inline>
        </w:drawing>
      </w:r>
    </w:p>
    <w:p>
      <w:pPr>
        <w:spacing w:after="200"/>
      </w:pPr>
      <w:r>
        <w:rPr>
          <w:rFonts w:ascii="맑은 고딕" w:hAnsi="맑은 고딕" w:eastAsia="맑은 고딕"/>
          <w:i/>
          <w:color w:val="595959"/>
          <w:sz w:val="16"/>
        </w:rPr>
        <w:t>그림 8 — 잉여현금흐름 vs 설비투자. 자료: 모델.</w:t>
      </w:r>
    </w:p>
    <w:p>
      <w:pPr>
        <w:spacing w:before="160" w:after="80"/>
      </w:pPr>
      <w:r>
        <w:rPr>
          <w:rFonts w:ascii="맑은 고딕" w:hAnsi="맑은 고딕" w:eastAsia="맑은 고딕"/>
          <w:b/>
          <w:color w:val="1A1A1A"/>
          <w:sz w:val="25"/>
        </w:rPr>
        <w:t>추정 가정</w:t>
      </w:r>
    </w:p>
    <w:p>
      <w:pPr>
        <w:spacing w:after="140"/>
      </w:pPr>
      <w:r>
        <w:rPr>
          <w:rFonts w:ascii="맑은 고딕" w:hAnsi="맑은 고딕" w:eastAsia="맑은 고딕"/>
          <w:i w:val="0"/>
          <w:sz w:val="21"/>
        </w:rPr>
        <w:t>우리 모델은 FY2026E부터 FY2030E까지 5개년을 명시적으로 추정하며, 매출은 FY2025 4,028억 달러에서 FY2030E 8,239억 달러로 확대되어 5년 CAGR 15.4%를 기록한다고 가정한다. 연도별로는 FY2026E 4,835억 달러, FY2027E 5,677억 달러, FY2028E 6,539억 달러, FY2029E 7,387억 달러, FY2030E 8,239억 달러다. 성장률은 FY2026E 20.0%에서 FY2030E 11.5%로 점진 둔화하며, 이는 기저 확대와 광고 시장의 성숙, 클라우드 경쟁 심화를 함께 반영한 경로다. 아래는 각 구성요소별 가정이다.</w:t>
      </w:r>
    </w:p>
    <w:p>
      <w:pPr>
        <w:spacing w:after="140"/>
      </w:pPr>
      <w:r>
        <w:rPr>
          <w:rFonts w:ascii="맑은 고딕" w:hAnsi="맑은 고딕" w:eastAsia="맑은 고딕"/>
          <w:i w:val="0"/>
          <w:sz w:val="21"/>
        </w:rPr>
        <w:t>구글서치·기타는 FY2025 2,236억 달러에서 5년간 연평균 약 13% 성장한다고 가정한다. 성장 동인은 질의량 증가가 아니라 질의당 수익화 개선이다. AI Overviews와 AI Mode가 결과 상단을 점유하면서 유기적 링크 클릭은 감소하나, 광고 형식이 대화형 인터페이스에 통합되면서 상업적 의도가 높은 질의의 전환율이 상승한다고 본다. 리테일 미디어와 커머스 검색의 광고 단가 상승이 추가 기여한다. 다만 우리는 유럽과 미국의 반독점 판결에 따른 기본 검색 계약 구조 변경 가능성을 반영해 FY2028E 이후 성장률을 한 자릿수 후반으로 낮춘다.</w:t>
      </w:r>
    </w:p>
    <w:p>
      <w:pPr>
        <w:spacing w:after="140"/>
      </w:pPr>
      <w:r>
        <w:rPr>
          <w:rFonts w:ascii="맑은 고딕" w:hAnsi="맑은 고딕" w:eastAsia="맑은 고딕"/>
          <w:i w:val="0"/>
          <w:sz w:val="21"/>
        </w:rPr>
        <w:t>유튜브광고는 FY2025 427억 달러에서 연평균 약 15% 성장한다고 가정하며, 이는 전사 성장률에 근접하는 수준이다. 쇼츠의 수익화율이 롱폼 대비 여전히 낮으나 격차가 매년 축소되고 있고, 커넥티드TV 시청 시간이 확대되면서 브랜드 광고 예산의 이전이 지속된다. 유튜브는 전 세계 스트리밍 시청 시간 점유율 1위를 유지하고 있으며, 이는 넷플릭스와 아마존의 광고 요금제 도입에도 불구하고 훼손되지 않았다. 다만 틱톡 및 인스타그램 릴스와의 숏폼 광고 단가 경쟁은 지속적 마진 압박 요인이다.</w:t>
      </w:r>
    </w:p>
    <w:p>
      <w:pPr>
        <w:spacing w:after="140"/>
      </w:pPr>
      <w:r>
        <w:rPr>
          <w:rFonts w:ascii="맑은 고딕" w:hAnsi="맑은 고딕" w:eastAsia="맑은 고딕"/>
          <w:i w:val="0"/>
          <w:sz w:val="21"/>
        </w:rPr>
        <w:t>구글네트워크는 FY2025 282억 달러에서 향후 5년간 연평균 -2%의 역성장을 가정한다. 우리 모델에서 유일하게 축소되는 세그먼트다. 서드파티 쿠키 대체 기술의 불확실성, 광고주의 자사 데이터 기반 직접 구매 선호, 퍼블리셔 인벤토리의 프로그래매틱 경쟁 심화가 구조적 역풍이다. 미국 법무부의 애드테크 반독점 소송 결과에 따라 애드매니저 사업 분리가 강제될 경우 추가 하방 위험이 존재하나, 우리는 기본 시나리오에서 이를 반영하지 않았다.</w:t>
      </w:r>
    </w:p>
    <w:p>
      <w:pPr>
        <w:spacing w:after="140"/>
      </w:pPr>
      <w:r>
        <w:rPr>
          <w:rFonts w:ascii="맑은 고딕" w:hAnsi="맑은 고딕" w:eastAsia="맑은 고딕"/>
          <w:i w:val="0"/>
          <w:sz w:val="21"/>
        </w:rPr>
        <w:t>구독·플랫폼·기기는 FY2025 491억 달러에서 연평균 약 17% 성장한다고 가정한다. 유튜브 프리미엄과 유튜브TV의 구독자 확대, 구글원의 스토리지 요금제 상향, 제미나이 유료 티어의 침투가 성장 동인이다. 이 세그먼트는 플레이스토어 수수료 매출을 포함하는데, 앱스토어 수수료율에 대한 각국 규제 압력이 성장률을 제한하는 요인으로 작용한다. 매출총이익률이 전사 평균을 크게 하회하므로 이 세그먼트의 비중 확대는 전사 매출총이익률에 희석 요인이다.</w:t>
      </w:r>
    </w:p>
    <w:p>
      <w:pPr>
        <w:spacing w:after="140"/>
      </w:pPr>
      <w:r>
        <w:rPr>
          <w:rFonts w:ascii="맑은 고딕" w:hAnsi="맑은 고딕" w:eastAsia="맑은 고딕"/>
          <w:i w:val="0"/>
          <w:sz w:val="21"/>
        </w:rPr>
        <w:t>구글클라우드는 FY2025 572억 달러에서 연평균 약 25%로 가장 빠르게 성장해 FY2030E에는 전사 매출의 20%를 넘어선다고 가정한다. AI 워크로드 수요가 일차 동인이며, TPU 기반 추론 서비스와 제미나이 API가 차별화 요소로 작용한다. 백로그 규모가 연간 매출의 수 배에 달하는 점은 향후 3년 매출 가시성을 높인다. 다만 아마존웹서비스와 마이크로소프트 애저 대비 점유율 3위라는 위치는 가격 협상력의 열위를 의미하며, 우리는 클라우드 세그먼트 영업이익률이 FY2030E까지 20% 초반에 머문다고 본다.</w:t>
      </w:r>
    </w:p>
    <w:p>
      <w:pPr>
        <w:spacing w:after="140"/>
      </w:pPr>
      <w:r>
        <w:rPr>
          <w:rFonts w:ascii="맑은 고딕" w:hAnsi="맑은 고딕" w:eastAsia="맑은 고딕"/>
          <w:i w:val="0"/>
          <w:sz w:val="21"/>
        </w:rPr>
        <w:t>기타베팅은 FY2025 20억 달러에서 연평균 약 30% 성장하나 절대 규모가 미미해 FY2030E에도 전사 매출의 1% 미만에 머문다. 웨이모의 로보택시 상업화가 유일한 유의미한 옵션 가치이며, 우리는 이를 밸류에이션에 별도 가산하지 않는다. 이 부문은 FY2030E까지 영업손실을 지속한다고 가정했으며, 손실 규모는 연간 40~50억 달러 수준에서 통제된다고 본다.</w:t>
      </w:r>
    </w:p>
    <w:p>
      <w:pPr>
        <w:spacing w:after="140"/>
      </w:pPr>
      <w:r>
        <w:rPr>
          <w:rFonts w:ascii="맑은 고딕" w:hAnsi="맑은 고딕" w:eastAsia="맑은 고딕"/>
          <w:i w:val="0"/>
          <w:sz w:val="21"/>
        </w:rPr>
        <w:t>지역별로는 미국이 매출의 약 절반을 유지하고 EMEA가 약 29%, APAC이 약 17%, 기타 아메리카가 약 5%를 차지하는 구조가 유지된다고 가정한다. APAC이 상대적으로 빠르게 성장하나 광고 단가가 낮아 매출 믹스 개선 효과는 제한적이다. 환율은 예측 기간 전체에 걸쳐 중립적이라고 가정했으며, 달러 강세가 재개될 경우 해외 매출 비중 약 50%에 대해 연간 1~3%포인트의 성장률 역풍이 발생할 수 있다.</w:t>
      </w:r>
    </w:p>
    <w:p>
      <w:pPr>
        <w:spacing w:after="140"/>
      </w:pPr>
      <w:r>
        <w:rPr>
          <w:rFonts w:ascii="맑은 고딕" w:hAnsi="맑은 고딕" w:eastAsia="맑은 고딕"/>
          <w:i w:val="0"/>
          <w:sz w:val="21"/>
        </w:rPr>
        <w:t>매출총이익률은 FY2025 59.7%에서 FY2030E 59.6%로 사실상 횡보한다고 가정한다. 상방 요인은 TPU 자체 설계에 따른 추론 단위원가 하락과 클라우드 규모의 경제이며, 하방 요인은 트래픽획득비용(TAC), 데이터센터 감가상각비 급증, 그리고 매출총이익률이 낮은 기기·구독 세그먼트의 비중 확대다. 이 상하방 요인이 상쇄되어 순효과가 중립이라는 것이 우리 가정이며, 감가상각비 부담을 감안하면 오히려 소폭 하락 위험이 존재한다.</w:t>
      </w:r>
    </w:p>
    <w:p>
      <w:pPr>
        <w:spacing w:after="140"/>
      </w:pPr>
      <w:r>
        <w:rPr>
          <w:rFonts w:ascii="맑은 고딕" w:hAnsi="맑은 고딕" w:eastAsia="맑은 고딕"/>
          <w:i w:val="0"/>
          <w:sz w:val="21"/>
        </w:rPr>
        <w:t>영업비용은 매출 대비 비율이 FY2025 27.7%에서 FY2030E 24.4%로 하락한다고 가정한다. 연구개발비는 AI 인재 확보 경쟁으로 매출 대비 비율이 크게 낮아지지 않으나, 판매관리비는 규모의 경제로 레버리지가 발생한다. 인력 증가율은 매출 증가율의 3분의 1 수준으로 억제된다고 가정했다. 이 가정이 실현되어 영업이익률은 FY2025 32.0%에서 FY2026E 33.6%, FY2030E 35.2%로 개선되며 영업이익은 FY2026E 1,625억 달러, FY2030E 2,900억 달러에 이른다.</w:t>
      </w:r>
    </w:p>
    <w:p>
      <w:pPr>
        <w:spacing w:after="140"/>
      </w:pPr>
      <w:r>
        <w:rPr>
          <w:rFonts w:ascii="맑은 고딕" w:hAnsi="맑은 고딕" w:eastAsia="맑은 고딕"/>
          <w:i w:val="0"/>
          <w:sz w:val="21"/>
        </w:rPr>
        <w:t>설비투자는 우리 모델에서 가장 논쟁적인 가정이다. FY2025 실적치 914억 달러(매출 대비 22.7%)에서 FY2026E 매출 대비 17%로 낮아지고 FY2030E에는 13.5%까지 하락한다고 가정했다. 이는 AI 인프라 구축이 FY2025~FY2026을 정점으로 완만해진다는 전제에 기반한다. 만약 경쟁사의 투자 확대에 대응해 알파벳이 매출 대비 20% 수준의 설비투자를 FY2030까지 유지한다면 FY2030E FCF는 우리 추정 2,219억 달러 대비 약 500억 달러 감소하며, DCF 기준 주당가치는 30달러 이상 하락한다.</w:t>
      </w:r>
    </w:p>
    <w:p>
      <w:pPr>
        <w:spacing w:after="140"/>
      </w:pPr>
      <w:r>
        <w:rPr>
          <w:rFonts w:ascii="맑은 고딕" w:hAnsi="맑은 고딕" w:eastAsia="맑은 고딕"/>
          <w:i w:val="0"/>
          <w:sz w:val="21"/>
        </w:rPr>
        <w:t>운전자본은 매출 대비 순운전자본 비율이 현 수준에서 유지된다고 가정해 매출 증분의 약 2~3%가 운전자본으로 유출된다고 본다. 알파벳은 선수금 성격의 광고 매출 구조상 운전자본 부담이 낮은 편이며, 이 항목이 현금흐름 추정에 미치는 영향은 제한적이다.</w:t>
      </w:r>
    </w:p>
    <w:p>
      <w:pPr>
        <w:spacing w:after="140"/>
      </w:pPr>
      <w:r>
        <w:rPr>
          <w:rFonts w:ascii="맑은 고딕" w:hAnsi="맑은 고딕" w:eastAsia="맑은 고딕"/>
          <w:i w:val="0"/>
          <w:sz w:val="21"/>
        </w:rPr>
        <w:t>법인세율은 예측 기간 전체에 걸쳐 17%로 가정했다. 이는 최근 실효세율 추세와 연구개발 세액공제, 해외 이익 구조를 반영한 수치다. 글로벌 최저한세 도입과 각국 디지털세 확대는 상방 위험이며, 실효세율이 20%로 상승할 경우 FY2030E EPS는 우리 추정 22.05달러 대비 약 1.2달러 하락한다.</w:t>
      </w:r>
    </w:p>
    <w:p>
      <w:pPr>
        <w:spacing w:after="140"/>
      </w:pPr>
      <w:r>
        <w:rPr>
          <w:rFonts w:ascii="맑은 고딕" w:hAnsi="맑은 고딕" w:eastAsia="맑은 고딕"/>
          <w:i w:val="0"/>
          <w:sz w:val="21"/>
        </w:rPr>
        <w:t>종합하면 우리 모델은 FY2030E 매출 8,239억 달러, 영업이익 2,900억 달러, 순이익 2,463억 달러, 희석 EPS 22.05달러, FCF 2,219억 달러를 전망한다. 이는 시장 컨센서스 대비 결코 보수적인 전망이 아니며, 오히려 클라우드 성장률과 마진 개선 폭에서 공격적인 편에 속한다. 그럼에도 현재 주가를 정당화할 수 없다는 점이 본 보고서의 핵심 결론이다.</w:t>
      </w:r>
    </w:p>
    <w:p>
      <w:pPr>
        <w:jc w:val="center"/>
      </w:pPr>
      <w:r>
        <w:drawing>
          <wp:inline xmlns:a="http://schemas.openxmlformats.org/drawingml/2006/main" xmlns:pic="http://schemas.openxmlformats.org/drawingml/2006/picture">
            <wp:extent cx="5303520" cy="2746084"/>
            <wp:docPr id="9" name="Picture 9"/>
            <wp:cNvGraphicFramePr>
              <a:graphicFrameLocks noChangeAspect="1"/>
            </wp:cNvGraphicFramePr>
            <a:graphic>
              <a:graphicData uri="http://schemas.openxmlformats.org/drawingml/2006/picture">
                <pic:pic>
                  <pic:nvPicPr>
                    <pic:cNvPr id="0" name="chart_07_eps.png"/>
                    <pic:cNvPicPr/>
                  </pic:nvPicPr>
                  <pic:blipFill>
                    <a:blip r:embed="rId17"/>
                    <a:stretch>
                      <a:fillRect/>
                    </a:stretch>
                  </pic:blipFill>
                  <pic:spPr>
                    <a:xfrm>
                      <a:off x="0" y="0"/>
                      <a:ext cx="5303520" cy="2746084"/>
                    </a:xfrm>
                    <a:prstGeom prst="rect"/>
                  </pic:spPr>
                </pic:pic>
              </a:graphicData>
            </a:graphic>
          </wp:inline>
        </w:drawing>
      </w:r>
    </w:p>
    <w:p>
      <w:pPr>
        <w:spacing w:after="200"/>
      </w:pPr>
      <w:r>
        <w:rPr>
          <w:rFonts w:ascii="맑은 고딕" w:hAnsi="맑은 고딕" w:eastAsia="맑은 고딕"/>
          <w:i/>
          <w:color w:val="595959"/>
          <w:sz w:val="16"/>
        </w:rPr>
        <w:t>그림 7 — 희석 EPS 추이. 자료: 모델.</w:t>
      </w:r>
    </w:p>
    <w:p>
      <w:pPr>
        <w:spacing w:before="160" w:after="80"/>
      </w:pPr>
      <w:r>
        <w:rPr>
          <w:rFonts w:ascii="맑은 고딕" w:hAnsi="맑은 고딕" w:eastAsia="맑은 고딕"/>
          <w:b/>
          <w:color w:val="1A1A1A"/>
          <w:sz w:val="25"/>
        </w:rPr>
        <w:t>시나리오 분석</w:t>
      </w:r>
    </w:p>
    <w:p>
      <w:pPr>
        <w:spacing w:after="140"/>
      </w:pPr>
      <w:r>
        <w:rPr>
          <w:rFonts w:ascii="맑은 고딕" w:hAnsi="맑은 고딕" w:eastAsia="맑은 고딕"/>
          <w:i w:val="0"/>
          <w:sz w:val="21"/>
        </w:rPr>
        <w:t>우리는 세 가지 시나리오에 확률을 부여해 기대값을 산출했다. 낙관 시나리오 25%, 기본 시나리오 55%, 비관 시나리오 20%이며, 각 시나리오는 매출 성장 경로, 마진, 설비투자 강도, 그리고 적용 배수에서 차별화된다. 세 시나리오의 FY2030E 희석 EPS는 각각 29.9달러, 21.8달러, 14.6달러로 최대·최소 간 편차가 2배를 넘는다.</w:t>
      </w:r>
    </w:p>
    <w:p>
      <w:pPr>
        <w:spacing w:after="140"/>
      </w:pPr>
      <w:r>
        <w:rPr>
          <w:rFonts w:ascii="맑은 고딕" w:hAnsi="맑은 고딕" w:eastAsia="맑은 고딕"/>
          <w:i w:val="0"/>
          <w:sz w:val="21"/>
        </w:rPr>
        <w:t>낙관 시나리오는 확률 25%, FY2026E~FY2030E 매출 CAGR 21%, FY2030E 희석 EPS 29.9달러를 전제한다. 이 경로가 실현되려면 구글클라우드가 연평균 30% 이상 성장하며 시장점유율을 아마존웹서비스와 마이크로소프트 애저로부터 실질적으로 탈취해야 하고, 제미나이가 기업용 AI 애플리케이션 계층에서 표준 지위를 확보해야 한다. 동시에 검색 광고가 AI 인터페이스 전환에도 불구하고 두 자릿수 중반 성장을 유지하고, 설비투자 비율이 계획대로 13% 수준으로 낮아지며 FCF 전환율이 급격히 개선되어야 한다.</w:t>
      </w:r>
    </w:p>
    <w:p>
      <w:pPr>
        <w:spacing w:after="140"/>
      </w:pPr>
      <w:r>
        <w:rPr>
          <w:rFonts w:ascii="맑은 고딕" w:hAnsi="맑은 고딕" w:eastAsia="맑은 고딕"/>
          <w:i w:val="0"/>
          <w:sz w:val="21"/>
        </w:rPr>
        <w:t>낙관 시나리오의 촉매는 세 가지다. 첫째, 웨이모의 로보택시가 다수 도시에서 단위경제성을 입증해 기타베팅이 옵션 가치가 아닌 실질 세그먼트로 인식되는 경우다. 둘째, TPU의 외부 판매가 본격화되어 알파벳이 클라우드 사업자를 넘어 AI 반도체 공급자로 재평가되는 경우다. 셋째, 반독점 소송이 예상보다 온건하게 종결되어 규제 할인이 해소되는 경우다. 이 시나리오에서 FY2030E EPS 29.9달러에 25배를 적용하면 주당가치는 700달러를 상회하며, 현재가 354.46달러는 오히려 저평가로 평가된다.</w:t>
      </w:r>
    </w:p>
    <w:p>
      <w:pPr>
        <w:spacing w:after="140"/>
      </w:pPr>
      <w:r>
        <w:rPr>
          <w:rFonts w:ascii="맑은 고딕" w:hAnsi="맑은 고딕" w:eastAsia="맑은 고딕"/>
          <w:i w:val="0"/>
          <w:sz w:val="21"/>
        </w:rPr>
        <w:t>기본 시나리오는 확률 55%, 매출 CAGR 15%, FY2030E 희석 EPS 21.8달러로 본문의 재무모델과 일치한다. 검색이 견조하게 유지되고 클라우드가 연평균 25% 성장하며 영업이익률이 35.2%까지 개선되는 경로다. 설비투자는 매출 대비 17%에서 13.5%로 완만히 하락하고, 자사주 매입은 연 1.8%의 주식수 감소를 지속한다. 이 시나리오에서 우리 DCF는 주당 193달러, 상대가치는 265달러를 도출하며, 55대 45 가중으로 목표주가 225달러가 산출된다.</w:t>
      </w:r>
    </w:p>
    <w:p>
      <w:pPr>
        <w:spacing w:after="140"/>
      </w:pPr>
      <w:r>
        <w:rPr>
          <w:rFonts w:ascii="맑은 고딕" w:hAnsi="맑은 고딕" w:eastAsia="맑은 고딕"/>
          <w:i w:val="0"/>
          <w:sz w:val="21"/>
        </w:rPr>
        <w:t>기본 시나리오의 핵심은 성장은 실현되되 배수가 축소된다는 점이다. FY2026E~FY2030E EPS는 11.61달러에서 22.05달러로 연평균 17.4% 증가하지만, 현재의 선행 P/E 25.3배가 피어 중앙값 17.9배 방향으로 수렴하면서 주가 상승이 이익 성장에 크게 미달한다. 이는 대형 플랫폼 기업의 성숙 국면에서 반복적으로 관찰된 패턴이며, 이익이 늘어도 주주 수익률이 부진할 수 있다는 점을 보여준다.</w:t>
      </w:r>
    </w:p>
    <w:p>
      <w:pPr>
        <w:spacing w:after="140"/>
      </w:pPr>
      <w:r>
        <w:rPr>
          <w:rFonts w:ascii="맑은 고딕" w:hAnsi="맑은 고딕" w:eastAsia="맑은 고딕"/>
          <w:i w:val="0"/>
          <w:sz w:val="21"/>
        </w:rPr>
        <w:t>비관 시나리오는 확률 20%, 매출 CAGR 11%, FY2030E 희석 EPS 14.6달러를 전제한다. 이 경로에서는 AI 챗봇과 에이전트형 브라우징이 상업적 의도 질의의 상당 부분을 흡수하면서 검색 광고 성장률이 한 자릿수 초반으로 둔화되고, 클라우드는 성장하되 가격 경쟁으로 마진 개선이 정체된다. 동시에 설비투자 비율이 매출 대비 18~20%에서 고착되어 감가상각비가 누적되고, 영업이익률이 FY2030E까지 30% 내외에 머문다.</w:t>
      </w:r>
    </w:p>
    <w:p>
      <w:pPr>
        <w:spacing w:after="140"/>
      </w:pPr>
      <w:r>
        <w:rPr>
          <w:rFonts w:ascii="맑은 고딕" w:hAnsi="맑은 고딕" w:eastAsia="맑은 고딕"/>
          <w:i w:val="0"/>
          <w:sz w:val="21"/>
        </w:rPr>
        <w:t>비관 시나리오의 촉매는 규제와 기술 전환의 결합이다. 미국 법무부 애드테크 소송에서 구조적 구제가 명령되어 네트워크 사업이 분리되거나, 애플과의 기본 검색 계약이 무효화되어 트래픽획득비용 구조가 재편되는 경우가 대표적이다. 여기에 OpenAI, 앤트로픽 등 경쟁 모델 사업자가 소비자 접점을 확대하면 검색 질의량 자체가 감소하는 이차 효과가 발생한다. 이 시나리오에서 FY2030E EPS 14.6달러에 15배를 적용하면 주당가치는 220달러 내외로, 오히려 우리 목표주가와 유사한 수준이다.</w:t>
      </w:r>
    </w:p>
    <w:p>
      <w:pPr>
        <w:spacing w:after="140"/>
      </w:pPr>
      <w:r>
        <w:rPr>
          <w:rFonts w:ascii="맑은 고딕" w:hAnsi="맑은 고딕" w:eastAsia="맑은 고딕"/>
          <w:i w:val="0"/>
          <w:sz w:val="21"/>
        </w:rPr>
        <w:t>세 시나리오를 확률가중하면 FY2030E 기대 EPS는 약 21.5달러로 기본 시나리오와 거의 일치한다. 그러나 밸류에이션 관점에서 중요한 것은 기대값이 아니라 분포의 비대칭성이다. 현재가 354.46달러는 낙관 시나리오가 실현될 경우에만 정당화되며, 기본 시나리오에서는 36% 하락, 비관 시나리오에서는 그 이상의 하락이 예상된다. 즉 25%의 확률에 대해 상승 여지 100%, 75%의 확률에 대해 하락 위험 35~50%라는 위험보상 구조다.</w:t>
      </w:r>
    </w:p>
    <w:p>
      <w:pPr>
        <w:spacing w:after="140"/>
      </w:pPr>
      <w:r>
        <w:rPr>
          <w:rFonts w:ascii="맑은 고딕" w:hAnsi="맑은 고딕" w:eastAsia="맑은 고딕"/>
          <w:i w:val="0"/>
          <w:sz w:val="21"/>
        </w:rPr>
        <w:t>이 비대칭성이 우리가 매도 의견을 제시하는 정량적 근거다. 동일한 사업 전망을 공유하면서도 결론이 갈리는 이유는 진입 가격에 있다. 만약 알파벳 주가가 250달러 수준이었다면 우리는 동일한 재무모델로 매수 의견을 제시했을 것이다. 투자 판단은 사업의 우열이 아니라 가격과 가치의 간극에 대한 판단이며, 현재 그 간극은 투자자에게 불리한 방향으로 벌어져 있다.</w:t>
      </w:r>
    </w:p>
    <w:tbl>
      <w:tblPr>
        <w:tblStyle w:val="LightGrid-Accent1"/>
        <w:tblW w:type="auto" w:w="0"/>
        <w:tblLayout w:type="autofit"/>
        <w:tblLook w:firstColumn="1" w:firstRow="1" w:lastColumn="0" w:lastRow="0" w:noHBand="0" w:noVBand="1" w:val="04A0"/>
      </w:tblPr>
      <w:tblGrid>
        <w:gridCol w:w="2484"/>
        <w:gridCol w:w="2484"/>
        <w:gridCol w:w="2484"/>
        <w:gridCol w:w="2484"/>
      </w:tblGrid>
      <w:tr>
        <w:tc>
          <w:tcPr>
            <w:tcW w:type="dxa" w:w="2484"/>
            <w:shd w:fill="1F3864"/>
          </w:tcPr>
          <w:p>
            <w:pPr>
              <w:spacing w:after="20" w:before="20"/>
              <w:jc w:val="left"/>
            </w:pPr>
            <w:r/>
            <w:r>
              <w:rPr>
                <w:rFonts w:ascii="맑은 고딕" w:hAnsi="맑은 고딕" w:eastAsia="맑은 고딕"/>
                <w:b/>
                <w:color w:val="FFFFFF"/>
                <w:sz w:val="17"/>
              </w:rPr>
              <w:t>구분 (FY2030E)</w:t>
            </w:r>
          </w:p>
        </w:tc>
        <w:tc>
          <w:tcPr>
            <w:tcW w:type="dxa" w:w="2484"/>
            <w:shd w:fill="1F3864"/>
          </w:tcPr>
          <w:p>
            <w:pPr>
              <w:spacing w:after="20" w:before="20"/>
              <w:jc w:val="right"/>
            </w:pPr>
            <w:r/>
            <w:r>
              <w:rPr>
                <w:rFonts w:ascii="맑은 고딕" w:hAnsi="맑은 고딕" w:eastAsia="맑은 고딕"/>
                <w:b/>
                <w:color w:val="FFFFFF"/>
                <w:sz w:val="17"/>
              </w:rPr>
              <w:t>비관 (20%)</w:t>
            </w:r>
          </w:p>
        </w:tc>
        <w:tc>
          <w:tcPr>
            <w:tcW w:type="dxa" w:w="2484"/>
            <w:shd w:fill="1F3864"/>
          </w:tcPr>
          <w:p>
            <w:pPr>
              <w:spacing w:after="20" w:before="20"/>
              <w:jc w:val="right"/>
            </w:pPr>
            <w:r/>
            <w:r>
              <w:rPr>
                <w:rFonts w:ascii="맑은 고딕" w:hAnsi="맑은 고딕" w:eastAsia="맑은 고딕"/>
                <w:b/>
                <w:color w:val="FFFFFF"/>
                <w:sz w:val="17"/>
              </w:rPr>
              <w:t>기본 (55%)</w:t>
            </w:r>
          </w:p>
        </w:tc>
        <w:tc>
          <w:tcPr>
            <w:tcW w:type="dxa" w:w="2484"/>
            <w:shd w:fill="1F3864"/>
          </w:tcPr>
          <w:p>
            <w:pPr>
              <w:spacing w:after="20" w:before="20"/>
              <w:jc w:val="right"/>
            </w:pPr>
            <w:r/>
            <w:r>
              <w:rPr>
                <w:rFonts w:ascii="맑은 고딕" w:hAnsi="맑은 고딕" w:eastAsia="맑은 고딕"/>
                <w:b/>
                <w:color w:val="FFFFFF"/>
                <w:sz w:val="17"/>
              </w:rPr>
              <w:t>낙관 (25%)</w:t>
            </w:r>
          </w:p>
        </w:tc>
      </w:tr>
      <w:tr>
        <w:tc>
          <w:tcPr>
            <w:tcW w:type="dxa" w:w="2484"/>
          </w:tcPr>
          <w:p>
            <w:pPr>
              <w:spacing w:after="20" w:before="20"/>
              <w:jc w:val="left"/>
            </w:pPr>
            <w:r/>
            <w:r>
              <w:rPr>
                <w:rFonts w:ascii="맑은 고딕" w:hAnsi="맑은 고딕" w:eastAsia="맑은 고딕"/>
                <w:b w:val="0"/>
                <w:sz w:val="17"/>
              </w:rPr>
              <w:t>매출 CAGR (FY25→30)</w:t>
            </w:r>
          </w:p>
        </w:tc>
        <w:tc>
          <w:tcPr>
            <w:tcW w:type="dxa" w:w="2484"/>
          </w:tcPr>
          <w:p>
            <w:pPr>
              <w:spacing w:after="20" w:before="20"/>
              <w:jc w:val="right"/>
            </w:pPr>
            <w:r/>
            <w:r>
              <w:rPr>
                <w:rFonts w:ascii="맑은 고딕" w:hAnsi="맑은 고딕" w:eastAsia="맑은 고딕"/>
                <w:b w:val="0"/>
                <w:sz w:val="17"/>
              </w:rPr>
              <w:t>11%</w:t>
            </w:r>
          </w:p>
        </w:tc>
        <w:tc>
          <w:tcPr>
            <w:tcW w:type="dxa" w:w="2484"/>
          </w:tcPr>
          <w:p>
            <w:pPr>
              <w:spacing w:after="20" w:before="20"/>
              <w:jc w:val="right"/>
            </w:pPr>
            <w:r/>
            <w:r>
              <w:rPr>
                <w:rFonts w:ascii="맑은 고딕" w:hAnsi="맑은 고딕" w:eastAsia="맑은 고딕"/>
                <w:b w:val="0"/>
                <w:sz w:val="17"/>
              </w:rPr>
              <w:t>15%</w:t>
            </w:r>
          </w:p>
        </w:tc>
        <w:tc>
          <w:tcPr>
            <w:tcW w:type="dxa" w:w="2484"/>
          </w:tcPr>
          <w:p>
            <w:pPr>
              <w:spacing w:after="20" w:before="20"/>
              <w:jc w:val="right"/>
            </w:pPr>
            <w:r/>
            <w:r>
              <w:rPr>
                <w:rFonts w:ascii="맑은 고딕" w:hAnsi="맑은 고딕" w:eastAsia="맑은 고딕"/>
                <w:b w:val="0"/>
                <w:sz w:val="17"/>
              </w:rPr>
              <w:t>21%</w:t>
            </w:r>
          </w:p>
        </w:tc>
      </w:tr>
      <w:tr>
        <w:tc>
          <w:tcPr>
            <w:tcW w:type="dxa" w:w="2484"/>
          </w:tcPr>
          <w:p>
            <w:pPr>
              <w:spacing w:after="20" w:before="20"/>
              <w:jc w:val="left"/>
            </w:pPr>
            <w:r/>
            <w:r>
              <w:rPr>
                <w:rFonts w:ascii="맑은 고딕" w:hAnsi="맑은 고딕" w:eastAsia="맑은 고딕"/>
                <w:b w:val="0"/>
                <w:sz w:val="17"/>
              </w:rPr>
              <w:t>매출 ($B)</w:t>
            </w:r>
          </w:p>
        </w:tc>
        <w:tc>
          <w:tcPr>
            <w:tcW w:type="dxa" w:w="2484"/>
          </w:tcPr>
          <w:p>
            <w:pPr>
              <w:spacing w:after="20" w:before="20"/>
              <w:jc w:val="right"/>
            </w:pPr>
            <w:r/>
            <w:r>
              <w:rPr>
                <w:rFonts w:ascii="맑은 고딕" w:hAnsi="맑은 고딕" w:eastAsia="맑은 고딕"/>
                <w:b w:val="0"/>
                <w:sz w:val="17"/>
              </w:rPr>
              <w:t>679</w:t>
            </w:r>
          </w:p>
        </w:tc>
        <w:tc>
          <w:tcPr>
            <w:tcW w:type="dxa" w:w="2484"/>
          </w:tcPr>
          <w:p>
            <w:pPr>
              <w:spacing w:after="20" w:before="20"/>
              <w:jc w:val="right"/>
            </w:pPr>
            <w:r/>
            <w:r>
              <w:rPr>
                <w:rFonts w:ascii="맑은 고딕" w:hAnsi="맑은 고딕" w:eastAsia="맑은 고딕"/>
                <w:b w:val="0"/>
                <w:sz w:val="17"/>
              </w:rPr>
              <w:t>824</w:t>
            </w:r>
          </w:p>
        </w:tc>
        <w:tc>
          <w:tcPr>
            <w:tcW w:type="dxa" w:w="2484"/>
          </w:tcPr>
          <w:p>
            <w:pPr>
              <w:spacing w:after="20" w:before="20"/>
              <w:jc w:val="right"/>
            </w:pPr>
            <w:r/>
            <w:r>
              <w:rPr>
                <w:rFonts w:ascii="맑은 고딕" w:hAnsi="맑은 고딕" w:eastAsia="맑은 고딕"/>
                <w:b w:val="0"/>
                <w:sz w:val="17"/>
              </w:rPr>
              <w:t>1,045</w:t>
            </w:r>
          </w:p>
        </w:tc>
      </w:tr>
      <w:tr>
        <w:tc>
          <w:tcPr>
            <w:tcW w:type="dxa" w:w="2484"/>
          </w:tcPr>
          <w:p>
            <w:pPr>
              <w:spacing w:after="20" w:before="20"/>
              <w:jc w:val="left"/>
            </w:pPr>
            <w:r/>
            <w:r>
              <w:rPr>
                <w:rFonts w:ascii="맑은 고딕" w:hAnsi="맑은 고딕" w:eastAsia="맑은 고딕"/>
                <w:b w:val="0"/>
                <w:sz w:val="17"/>
              </w:rPr>
              <w:t>희석 EPS ($)</w:t>
            </w:r>
          </w:p>
        </w:tc>
        <w:tc>
          <w:tcPr>
            <w:tcW w:type="dxa" w:w="2484"/>
          </w:tcPr>
          <w:p>
            <w:pPr>
              <w:spacing w:after="20" w:before="20"/>
              <w:jc w:val="right"/>
            </w:pPr>
            <w:r/>
            <w:r>
              <w:rPr>
                <w:rFonts w:ascii="맑은 고딕" w:hAnsi="맑은 고딕" w:eastAsia="맑은 고딕"/>
                <w:b w:val="0"/>
                <w:sz w:val="17"/>
              </w:rPr>
              <w:t>14.59</w:t>
            </w:r>
          </w:p>
        </w:tc>
        <w:tc>
          <w:tcPr>
            <w:tcW w:type="dxa" w:w="2484"/>
          </w:tcPr>
          <w:p>
            <w:pPr>
              <w:spacing w:after="20" w:before="20"/>
              <w:jc w:val="right"/>
            </w:pPr>
            <w:r/>
            <w:r>
              <w:rPr>
                <w:rFonts w:ascii="맑은 고딕" w:hAnsi="맑은 고딕" w:eastAsia="맑은 고딕"/>
                <w:b w:val="0"/>
                <w:sz w:val="17"/>
              </w:rPr>
              <w:t>21.84</w:t>
            </w:r>
          </w:p>
        </w:tc>
        <w:tc>
          <w:tcPr>
            <w:tcW w:type="dxa" w:w="2484"/>
          </w:tcPr>
          <w:p>
            <w:pPr>
              <w:spacing w:after="20" w:before="20"/>
              <w:jc w:val="right"/>
            </w:pPr>
            <w:r/>
            <w:r>
              <w:rPr>
                <w:rFonts w:ascii="맑은 고딕" w:hAnsi="맑은 고딕" w:eastAsia="맑은 고딕"/>
                <w:b w:val="0"/>
                <w:sz w:val="17"/>
              </w:rPr>
              <w:t>29.94</w:t>
            </w:r>
          </w:p>
        </w:tc>
      </w:tr>
      <w:tr>
        <w:tc>
          <w:tcPr>
            <w:tcW w:type="dxa" w:w="2484"/>
          </w:tcPr>
          <w:p>
            <w:pPr>
              <w:spacing w:after="20" w:before="20"/>
              <w:jc w:val="left"/>
            </w:pPr>
            <w:r/>
            <w:r>
              <w:rPr>
                <w:rFonts w:ascii="맑은 고딕" w:hAnsi="맑은 고딕" w:eastAsia="맑은 고딕"/>
                <w:b w:val="0"/>
                <w:sz w:val="17"/>
              </w:rPr>
              <w:t>함의 주당가치</w:t>
            </w:r>
          </w:p>
        </w:tc>
        <w:tc>
          <w:tcPr>
            <w:tcW w:type="dxa" w:w="2484"/>
          </w:tcPr>
          <w:p>
            <w:pPr>
              <w:spacing w:after="20" w:before="20"/>
              <w:jc w:val="right"/>
            </w:pPr>
            <w:r/>
            <w:r>
              <w:rPr>
                <w:rFonts w:ascii="맑은 고딕" w:hAnsi="맑은 고딕" w:eastAsia="맑은 고딕"/>
                <w:b w:val="0"/>
                <w:sz w:val="17"/>
              </w:rPr>
              <w:t>약 $150</w:t>
            </w:r>
          </w:p>
        </w:tc>
        <w:tc>
          <w:tcPr>
            <w:tcW w:type="dxa" w:w="2484"/>
          </w:tcPr>
          <w:p>
            <w:pPr>
              <w:spacing w:after="20" w:before="20"/>
              <w:jc w:val="right"/>
            </w:pPr>
            <w:r/>
            <w:r>
              <w:rPr>
                <w:rFonts w:ascii="맑은 고딕" w:hAnsi="맑은 고딕" w:eastAsia="맑은 고딕"/>
                <w:b w:val="0"/>
                <w:sz w:val="17"/>
              </w:rPr>
              <w:t>$225</w:t>
            </w:r>
          </w:p>
        </w:tc>
        <w:tc>
          <w:tcPr>
            <w:tcW w:type="dxa" w:w="2484"/>
          </w:tcPr>
          <w:p>
            <w:pPr>
              <w:spacing w:after="20" w:before="20"/>
              <w:jc w:val="right"/>
            </w:pPr>
            <w:r/>
            <w:r>
              <w:rPr>
                <w:rFonts w:ascii="맑은 고딕" w:hAnsi="맑은 고딕" w:eastAsia="맑은 고딕"/>
                <w:b w:val="0"/>
                <w:sz w:val="17"/>
              </w:rPr>
              <w:t>약 $330</w:t>
            </w:r>
          </w:p>
        </w:tc>
      </w:tr>
    </w:tbl>
    <w:p>
      <w:pPr>
        <w:spacing w:after="40"/>
      </w:pPr>
    </w:p>
    <w:p>
      <w:pPr>
        <w:spacing w:after="200"/>
      </w:pPr>
      <w:r>
        <w:rPr>
          <w:rFonts w:ascii="맑은 고딕" w:hAnsi="맑은 고딕" w:eastAsia="맑은 고딕"/>
          <w:i/>
          <w:color w:val="595959"/>
          <w:sz w:val="16"/>
        </w:rPr>
        <w:t>표 4 — 시나리오 비교. 자료: 모델(Scenarios 탭).</w:t>
      </w:r>
    </w:p>
    <w:p>
      <w:pPr>
        <w:jc w:val="center"/>
      </w:pPr>
      <w:r>
        <w:drawing>
          <wp:inline xmlns:a="http://schemas.openxmlformats.org/drawingml/2006/main" xmlns:pic="http://schemas.openxmlformats.org/drawingml/2006/picture">
            <wp:extent cx="5486400" cy="3110125"/>
            <wp:docPr id="10" name="Picture 10"/>
            <wp:cNvGraphicFramePr>
              <a:graphicFrameLocks noChangeAspect="1"/>
            </wp:cNvGraphicFramePr>
            <a:graphic>
              <a:graphicData uri="http://schemas.openxmlformats.org/drawingml/2006/picture">
                <pic:pic>
                  <pic:nvPicPr>
                    <pic:cNvPr id="0" name="chart_12_scenarios.png"/>
                    <pic:cNvPicPr/>
                  </pic:nvPicPr>
                  <pic:blipFill>
                    <a:blip r:embed="rId18"/>
                    <a:stretch>
                      <a:fillRect/>
                    </a:stretch>
                  </pic:blipFill>
                  <pic:spPr>
                    <a:xfrm>
                      <a:off x="0" y="0"/>
                      <a:ext cx="5486400" cy="3110125"/>
                    </a:xfrm>
                    <a:prstGeom prst="rect"/>
                  </pic:spPr>
                </pic:pic>
              </a:graphicData>
            </a:graphic>
          </wp:inline>
        </w:drawing>
      </w:r>
    </w:p>
    <w:p>
      <w:pPr>
        <w:spacing w:after="200"/>
      </w:pPr>
      <w:r>
        <w:rPr>
          <w:rFonts w:ascii="맑은 고딕" w:hAnsi="맑은 고딕" w:eastAsia="맑은 고딕"/>
          <w:i/>
          <w:color w:val="595959"/>
          <w:sz w:val="16"/>
        </w:rPr>
        <w:t>그림 12 — 시나리오 비교. 자료: 모델.</w:t>
      </w:r>
    </w:p>
    <w:p>
      <w:pPr>
        <w:spacing w:before="160" w:after="80"/>
      </w:pPr>
      <w:r>
        <w:rPr>
          <w:rFonts w:ascii="맑은 고딕" w:hAnsi="맑은 고딕" w:eastAsia="맑은 고딕"/>
          <w:b/>
          <w:color w:val="1A1A1A"/>
          <w:sz w:val="25"/>
        </w:rPr>
        <w:t>성장 동력</w:t>
      </w:r>
    </w:p>
    <w:p>
      <w:pPr>
        <w:spacing w:after="140"/>
      </w:pPr>
      <w:r>
        <w:rPr>
          <w:rFonts w:ascii="맑은 고딕" w:hAnsi="맑은 고딕" w:eastAsia="맑은 고딕"/>
          <w:i w:val="0"/>
          <w:sz w:val="21"/>
        </w:rPr>
        <w:t>첫 번째 성장 동력은 검색 광고의 AI 재수익화다. 전 세계 디지털 광고 시장은 연간 8,000억 달러를 넘어섰고 이 중 검색 광고가 약 40%를 차지한다. 알파벳의 FY2025 검색 매출 2,236억 달러는 이 시장의 압도적 지분이며, AI Overviews가 결과 페이지를 재구성하면서 광고 단위 자체가 대화형·에이전트형으로 진화하고 있다. 우리는 이 전환이 FY2026~FY2028에 걸쳐 진행되며 질의당 매출을 연 5~8% 끌어올린다고 본다. 이 동력만으로 FY2030E 검색 매출은 4,000억 달러를 상회한다.</w:t>
      </w:r>
    </w:p>
    <w:p>
      <w:pPr>
        <w:spacing w:after="140"/>
      </w:pPr>
      <w:r>
        <w:rPr>
          <w:rFonts w:ascii="맑은 고딕" w:hAnsi="맑은 고딕" w:eastAsia="맑은 고딕"/>
          <w:i w:val="0"/>
          <w:sz w:val="21"/>
        </w:rPr>
        <w:t>두 번째 동력은 클라우드와 AI 인프라다. 전 세계 퍼블릭 클라우드 시장은 연간 1조 달러 규모로 향후 5년간 연평균 20% 내외 성장이 예상되며, 알파벳의 FY2025 점유율은 10%대 초반이다. 구글클라우드 매출 572억 달러가 연평균 25% 성장하면 FY2030E에는 1,700억 달러를 상회해 전사 매출의 20% 이상을 차지한다. 백로그가 연간 매출의 수 배에 달해 향후 2~3년 매출 가시성이 높다는 점이 이 전망의 신뢰도를 뒷받침한다. 다만 3위 사업자의 가격 협상력 한계로 세그먼트 영업이익률은 FY2030E까지 20% 초반에 머물 전망이다.</w:t>
      </w:r>
    </w:p>
    <w:p>
      <w:pPr>
        <w:spacing w:after="140"/>
      </w:pPr>
      <w:r>
        <w:rPr>
          <w:rFonts w:ascii="맑은 고딕" w:hAnsi="맑은 고딕" w:eastAsia="맑은 고딕"/>
          <w:i w:val="0"/>
          <w:sz w:val="21"/>
        </w:rPr>
        <w:t>세 번째 동력은 유튜브의 커넥티드TV 전환이다. 미국 TV 광고 시장은 연간 600억 달러 규모이며, 스트리밍으로의 예산 이전은 아직 절반도 진행되지 않았다. 유튜브는 전 세계 TV 화면 시청 시간에서 1위를 유지하고 있고, FY2025 유튜브광고 427억 달러에 유튜브TV·프리미엄 구독 매출을 합산하면 실질 규모는 이를 크게 상회한다. 쇼츠 수익화율이 롱폼의 격차를 FY2027까지 상당 부분 좁힌다고 가정하면 유튜브 광고는 연평균 15% 성장이 가능하다.</w:t>
      </w:r>
    </w:p>
    <w:p>
      <w:pPr>
        <w:spacing w:after="140"/>
      </w:pPr>
      <w:r>
        <w:rPr>
          <w:rFonts w:ascii="맑은 고딕" w:hAnsi="맑은 고딕" w:eastAsia="맑은 고딕"/>
          <w:i w:val="0"/>
          <w:sz w:val="21"/>
        </w:rPr>
        <w:t>네 번째 동력은 TPU를 축으로 한 수직계열화다. AI 가속기 시장은 연간 수천억 달러 규모로 성장 중이며 현재 엔비디아가 지배하고 있으나, 알파벳은 자체 TPU로 내부 학습·추론 수요를 충당해 원가 구조에서 경쟁사와 차별화된다. 이 효과는 별도 매출로 계상되지 않고 매출원가 절감과 클라우드 마진으로 나타나므로 시장이 과소평가하기 쉬운 영역이다. TPU 외부 판매가 본격화될 경우 FY2028 이후 수백억 달러 규모의 신규 매출원이 될 수 있으나, 우리 기본 모델은 이를 반영하지 않았다.</w:t>
      </w:r>
    </w:p>
    <w:p>
      <w:pPr>
        <w:spacing w:after="140"/>
      </w:pPr>
      <w:r>
        <w:rPr>
          <w:rFonts w:ascii="맑은 고딕" w:hAnsi="맑은 고딕" w:eastAsia="맑은 고딕"/>
          <w:i w:val="0"/>
          <w:sz w:val="21"/>
        </w:rPr>
        <w:t>다섯 번째 동력은 구독 매출의 반복성 확대다. 유튜브 프리미엄, 유튜브TV, 구글원, 제미나이 유료 티어를 합산한 구독 기반은 이미 수억 명 규모이며, FY2025 구독·플랫폼·기기 매출 491억 달러가 연평균 17% 성장해 FY2030E에는 1,000억 달러를 상회한다고 본다. 구독 매출은 광고 대비 경기 민감도가 낮아 매출 변동성을 구조적으로 낮추며, 이는 장기적으로 밸류에이션 배수의 하방을 지지하는 요인이다. 다만 매출총이익률이 낮아 이익 기여도는 매출 기여도에 미치지 못한다.</w:t>
      </w:r>
    </w:p>
    <w:p>
      <w:pPr>
        <w:spacing w:after="140"/>
      </w:pPr>
      <w:r>
        <w:rPr>
          <w:rFonts w:ascii="맑은 고딕" w:hAnsi="맑은 고딕" w:eastAsia="맑은 고딕"/>
          <w:i w:val="0"/>
          <w:sz w:val="21"/>
        </w:rPr>
        <w:t>이 다섯 가지 동력을 합산하면 FY2025~FY2030E 매출 CAGR 15.4%, 영업이익 CAGR 17.6%, EPS CAGR 15.3%라는 우리 전망이 도출된다. 문제는 이 성장 경로가 이미 컨센서스이자 주가에 반영되어 있다는 점이다. 성장 동력의 존재와 그 동력이 현재 가격에서 초과수익을 만들어내는지는 별개의 질문이며, 본 보고서의 답은 후자에 대해 부정적이다.</w:t>
      </w:r>
    </w:p>
    <w:p>
      <w:r>
        <w:br w:type="page"/>
      </w:r>
    </w:p>
    <w:p>
      <w:pPr>
        <w:spacing w:before="240" w:after="80"/>
        <w:pBdr>
          <w:bottom w:val="single" w:sz="6" w:space="2" w:color="1F3864"/>
        </w:pBdr>
      </w:pPr>
      <w:r>
        <w:rPr>
          <w:rFonts w:ascii="맑은 고딕" w:hAnsi="맑은 고딕" w:eastAsia="맑은 고딕"/>
          <w:b/>
          <w:color w:val="1F3864"/>
          <w:sz w:val="30"/>
        </w:rPr>
        <w:t>밸류에이션 분석</w:t>
      </w:r>
    </w:p>
    <w:p>
      <w:pPr>
        <w:spacing w:after="120"/>
      </w:pPr>
      <w:r>
        <w:rPr>
          <w:rFonts w:ascii="맑은 고딕" w:hAnsi="맑은 고딕" w:eastAsia="맑은 고딕"/>
          <w:b/>
          <w:i w:val="0"/>
          <w:sz w:val="21"/>
        </w:rPr>
        <w:t>작성일: 2026년 7월 18일 | 기준주가: $354.46 (2026-07-16 종가)</w:t>
      </w:r>
    </w:p>
    <w:tbl>
      <w:tblPr>
        <w:tblStyle w:val="LightGrid-Accent1"/>
        <w:tblW w:type="auto" w:w="0"/>
        <w:tblLayout w:type="autofit"/>
        <w:tblLook w:firstColumn="1" w:firstRow="1" w:lastColumn="0" w:lastRow="0" w:noHBand="0" w:noVBand="1" w:val="04A0"/>
      </w:tblPr>
      <w:tblGrid>
        <w:gridCol w:w="4968"/>
        <w:gridCol w:w="4968"/>
      </w:tblGrid>
      <w:tr>
        <w:tc>
          <w:tcPr>
            <w:tcW w:type="dxa" w:w="4968"/>
            <w:shd w:fill="1F3864"/>
          </w:tcPr>
          <w:p>
            <w:pPr>
              <w:spacing w:after="20" w:before="20"/>
              <w:jc w:val="left"/>
            </w:pPr>
            <w:r/>
            <w:r>
              <w:rPr>
                <w:rFonts w:ascii="맑은 고딕" w:hAnsi="맑은 고딕" w:eastAsia="맑은 고딕"/>
                <w:b/>
                <w:color w:val="FFFFFF"/>
                <w:sz w:val="17"/>
              </w:rPr>
              <w:t>항목</w:t>
            </w:r>
          </w:p>
        </w:tc>
        <w:tc>
          <w:tcPr>
            <w:tcW w:type="dxa" w:w="4968"/>
            <w:shd w:fill="1F3864"/>
          </w:tcPr>
          <w:p>
            <w:pPr>
              <w:spacing w:after="20" w:before="20"/>
              <w:jc w:val="right"/>
            </w:pPr>
            <w:r/>
            <w:r>
              <w:rPr>
                <w:rFonts w:ascii="맑은 고딕" w:hAnsi="맑은 고딕" w:eastAsia="맑은 고딕"/>
                <w:b/>
                <w:color w:val="FFFFFF"/>
                <w:sz w:val="17"/>
              </w:rPr>
              <w:t>값</w:t>
            </w:r>
          </w:p>
        </w:tc>
      </w:tr>
      <w:tr>
        <w:tc>
          <w:tcPr>
            <w:tcW w:type="dxa" w:w="4968"/>
          </w:tcPr>
          <w:p>
            <w:pPr>
              <w:spacing w:after="20" w:before="20"/>
              <w:jc w:val="left"/>
            </w:pPr>
            <w:r/>
            <w:r>
              <w:rPr>
                <w:rFonts w:ascii="맑은 고딕" w:hAnsi="맑은 고딕" w:eastAsia="맑은 고딕"/>
                <w:b w:val="0"/>
                <w:sz w:val="17"/>
              </w:rPr>
              <w:t>현재주가</w:t>
            </w:r>
          </w:p>
        </w:tc>
        <w:tc>
          <w:tcPr>
            <w:tcW w:type="dxa" w:w="4968"/>
          </w:tcPr>
          <w:p>
            <w:pPr>
              <w:spacing w:after="20" w:before="20"/>
              <w:jc w:val="right"/>
            </w:pPr>
            <w:r/>
            <w:r>
              <w:rPr>
                <w:rFonts w:ascii="맑은 고딕" w:hAnsi="맑은 고딕" w:eastAsia="맑은 고딕"/>
                <w:b w:val="0"/>
                <w:sz w:val="17"/>
              </w:rPr>
              <w:t>$354.46</w:t>
            </w:r>
          </w:p>
        </w:tc>
      </w:tr>
      <w:tr>
        <w:tc>
          <w:tcPr>
            <w:tcW w:type="dxa" w:w="4968"/>
          </w:tcPr>
          <w:p>
            <w:pPr>
              <w:spacing w:after="20" w:before="20"/>
              <w:jc w:val="left"/>
            </w:pPr>
            <w:r/>
            <w:r>
              <w:rPr>
                <w:rFonts w:ascii="맑은 고딕" w:hAnsi="맑은 고딕" w:eastAsia="맑은 고딕"/>
                <w:b w:val="0"/>
                <w:sz w:val="17"/>
              </w:rPr>
              <w:t>목표주가</w:t>
            </w:r>
          </w:p>
        </w:tc>
        <w:tc>
          <w:tcPr>
            <w:tcW w:type="dxa" w:w="4968"/>
          </w:tcPr>
          <w:p>
            <w:pPr>
              <w:spacing w:after="20" w:before="20"/>
              <w:jc w:val="right"/>
            </w:pPr>
            <w:r/>
            <w:r>
              <w:rPr>
                <w:rFonts w:ascii="맑은 고딕" w:hAnsi="맑은 고딕" w:eastAsia="맑은 고딕"/>
                <w:b w:val="0"/>
                <w:sz w:val="17"/>
              </w:rPr>
              <w:t>**$225**</w:t>
            </w:r>
          </w:p>
        </w:tc>
      </w:tr>
      <w:tr>
        <w:tc>
          <w:tcPr>
            <w:tcW w:type="dxa" w:w="4968"/>
          </w:tcPr>
          <w:p>
            <w:pPr>
              <w:spacing w:after="20" w:before="20"/>
              <w:jc w:val="left"/>
            </w:pPr>
            <w:r/>
            <w:r>
              <w:rPr>
                <w:rFonts w:ascii="맑은 고딕" w:hAnsi="맑은 고딕" w:eastAsia="맑은 고딕"/>
                <w:b w:val="0"/>
                <w:sz w:val="17"/>
              </w:rPr>
              <w:t>투자의견</w:t>
            </w:r>
          </w:p>
        </w:tc>
        <w:tc>
          <w:tcPr>
            <w:tcW w:type="dxa" w:w="4968"/>
          </w:tcPr>
          <w:p>
            <w:pPr>
              <w:spacing w:after="20" w:before="20"/>
              <w:jc w:val="right"/>
            </w:pPr>
            <w:r/>
            <w:r>
              <w:rPr>
                <w:rFonts w:ascii="맑은 고딕" w:hAnsi="맑은 고딕" w:eastAsia="맑은 고딕"/>
                <w:b w:val="0"/>
                <w:sz w:val="17"/>
              </w:rPr>
              <w:t>**매도 (SELL)**</w:t>
            </w:r>
          </w:p>
        </w:tc>
      </w:tr>
      <w:tr>
        <w:tc>
          <w:tcPr>
            <w:tcW w:type="dxa" w:w="4968"/>
          </w:tcPr>
          <w:p>
            <w:pPr>
              <w:spacing w:after="20" w:before="20"/>
              <w:jc w:val="left"/>
            </w:pPr>
            <w:r/>
            <w:r>
              <w:rPr>
                <w:rFonts w:ascii="맑은 고딕" w:hAnsi="맑은 고딕" w:eastAsia="맑은 고딕"/>
                <w:b w:val="0"/>
                <w:sz w:val="17"/>
              </w:rPr>
              <w:t>상승/하락 여력</w:t>
            </w:r>
          </w:p>
        </w:tc>
        <w:tc>
          <w:tcPr>
            <w:tcW w:type="dxa" w:w="4968"/>
          </w:tcPr>
          <w:p>
            <w:pPr>
              <w:spacing w:after="20" w:before="20"/>
              <w:jc w:val="right"/>
            </w:pPr>
            <w:r/>
            <w:r>
              <w:rPr>
                <w:rFonts w:ascii="맑은 고딕" w:hAnsi="맑은 고딕" w:eastAsia="맑은 고딕"/>
                <w:b w:val="0"/>
                <w:sz w:val="17"/>
              </w:rPr>
              <w:t>**−36.4%**</w:t>
            </w:r>
          </w:p>
        </w:tc>
      </w:tr>
      <w:tr>
        <w:tc>
          <w:tcPr>
            <w:tcW w:type="dxa" w:w="4968"/>
          </w:tcPr>
          <w:p>
            <w:pPr>
              <w:spacing w:after="20" w:before="20"/>
              <w:jc w:val="left"/>
            </w:pPr>
            <w:r/>
            <w:r>
              <w:rPr>
                <w:rFonts w:ascii="맑은 고딕" w:hAnsi="맑은 고딕" w:eastAsia="맑은 고딕"/>
                <w:b w:val="0"/>
                <w:sz w:val="17"/>
              </w:rPr>
              <w:t>희석주식수</w:t>
            </w:r>
          </w:p>
        </w:tc>
        <w:tc>
          <w:tcPr>
            <w:tcW w:type="dxa" w:w="4968"/>
          </w:tcPr>
          <w:p>
            <w:pPr>
              <w:spacing w:after="20" w:before="20"/>
              <w:jc w:val="right"/>
            </w:pPr>
            <w:r/>
            <w:r>
              <w:rPr>
                <w:rFonts w:ascii="맑은 고딕" w:hAnsi="맑은 고딕" w:eastAsia="맑은 고딕"/>
                <w:b w:val="0"/>
                <w:sz w:val="17"/>
              </w:rPr>
              <w:t>12,230백만주</w:t>
            </w:r>
          </w:p>
        </w:tc>
      </w:tr>
      <w:tr>
        <w:tc>
          <w:tcPr>
            <w:tcW w:type="dxa" w:w="4968"/>
          </w:tcPr>
          <w:p>
            <w:pPr>
              <w:spacing w:after="20" w:before="20"/>
              <w:jc w:val="left"/>
            </w:pPr>
            <w:r/>
            <w:r>
              <w:rPr>
                <w:rFonts w:ascii="맑은 고딕" w:hAnsi="맑은 고딕" w:eastAsia="맑은 고딕"/>
                <w:b w:val="0"/>
                <w:sz w:val="17"/>
              </w:rPr>
              <w:t>시가총액</w:t>
            </w:r>
          </w:p>
        </w:tc>
        <w:tc>
          <w:tcPr>
            <w:tcW w:type="dxa" w:w="4968"/>
          </w:tcPr>
          <w:p>
            <w:pPr>
              <w:spacing w:after="20" w:before="20"/>
              <w:jc w:val="right"/>
            </w:pPr>
            <w:r/>
            <w:r>
              <w:rPr>
                <w:rFonts w:ascii="맑은 고딕" w:hAnsi="맑은 고딕" w:eastAsia="맑은 고딕"/>
                <w:b w:val="0"/>
                <w:sz w:val="17"/>
              </w:rPr>
              <w:t>약 $4.34조</w:t>
            </w:r>
          </w:p>
        </w:tc>
      </w:tr>
      <w:tr>
        <w:tc>
          <w:tcPr>
            <w:tcW w:type="dxa" w:w="4968"/>
          </w:tcPr>
          <w:p>
            <w:pPr>
              <w:spacing w:after="20" w:before="20"/>
              <w:jc w:val="left"/>
            </w:pPr>
            <w:r/>
            <w:r>
              <w:rPr>
                <w:rFonts w:ascii="맑은 고딕" w:hAnsi="맑은 고딕" w:eastAsia="맑은 고딕"/>
                <w:b w:val="0"/>
                <w:sz w:val="17"/>
              </w:rPr>
              <w:t>순현금</w:t>
            </w:r>
          </w:p>
        </w:tc>
        <w:tc>
          <w:tcPr>
            <w:tcW w:type="dxa" w:w="4968"/>
          </w:tcPr>
          <w:p>
            <w:pPr>
              <w:spacing w:after="20" w:before="20"/>
              <w:jc w:val="right"/>
            </w:pPr>
            <w:r/>
            <w:r>
              <w:rPr>
                <w:rFonts w:ascii="맑은 고딕" w:hAnsi="맑은 고딕" w:eastAsia="맑은 고딕"/>
                <w:b w:val="0"/>
                <w:sz w:val="17"/>
              </w:rPr>
              <w:t>$77.4십억</w:t>
            </w:r>
          </w:p>
        </w:tc>
      </w:tr>
      <w:tr>
        <w:tc>
          <w:tcPr>
            <w:tcW w:type="dxa" w:w="4968"/>
          </w:tcPr>
          <w:p>
            <w:pPr>
              <w:spacing w:after="20" w:before="20"/>
              <w:jc w:val="left"/>
            </w:pPr>
            <w:r/>
            <w:r>
              <w:rPr>
                <w:rFonts w:ascii="맑은 고딕" w:hAnsi="맑은 고딕" w:eastAsia="맑은 고딕"/>
                <w:b w:val="0"/>
                <w:sz w:val="17"/>
              </w:rPr>
              <w:t>산출 방식</w:t>
            </w:r>
          </w:p>
        </w:tc>
        <w:tc>
          <w:tcPr>
            <w:tcW w:type="dxa" w:w="4968"/>
          </w:tcPr>
          <w:p>
            <w:pPr>
              <w:spacing w:after="20" w:before="20"/>
              <w:jc w:val="right"/>
            </w:pPr>
            <w:r/>
            <w:r>
              <w:rPr>
                <w:rFonts w:ascii="맑은 고딕" w:hAnsi="맑은 고딕" w:eastAsia="맑은 고딕"/>
                <w:b w:val="0"/>
                <w:sz w:val="17"/>
              </w:rPr>
              <w:t>DCF 55% ($193) + 비교기업 45% ($265)</w:t>
            </w:r>
          </w:p>
        </w:tc>
      </w:tr>
    </w:tbl>
    <w:p>
      <w:pPr>
        <w:spacing w:after="40"/>
      </w:pPr>
    </w:p>
    <w:p>
      <w:pPr>
        <w:spacing w:after="120"/>
      </w:pPr>
      <w:r>
        <w:rPr>
          <w:rFonts w:ascii="맑은 고딕" w:hAnsi="맑은 고딕" w:eastAsia="맑은 고딕"/>
          <w:i w:val="0"/>
          <w:sz w:val="21"/>
        </w:rPr>
        <w:t>---</w:t>
      </w:r>
    </w:p>
    <w:p>
      <w:pPr>
        <w:spacing w:before="160" w:after="80"/>
      </w:pPr>
      <w:r>
        <w:rPr>
          <w:rFonts w:ascii="맑은 고딕" w:hAnsi="맑은 고딕" w:eastAsia="맑은 고딕"/>
          <w:b/>
          <w:color w:val="1A1A1A"/>
          <w:sz w:val="25"/>
        </w:rPr>
        <w:t>핵심 요약</w:t>
      </w:r>
    </w:p>
    <w:p>
      <w:pPr>
        <w:spacing w:after="120"/>
      </w:pPr>
      <w:r>
        <w:rPr>
          <w:rFonts w:ascii="맑은 고딕" w:hAnsi="맑은 고딕" w:eastAsia="맑은 고딕"/>
          <w:i w:val="0"/>
          <w:sz w:val="21"/>
        </w:rPr>
        <w:t>본 분석은 Alphabet Inc.의 적정가치를 현금흐름할인법(DCF)과 비교기업분석(Comps)의 가중평균으로 산출하였으며, 결론적으로 목표주가 $225, 투자의견 매도(SELL)를 제시한다. 이는 기준주가 $354.46 대비 36.4%의 하락위험을 시사한다.</w:t>
      </w:r>
    </w:p>
    <w:p>
      <w:pPr>
        <w:spacing w:after="120"/>
      </w:pPr>
      <w:r>
        <w:rPr>
          <w:rFonts w:ascii="맑은 고딕" w:hAnsi="맑은 고딕" w:eastAsia="맑은 고딕"/>
          <w:i w:val="0"/>
          <w:sz w:val="21"/>
        </w:rPr>
        <w:t>두 방법론은 모두 현재 주가보다 낮은 가치를 지목한다. DCF는 주당 $192.76(−45.6%)을, 비교기업분석은 주당 $265를 제시하며, 각각 55%와 45%의 가중치를 부여하여 최종 $225를 도출하였다. 두 접근법이 서로 다른 논리 구조에도 불구하고 동일한 방향의 결론에 수렴한다는 점은 본 판단의 강건성을 일정 부분 뒷받침한다.</w:t>
      </w:r>
    </w:p>
    <w:p>
      <w:pPr>
        <w:spacing w:after="120"/>
      </w:pPr>
      <w:r>
        <w:rPr>
          <w:rFonts w:ascii="맑은 고딕" w:hAnsi="맑은 고딕" w:eastAsia="맑은 고딕"/>
          <w:i w:val="0"/>
          <w:sz w:val="21"/>
        </w:rPr>
        <w:t>본 평가의 근저에는 세 가지 관찰이 있다. 첫째, 현재 주가는 DCF 프레임 하에서 영구성장률 6.26% 또는 자본비용 6.54%를 요구하는데, 이는 장기 명목 GDP 성장률 및 현행 무위험수익률 수준에 비추어 공격적이다. 둘째, 동사의 선행 P/E 25.3배와 EV/EBITDA 18.9배는 8개 대형 기술 피어의 중앙값(각각 17.9배, 14.8배)을 명백히 상회하는 프리미엄 구간에 위치한다. 셋째, 밸류에이션의 기반이 되는 FY2025 순이익 $132.2십억에는 지분투자 평가익 약 $29.8십억이 포함되어 있어, 정상화 기준 수익력은 표면 수치보다 낮다.</w:t>
      </w:r>
    </w:p>
    <w:p>
      <w:pPr>
        <w:spacing w:after="120"/>
      </w:pPr>
      <w:r>
        <w:rPr>
          <w:rFonts w:ascii="맑은 고딕" w:hAnsi="맑은 고딕" w:eastAsia="맑은 고딕"/>
          <w:i w:val="0"/>
          <w:sz w:val="21"/>
        </w:rPr>
        <w:t>동시에 본 보고서는 셀사이드 컨센서스 목표주가가 약 $410 수준으로 본 모델과 큰 괴리를 보인다는 사실을 명시한다. 이 괴리의 구조와, 본 모델이 틀릴 수 있는 경로를 후술 섹션에서 상세히 다룬다.</w:t>
      </w:r>
    </w:p>
    <w:p>
      <w:pPr>
        <w:spacing w:after="120"/>
      </w:pPr>
      <w:r>
        <w:rPr>
          <w:rFonts w:ascii="맑은 고딕" w:hAnsi="맑은 고딕" w:eastAsia="맑은 고딕"/>
          <w:i w:val="0"/>
          <w:sz w:val="21"/>
        </w:rPr>
        <w:t>---</w:t>
      </w:r>
    </w:p>
    <w:p>
      <w:pPr>
        <w:spacing w:before="160" w:after="80"/>
      </w:pPr>
      <w:r>
        <w:rPr>
          <w:rFonts w:ascii="맑은 고딕" w:hAnsi="맑은 고딕" w:eastAsia="맑은 고딕"/>
          <w:b/>
          <w:color w:val="1A1A1A"/>
          <w:sz w:val="25"/>
        </w:rPr>
        <w:t>DCF 분석</w:t>
      </w:r>
    </w:p>
    <w:p>
      <w:pPr>
        <w:spacing w:before="160" w:after="80"/>
      </w:pPr>
      <w:r>
        <w:rPr>
          <w:rFonts w:ascii="맑은 고딕" w:hAnsi="맑은 고딕" w:eastAsia="맑은 고딕"/>
          <w:b/>
          <w:color w:val="1A1A1A"/>
          <w:sz w:val="22"/>
        </w:rPr>
        <w:t>할인율 산정</w:t>
      </w:r>
    </w:p>
    <w:p>
      <w:pPr>
        <w:spacing w:after="120"/>
      </w:pPr>
      <w:r>
        <w:rPr>
          <w:rFonts w:ascii="맑은 고딕" w:hAnsi="맑은 고딕" w:eastAsia="맑은 고딕"/>
          <w:i w:val="0"/>
          <w:sz w:val="21"/>
        </w:rPr>
        <w:t>자기자본비용은 자본자산가격결정모형(CAPM)에 따라 다음과 같이 산출하였다.</w:t>
      </w:r>
    </w:p>
    <w:p>
      <w:pPr>
        <w:spacing w:after="120"/>
      </w:pPr>
      <w:r>
        <w:rPr>
          <w:rFonts w:ascii="맑은 고딕" w:hAnsi="맑은 고딕" w:eastAsia="맑은 고딕"/>
          <w:i w:val="0"/>
          <w:sz w:val="21"/>
        </w:rPr>
        <w:t xml:space="preserve">&gt; 자기자본비용 = 무위험수익률 4.3% + 베타 1.05 × 시장위험프리미엄 5.0% = </w:t>
      </w:r>
      <w:r>
        <w:rPr>
          <w:rFonts w:ascii="맑은 고딕" w:hAnsi="맑은 고딕" w:eastAsia="맑은 고딕"/>
          <w:b/>
          <w:i w:val="0"/>
          <w:sz w:val="21"/>
        </w:rPr>
        <w:t>9.55%</w:t>
      </w:r>
    </w:p>
    <w:p>
      <w:pPr>
        <w:spacing w:after="120"/>
      </w:pPr>
      <w:r>
        <w:rPr>
          <w:rFonts w:ascii="맑은 고딕" w:hAnsi="맑은 고딕" w:eastAsia="맑은 고딕"/>
          <w:i w:val="0"/>
          <w:sz w:val="21"/>
        </w:rPr>
        <w:t xml:space="preserve">동사의 자본구조는 자기자본 비중이 98%에 달하는 사실상 무차입 구조이므로, 가중평균자본비용(WACC)은 자기자본비용에 근접한 </w:t>
      </w:r>
      <w:r>
        <w:rPr>
          <w:rFonts w:ascii="맑은 고딕" w:hAnsi="맑은 고딕" w:eastAsia="맑은 고딕"/>
          <w:b/>
          <w:i w:val="0"/>
          <w:sz w:val="21"/>
        </w:rPr>
        <w:t>9.42%</w:t>
      </w:r>
      <w:r>
        <w:rPr>
          <w:rFonts w:ascii="맑은 고딕" w:hAnsi="맑은 고딕" w:eastAsia="맑은 고딕"/>
          <w:i w:val="0"/>
          <w:sz w:val="21"/>
        </w:rPr>
        <w:t>로 산정되었다. 베타 1.05는 시장 대비 소폭 높은 체계적 위험을 반영한 값이며, 무위험수익률 4.3%는 현행 장기 국채 수익률 환경을 준용한 것이다.</w:t>
      </w:r>
    </w:p>
    <w:p>
      <w:pPr>
        <w:spacing w:before="160" w:after="80"/>
      </w:pPr>
      <w:r>
        <w:rPr>
          <w:rFonts w:ascii="맑은 고딕" w:hAnsi="맑은 고딕" w:eastAsia="맑은 고딕"/>
          <w:b/>
          <w:color w:val="1A1A1A"/>
          <w:sz w:val="22"/>
        </w:rPr>
        <w:t>현금흐름 추정</w:t>
      </w:r>
    </w:p>
    <w:p>
      <w:pPr>
        <w:spacing w:after="120"/>
      </w:pPr>
      <w:r>
        <w:rPr>
          <w:rFonts w:ascii="맑은 고딕" w:hAnsi="맑은 고딕" w:eastAsia="맑은 고딕"/>
          <w:i w:val="0"/>
          <w:sz w:val="21"/>
        </w:rPr>
        <w:t>기본 시나리오의 무차입 잉여현금흐름(Unlevered FCF) 추정치는 다음과 같다.</w:t>
      </w:r>
    </w:p>
    <w:tbl>
      <w:tblPr>
        <w:tblStyle w:val="LightGrid-Accent1"/>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fill="1F3864"/>
          </w:tcPr>
          <w:p>
            <w:pPr>
              <w:spacing w:after="20" w:before="20"/>
              <w:jc w:val="left"/>
            </w:pPr>
            <w:r/>
            <w:r>
              <w:rPr>
                <w:rFonts w:ascii="맑은 고딕" w:hAnsi="맑은 고딕" w:eastAsia="맑은 고딕"/>
                <w:b/>
                <w:color w:val="FFFFFF"/>
                <w:sz w:val="17"/>
              </w:rPr>
              <w:t>회계연도</w:t>
            </w:r>
          </w:p>
        </w:tc>
        <w:tc>
          <w:tcPr>
            <w:tcW w:type="dxa" w:w="1656"/>
            <w:shd w:fill="1F3864"/>
          </w:tcPr>
          <w:p>
            <w:pPr>
              <w:spacing w:after="20" w:before="20"/>
              <w:jc w:val="right"/>
            </w:pPr>
            <w:r/>
            <w:r>
              <w:rPr>
                <w:rFonts w:ascii="맑은 고딕" w:hAnsi="맑은 고딕" w:eastAsia="맑은 고딕"/>
                <w:b/>
                <w:color w:val="FFFFFF"/>
                <w:sz w:val="17"/>
              </w:rPr>
              <w:t>FY2026E</w:t>
            </w:r>
          </w:p>
        </w:tc>
        <w:tc>
          <w:tcPr>
            <w:tcW w:type="dxa" w:w="1656"/>
            <w:shd w:fill="1F3864"/>
          </w:tcPr>
          <w:p>
            <w:pPr>
              <w:spacing w:after="20" w:before="20"/>
              <w:jc w:val="right"/>
            </w:pPr>
            <w:r/>
            <w:r>
              <w:rPr>
                <w:rFonts w:ascii="맑은 고딕" w:hAnsi="맑은 고딕" w:eastAsia="맑은 고딕"/>
                <w:b/>
                <w:color w:val="FFFFFF"/>
                <w:sz w:val="17"/>
              </w:rPr>
              <w:t>FY2027E</w:t>
            </w:r>
          </w:p>
        </w:tc>
        <w:tc>
          <w:tcPr>
            <w:tcW w:type="dxa" w:w="1656"/>
            <w:shd w:fill="1F3864"/>
          </w:tcPr>
          <w:p>
            <w:pPr>
              <w:spacing w:after="20" w:before="20"/>
              <w:jc w:val="right"/>
            </w:pPr>
            <w:r/>
            <w:r>
              <w:rPr>
                <w:rFonts w:ascii="맑은 고딕" w:hAnsi="맑은 고딕" w:eastAsia="맑은 고딕"/>
                <w:b/>
                <w:color w:val="FFFFFF"/>
                <w:sz w:val="17"/>
              </w:rPr>
              <w:t>FY2028E</w:t>
            </w:r>
          </w:p>
        </w:tc>
        <w:tc>
          <w:tcPr>
            <w:tcW w:type="dxa" w:w="1656"/>
            <w:shd w:fill="1F3864"/>
          </w:tcPr>
          <w:p>
            <w:pPr>
              <w:spacing w:after="20" w:before="20"/>
              <w:jc w:val="right"/>
            </w:pPr>
            <w:r/>
            <w:r>
              <w:rPr>
                <w:rFonts w:ascii="맑은 고딕" w:hAnsi="맑은 고딕" w:eastAsia="맑은 고딕"/>
                <w:b/>
                <w:color w:val="FFFFFF"/>
                <w:sz w:val="17"/>
              </w:rPr>
              <w:t>FY2029E</w:t>
            </w:r>
          </w:p>
        </w:tc>
        <w:tc>
          <w:tcPr>
            <w:tcW w:type="dxa" w:w="1656"/>
            <w:shd w:fill="1F3864"/>
          </w:tcPr>
          <w:p>
            <w:pPr>
              <w:spacing w:after="20" w:before="20"/>
              <w:jc w:val="right"/>
            </w:pPr>
            <w:r/>
            <w:r>
              <w:rPr>
                <w:rFonts w:ascii="맑은 고딕" w:hAnsi="맑은 고딕" w:eastAsia="맑은 고딕"/>
                <w:b/>
                <w:color w:val="FFFFFF"/>
                <w:sz w:val="17"/>
              </w:rPr>
              <w:t>FY2030E</w:t>
            </w:r>
          </w:p>
        </w:tc>
      </w:tr>
      <w:tr>
        <w:tc>
          <w:tcPr>
            <w:tcW w:type="dxa" w:w="1656"/>
          </w:tcPr>
          <w:p>
            <w:pPr>
              <w:spacing w:after="20" w:before="20"/>
              <w:jc w:val="left"/>
            </w:pPr>
            <w:r/>
            <w:r>
              <w:rPr>
                <w:rFonts w:ascii="맑은 고딕" w:hAnsi="맑은 고딕" w:eastAsia="맑은 고딕"/>
                <w:b w:val="0"/>
                <w:sz w:val="17"/>
              </w:rPr>
              <w:t>무차입 FCF ($M)</w:t>
            </w:r>
          </w:p>
        </w:tc>
        <w:tc>
          <w:tcPr>
            <w:tcW w:type="dxa" w:w="1656"/>
          </w:tcPr>
          <w:p>
            <w:pPr>
              <w:spacing w:after="20" w:before="20"/>
              <w:jc w:val="right"/>
            </w:pPr>
            <w:r/>
            <w:r>
              <w:rPr>
                <w:rFonts w:ascii="맑은 고딕" w:hAnsi="맑은 고딕" w:eastAsia="맑은 고딕"/>
                <w:b w:val="0"/>
                <w:sz w:val="17"/>
              </w:rPr>
              <w:t>77,371</w:t>
            </w:r>
          </w:p>
        </w:tc>
        <w:tc>
          <w:tcPr>
            <w:tcW w:type="dxa" w:w="1656"/>
          </w:tcPr>
          <w:p>
            <w:pPr>
              <w:spacing w:after="20" w:before="20"/>
              <w:jc w:val="right"/>
            </w:pPr>
            <w:r/>
            <w:r>
              <w:rPr>
                <w:rFonts w:ascii="맑은 고딕" w:hAnsi="맑은 고딕" w:eastAsia="맑은 고딕"/>
                <w:b w:val="0"/>
                <w:sz w:val="17"/>
              </w:rPr>
              <w:t>100,635</w:t>
            </w:r>
          </w:p>
        </w:tc>
        <w:tc>
          <w:tcPr>
            <w:tcW w:type="dxa" w:w="1656"/>
          </w:tcPr>
          <w:p>
            <w:pPr>
              <w:spacing w:after="20" w:before="20"/>
              <w:jc w:val="right"/>
            </w:pPr>
            <w:r/>
            <w:r>
              <w:rPr>
                <w:rFonts w:ascii="맑은 고딕" w:hAnsi="맑은 고딕" w:eastAsia="맑은 고딕"/>
                <w:b w:val="0"/>
                <w:sz w:val="17"/>
              </w:rPr>
              <w:t>126,534</w:t>
            </w:r>
          </w:p>
        </w:tc>
        <w:tc>
          <w:tcPr>
            <w:tcW w:type="dxa" w:w="1656"/>
          </w:tcPr>
          <w:p>
            <w:pPr>
              <w:spacing w:after="20" w:before="20"/>
              <w:jc w:val="right"/>
            </w:pPr>
            <w:r/>
            <w:r>
              <w:rPr>
                <w:rFonts w:ascii="맑은 고딕" w:hAnsi="맑은 고딕" w:eastAsia="맑은 고딕"/>
                <w:b w:val="0"/>
                <w:sz w:val="17"/>
              </w:rPr>
              <w:t>152,969</w:t>
            </w:r>
          </w:p>
        </w:tc>
        <w:tc>
          <w:tcPr>
            <w:tcW w:type="dxa" w:w="1656"/>
          </w:tcPr>
          <w:p>
            <w:pPr>
              <w:spacing w:after="20" w:before="20"/>
              <w:jc w:val="right"/>
            </w:pPr>
            <w:r/>
            <w:r>
              <w:rPr>
                <w:rFonts w:ascii="맑은 고딕" w:hAnsi="맑은 고딕" w:eastAsia="맑은 고딕"/>
                <w:b w:val="0"/>
                <w:sz w:val="17"/>
              </w:rPr>
              <w:t>176,837</w:t>
            </w:r>
          </w:p>
        </w:tc>
      </w:tr>
    </w:tbl>
    <w:p>
      <w:pPr>
        <w:spacing w:after="40"/>
      </w:pPr>
    </w:p>
    <w:p>
      <w:pPr>
        <w:spacing w:after="120"/>
      </w:pPr>
      <w:r>
        <w:rPr>
          <w:rFonts w:ascii="맑은 고딕" w:hAnsi="맑은 고딕" w:eastAsia="맑은 고딕"/>
          <w:i w:val="0"/>
          <w:sz w:val="21"/>
        </w:rPr>
        <w:t>5년간 FCF는 $77.4십억에서 $176.8십억으로 확대되며, 이는 매출 성장과 설비투자 부담 완화의 결합 효과를 반영한다. 매출은 FY2025 $402.8십억에서 FY2026E $483.5십억(+20%)을 거쳐 FY2030E $823.9십억에 이르는 것으로 가정하였으며, 5년 연평균 성장률(CAGR)은 15.4%이다. 주당순이익(EPS)은 $10.81에서 FY2026E $11.61, FY2030E $22.05로 추정된다.</w:t>
      </w:r>
    </w:p>
    <w:p>
      <w:pPr>
        <w:spacing w:before="160" w:after="80"/>
      </w:pPr>
      <w:r>
        <w:rPr>
          <w:rFonts w:ascii="맑은 고딕" w:hAnsi="맑은 고딕" w:eastAsia="맑은 고딕"/>
          <w:b/>
          <w:color w:val="1A1A1A"/>
          <w:sz w:val="22"/>
        </w:rPr>
        <w:t>설비투자 가정 — 리스크 방향의 명시</w:t>
      </w:r>
    </w:p>
    <w:p>
      <w:pPr>
        <w:spacing w:after="120"/>
      </w:pPr>
      <w:r>
        <w:rPr>
          <w:rFonts w:ascii="맑은 고딕" w:hAnsi="맑은 고딕" w:eastAsia="맑은 고딕"/>
          <w:i w:val="0"/>
          <w:sz w:val="21"/>
        </w:rPr>
        <w:t xml:space="preserve">본 모델은 매출 대비 설비투자 비율이 FY2026E 17%에서 FY2030E 13.5%로 완만히 하락하는 것을 전제한다. 그러나 </w:t>
      </w:r>
      <w:r>
        <w:rPr>
          <w:rFonts w:ascii="맑은 고딕" w:hAnsi="맑은 고딕" w:eastAsia="맑은 고딕"/>
          <w:b/>
          <w:i w:val="0"/>
          <w:sz w:val="21"/>
        </w:rPr>
        <w:t>FY2025 실제 비율은 22.7%</w:t>
      </w:r>
      <w:r>
        <w:rPr>
          <w:rFonts w:ascii="맑은 고딕" w:hAnsi="맑은 고딕" w:eastAsia="맑은 고딕"/>
          <w:i w:val="0"/>
          <w:sz w:val="21"/>
        </w:rPr>
        <w:t xml:space="preserve">였다. 즉 본 추정은 AI 인프라 투자 사이클이 향후 5년간 점진적으로 정상화된다는 낙관적 가정을 이미 내포하고 있다. 만약 CapEx가 현 수준에서 고착화되거나 추가로 확대될 경우, 잉여현금흐름과 이에 연동된 목표주가는 본 산출값보다 </w:t>
      </w:r>
      <w:r>
        <w:rPr>
          <w:rFonts w:ascii="맑은 고딕" w:hAnsi="맑은 고딕" w:eastAsia="맑은 고딕"/>
          <w:b/>
          <w:i w:val="0"/>
          <w:sz w:val="21"/>
        </w:rPr>
        <w:t>더 낮아진다</w:t>
      </w:r>
      <w:r>
        <w:rPr>
          <w:rFonts w:ascii="맑은 고딕" w:hAnsi="맑은 고딕" w:eastAsia="맑은 고딕"/>
          <w:i w:val="0"/>
          <w:sz w:val="21"/>
        </w:rPr>
        <w:t>. 이 점에서 본 모델의 설비투자 가정은 하방이 아니라 상방에 치우쳐 있으며, 목표주가 $225는 이미 관대한 전제 위에서 도출된 수치임을 강조한다.</w:t>
      </w:r>
    </w:p>
    <w:p>
      <w:pPr>
        <w:spacing w:before="160" w:after="80"/>
      </w:pPr>
      <w:r>
        <w:rPr>
          <w:rFonts w:ascii="맑은 고딕" w:hAnsi="맑은 고딕" w:eastAsia="맑은 고딕"/>
          <w:b/>
          <w:color w:val="1A1A1A"/>
          <w:sz w:val="22"/>
        </w:rPr>
        <w:t>가치 산출</w:t>
      </w:r>
    </w:p>
    <w:p>
      <w:pPr>
        <w:spacing w:after="120"/>
      </w:pPr>
      <w:r>
        <w:rPr>
          <w:rFonts w:ascii="맑은 고딕" w:hAnsi="맑은 고딕" w:eastAsia="맑은 고딕"/>
          <w:i w:val="0"/>
          <w:sz w:val="21"/>
        </w:rPr>
        <w:t xml:space="preserve">영구성장률 3.0%를 적용한 결과 기업가치(EV)는 약 $2.30조, 순현금 $77.4십억을 가산한 자기자본가치는 약 $2.37조이며, 희석주식수 12,230백만주로 나눈 주당 가치는 </w:t>
      </w:r>
      <w:r>
        <w:rPr>
          <w:rFonts w:ascii="맑은 고딕" w:hAnsi="맑은 고딕" w:eastAsia="맑은 고딕"/>
          <w:b/>
          <w:i w:val="0"/>
          <w:sz w:val="21"/>
        </w:rPr>
        <w:t>$192.76</w:t>
      </w:r>
      <w:r>
        <w:rPr>
          <w:rFonts w:ascii="맑은 고딕" w:hAnsi="맑은 고딕" w:eastAsia="맑은 고딕"/>
          <w:i w:val="0"/>
          <w:sz w:val="21"/>
        </w:rPr>
        <w:t xml:space="preserve">이다. 이는 현재주가 대비 </w:t>
      </w:r>
      <w:r>
        <w:rPr>
          <w:rFonts w:ascii="맑은 고딕" w:hAnsi="맑은 고딕" w:eastAsia="맑은 고딕"/>
          <w:b/>
          <w:i w:val="0"/>
          <w:sz w:val="21"/>
        </w:rPr>
        <w:t>−45.6%</w:t>
      </w:r>
      <w:r>
        <w:rPr>
          <w:rFonts w:ascii="맑은 고딕" w:hAnsi="맑은 고딕" w:eastAsia="맑은 고딕"/>
          <w:i w:val="0"/>
          <w:sz w:val="21"/>
        </w:rPr>
        <w:t xml:space="preserve"> 수준이다.</w:t>
      </w:r>
    </w:p>
    <w:p>
      <w:pPr>
        <w:spacing w:before="160" w:after="80"/>
      </w:pPr>
      <w:r>
        <w:rPr>
          <w:rFonts w:ascii="맑은 고딕" w:hAnsi="맑은 고딕" w:eastAsia="맑은 고딕"/>
          <w:b/>
          <w:color w:val="1A1A1A"/>
          <w:sz w:val="22"/>
        </w:rPr>
        <w:t>구조적 한계 — 영구가치 의존도</w:t>
      </w:r>
    </w:p>
    <w:p>
      <w:pPr>
        <w:spacing w:after="120"/>
      </w:pPr>
      <w:r>
        <w:rPr>
          <w:rFonts w:ascii="맑은 고딕" w:hAnsi="맑은 고딕" w:eastAsia="맑은 고딕"/>
          <w:i w:val="0"/>
          <w:sz w:val="21"/>
        </w:rPr>
        <w:t xml:space="preserve">본 DCF의 가장 중요한 한계는 </w:t>
      </w:r>
      <w:r>
        <w:rPr>
          <w:rFonts w:ascii="맑은 고딕" w:hAnsi="맑은 고딕" w:eastAsia="맑은 고딕"/>
          <w:b/>
          <w:i w:val="0"/>
          <w:sz w:val="21"/>
        </w:rPr>
        <w:t>영구가치(Terminal Value)가 기업가치의 79.3%를 차지</w:t>
      </w:r>
      <w:r>
        <w:rPr>
          <w:rFonts w:ascii="맑은 고딕" w:hAnsi="맑은 고딕" w:eastAsia="맑은 고딕"/>
          <w:i w:val="0"/>
          <w:sz w:val="21"/>
        </w:rPr>
        <w:t>한다는 사실이다. 즉 산출된 가치의 5분의 4가 명시적 추정기간(FY2026E~FY2030E) 이후의 가정에서 발생한다. 이는 성장 기업 DCF의 통상적 특성이기는 하나, 결과값이 영구성장률과 할인율이라는 두 개의 미검증 파라미터에 극도로 민감함을 의미한다. 따라서 DCF 단독 결론은 신중히 해석되어야 하며, 본 보고서가 비교기업분석에 45%의 실질적 가중치를 부여한 이유도 여기에 있다.</w:t>
      </w:r>
    </w:p>
    <w:p>
      <w:pPr>
        <w:spacing w:after="120"/>
      </w:pPr>
      <w:r>
        <w:rPr>
          <w:rFonts w:ascii="맑은 고딕" w:hAnsi="맑은 고딕" w:eastAsia="맑은 고딕"/>
          <w:i w:val="0"/>
          <w:sz w:val="21"/>
        </w:rPr>
        <w:t>---</w:t>
      </w:r>
    </w:p>
    <w:p>
      <w:pPr>
        <w:spacing w:before="160" w:after="80"/>
      </w:pPr>
      <w:r>
        <w:rPr>
          <w:rFonts w:ascii="맑은 고딕" w:hAnsi="맑은 고딕" w:eastAsia="맑은 고딕"/>
          <w:b/>
          <w:color w:val="1A1A1A"/>
          <w:sz w:val="25"/>
        </w:rPr>
        <w:t>민감도 및 역산</w:t>
      </w:r>
    </w:p>
    <w:p>
      <w:pPr>
        <w:spacing w:before="160" w:after="80"/>
      </w:pPr>
      <w:r>
        <w:rPr>
          <w:rFonts w:ascii="맑은 고딕" w:hAnsi="맑은 고딕" w:eastAsia="맑은 고딕"/>
          <w:b/>
          <w:color w:val="1A1A1A"/>
          <w:sz w:val="22"/>
        </w:rPr>
        <w:t>민감도 분석</w:t>
      </w:r>
    </w:p>
    <w:p>
      <w:pPr>
        <w:spacing w:after="120"/>
      </w:pPr>
      <w:r>
        <w:rPr>
          <w:rFonts w:ascii="맑은 고딕" w:hAnsi="맑은 고딕" w:eastAsia="맑은 고딕"/>
          <w:i w:val="0"/>
          <w:sz w:val="21"/>
        </w:rPr>
        <w:t>WACC와 영구성장률의 조합에 따른 주당가치는 다음과 같이 변동한다.</w:t>
      </w:r>
    </w:p>
    <w:tbl>
      <w:tblPr>
        <w:tblStyle w:val="LightGrid-Accent1"/>
        <w:tblW w:type="auto" w:w="0"/>
        <w:tblLayout w:type="autofit"/>
        <w:tblLook w:firstColumn="1" w:firstRow="1" w:lastColumn="0" w:lastRow="0" w:noHBand="0" w:noVBand="1" w:val="04A0"/>
      </w:tblPr>
      <w:tblGrid>
        <w:gridCol w:w="2484"/>
        <w:gridCol w:w="2484"/>
        <w:gridCol w:w="2484"/>
        <w:gridCol w:w="2484"/>
      </w:tblGrid>
      <w:tr>
        <w:tc>
          <w:tcPr>
            <w:tcW w:type="dxa" w:w="2484"/>
            <w:shd w:fill="1F3864"/>
          </w:tcPr>
          <w:p>
            <w:pPr>
              <w:spacing w:after="20" w:before="20"/>
              <w:jc w:val="left"/>
            </w:pPr>
            <w:r/>
            <w:r>
              <w:rPr>
                <w:rFonts w:ascii="맑은 고딕" w:hAnsi="맑은 고딕" w:eastAsia="맑은 고딕"/>
                <w:b/>
                <w:color w:val="FFFFFF"/>
                <w:sz w:val="17"/>
              </w:rPr>
              <w:t>시나리오</w:t>
            </w:r>
          </w:p>
        </w:tc>
        <w:tc>
          <w:tcPr>
            <w:tcW w:type="dxa" w:w="2484"/>
            <w:shd w:fill="1F3864"/>
          </w:tcPr>
          <w:p>
            <w:pPr>
              <w:spacing w:after="20" w:before="20"/>
              <w:jc w:val="right"/>
            </w:pPr>
            <w:r/>
            <w:r>
              <w:rPr>
                <w:rFonts w:ascii="맑은 고딕" w:hAnsi="맑은 고딕" w:eastAsia="맑은 고딕"/>
                <w:b/>
                <w:color w:val="FFFFFF"/>
                <w:sz w:val="17"/>
              </w:rPr>
              <w:t>WACC</w:t>
            </w:r>
          </w:p>
        </w:tc>
        <w:tc>
          <w:tcPr>
            <w:tcW w:type="dxa" w:w="2484"/>
            <w:shd w:fill="1F3864"/>
          </w:tcPr>
          <w:p>
            <w:pPr>
              <w:spacing w:after="20" w:before="20"/>
              <w:jc w:val="right"/>
            </w:pPr>
            <w:r/>
            <w:r>
              <w:rPr>
                <w:rFonts w:ascii="맑은 고딕" w:hAnsi="맑은 고딕" w:eastAsia="맑은 고딕"/>
                <w:b/>
                <w:color w:val="FFFFFF"/>
                <w:sz w:val="17"/>
              </w:rPr>
              <w:t>영구성장률</w:t>
            </w:r>
          </w:p>
        </w:tc>
        <w:tc>
          <w:tcPr>
            <w:tcW w:type="dxa" w:w="2484"/>
            <w:shd w:fill="1F3864"/>
          </w:tcPr>
          <w:p>
            <w:pPr>
              <w:spacing w:after="20" w:before="20"/>
              <w:jc w:val="right"/>
            </w:pPr>
            <w:r/>
            <w:r>
              <w:rPr>
                <w:rFonts w:ascii="맑은 고딕" w:hAnsi="맑은 고딕" w:eastAsia="맑은 고딕"/>
                <w:b/>
                <w:color w:val="FFFFFF"/>
                <w:sz w:val="17"/>
              </w:rPr>
              <w:t>주당가치</w:t>
            </w:r>
          </w:p>
        </w:tc>
      </w:tr>
      <w:tr>
        <w:tc>
          <w:tcPr>
            <w:tcW w:type="dxa" w:w="2484"/>
          </w:tcPr>
          <w:p>
            <w:pPr>
              <w:spacing w:after="20" w:before="20"/>
              <w:jc w:val="left"/>
            </w:pPr>
            <w:r/>
            <w:r>
              <w:rPr>
                <w:rFonts w:ascii="맑은 고딕" w:hAnsi="맑은 고딕" w:eastAsia="맑은 고딕"/>
                <w:b w:val="0"/>
                <w:sz w:val="17"/>
              </w:rPr>
              <w:t>보수적</w:t>
            </w:r>
          </w:p>
        </w:tc>
        <w:tc>
          <w:tcPr>
            <w:tcW w:type="dxa" w:w="2484"/>
          </w:tcPr>
          <w:p>
            <w:pPr>
              <w:spacing w:after="20" w:before="20"/>
              <w:jc w:val="right"/>
            </w:pPr>
            <w:r/>
            <w:r>
              <w:rPr>
                <w:rFonts w:ascii="맑은 고딕" w:hAnsi="맑은 고딕" w:eastAsia="맑은 고딕"/>
                <w:b w:val="0"/>
                <w:sz w:val="17"/>
              </w:rPr>
              <w:t>11.0%</w:t>
            </w:r>
          </w:p>
        </w:tc>
        <w:tc>
          <w:tcPr>
            <w:tcW w:type="dxa" w:w="2484"/>
          </w:tcPr>
          <w:p>
            <w:pPr>
              <w:spacing w:after="20" w:before="20"/>
              <w:jc w:val="right"/>
            </w:pPr>
            <w:r/>
            <w:r>
              <w:rPr>
                <w:rFonts w:ascii="맑은 고딕" w:hAnsi="맑은 고딕" w:eastAsia="맑은 고딕"/>
                <w:b w:val="0"/>
                <w:sz w:val="17"/>
              </w:rPr>
              <w:t>2.5%</w:t>
            </w:r>
          </w:p>
        </w:tc>
        <w:tc>
          <w:tcPr>
            <w:tcW w:type="dxa" w:w="2484"/>
          </w:tcPr>
          <w:p>
            <w:pPr>
              <w:spacing w:after="20" w:before="20"/>
              <w:jc w:val="right"/>
            </w:pPr>
            <w:r/>
            <w:r>
              <w:rPr>
                <w:rFonts w:ascii="맑은 고딕" w:hAnsi="맑은 고딕" w:eastAsia="맑은 고딕"/>
                <w:b w:val="0"/>
                <w:sz w:val="17"/>
              </w:rPr>
              <w:t>$147</w:t>
            </w:r>
          </w:p>
        </w:tc>
      </w:tr>
      <w:tr>
        <w:tc>
          <w:tcPr>
            <w:tcW w:type="dxa" w:w="2484"/>
          </w:tcPr>
          <w:p>
            <w:pPr>
              <w:spacing w:after="20" w:before="20"/>
              <w:jc w:val="left"/>
            </w:pPr>
            <w:r/>
            <w:r>
              <w:rPr>
                <w:rFonts w:ascii="맑은 고딕" w:hAnsi="맑은 고딕" w:eastAsia="맑은 고딕"/>
                <w:b w:val="0"/>
                <w:sz w:val="17"/>
              </w:rPr>
              <w:t>**기본**</w:t>
            </w:r>
          </w:p>
        </w:tc>
        <w:tc>
          <w:tcPr>
            <w:tcW w:type="dxa" w:w="2484"/>
          </w:tcPr>
          <w:p>
            <w:pPr>
              <w:spacing w:after="20" w:before="20"/>
              <w:jc w:val="right"/>
            </w:pPr>
            <w:r/>
            <w:r>
              <w:rPr>
                <w:rFonts w:ascii="맑은 고딕" w:hAnsi="맑은 고딕" w:eastAsia="맑은 고딕"/>
                <w:b w:val="0"/>
                <w:sz w:val="17"/>
              </w:rPr>
              <w:t>**9.42%**</w:t>
            </w:r>
          </w:p>
        </w:tc>
        <w:tc>
          <w:tcPr>
            <w:tcW w:type="dxa" w:w="2484"/>
          </w:tcPr>
          <w:p>
            <w:pPr>
              <w:spacing w:after="20" w:before="20"/>
              <w:jc w:val="right"/>
            </w:pPr>
            <w:r/>
            <w:r>
              <w:rPr>
                <w:rFonts w:ascii="맑은 고딕" w:hAnsi="맑은 고딕" w:eastAsia="맑은 고딕"/>
                <w:b w:val="0"/>
                <w:sz w:val="17"/>
              </w:rPr>
              <w:t>**3.0%**</w:t>
            </w:r>
          </w:p>
        </w:tc>
        <w:tc>
          <w:tcPr>
            <w:tcW w:type="dxa" w:w="2484"/>
          </w:tcPr>
          <w:p>
            <w:pPr>
              <w:spacing w:after="20" w:before="20"/>
              <w:jc w:val="right"/>
            </w:pPr>
            <w:r/>
            <w:r>
              <w:rPr>
                <w:rFonts w:ascii="맑은 고딕" w:hAnsi="맑은 고딕" w:eastAsia="맑은 고딕"/>
                <w:b w:val="0"/>
                <w:sz w:val="17"/>
              </w:rPr>
              <w:t>**$193**</w:t>
            </w:r>
          </w:p>
        </w:tc>
      </w:tr>
      <w:tr>
        <w:tc>
          <w:tcPr>
            <w:tcW w:type="dxa" w:w="2484"/>
          </w:tcPr>
          <w:p>
            <w:pPr>
              <w:spacing w:after="20" w:before="20"/>
              <w:jc w:val="left"/>
            </w:pPr>
            <w:r/>
            <w:r>
              <w:rPr>
                <w:rFonts w:ascii="맑은 고딕" w:hAnsi="맑은 고딕" w:eastAsia="맑은 고딕"/>
                <w:b w:val="0"/>
                <w:sz w:val="17"/>
              </w:rPr>
              <w:t>낙관적</w:t>
            </w:r>
          </w:p>
        </w:tc>
        <w:tc>
          <w:tcPr>
            <w:tcW w:type="dxa" w:w="2484"/>
          </w:tcPr>
          <w:p>
            <w:pPr>
              <w:spacing w:after="20" w:before="20"/>
              <w:jc w:val="right"/>
            </w:pPr>
            <w:r/>
            <w:r>
              <w:rPr>
                <w:rFonts w:ascii="맑은 고딕" w:hAnsi="맑은 고딕" w:eastAsia="맑은 고딕"/>
                <w:b w:val="0"/>
                <w:sz w:val="17"/>
              </w:rPr>
              <w:t>8.5%</w:t>
            </w:r>
          </w:p>
        </w:tc>
        <w:tc>
          <w:tcPr>
            <w:tcW w:type="dxa" w:w="2484"/>
          </w:tcPr>
          <w:p>
            <w:pPr>
              <w:spacing w:after="20" w:before="20"/>
              <w:jc w:val="right"/>
            </w:pPr>
            <w:r/>
            <w:r>
              <w:rPr>
                <w:rFonts w:ascii="맑은 고딕" w:hAnsi="맑은 고딕" w:eastAsia="맑은 고딕"/>
                <w:b w:val="0"/>
                <w:sz w:val="17"/>
              </w:rPr>
              <w:t>3.5%</w:t>
            </w:r>
          </w:p>
        </w:tc>
        <w:tc>
          <w:tcPr>
            <w:tcW w:type="dxa" w:w="2484"/>
          </w:tcPr>
          <w:p>
            <w:pPr>
              <w:spacing w:after="20" w:before="20"/>
              <w:jc w:val="right"/>
            </w:pPr>
            <w:r/>
            <w:r>
              <w:rPr>
                <w:rFonts w:ascii="맑은 고딕" w:hAnsi="맑은 고딕" w:eastAsia="맑은 고딕"/>
                <w:b w:val="0"/>
                <w:sz w:val="17"/>
              </w:rPr>
              <w:t>$245</w:t>
            </w:r>
          </w:p>
        </w:tc>
      </w:tr>
      <w:tr>
        <w:tc>
          <w:tcPr>
            <w:tcW w:type="dxa" w:w="2484"/>
          </w:tcPr>
          <w:p>
            <w:pPr>
              <w:spacing w:after="20" w:before="20"/>
              <w:jc w:val="left"/>
            </w:pPr>
            <w:r/>
            <w:r>
              <w:rPr>
                <w:rFonts w:ascii="맑은 고딕" w:hAnsi="맑은 고딕" w:eastAsia="맑은 고딕"/>
                <w:b w:val="0"/>
                <w:sz w:val="17"/>
              </w:rPr>
              <w:t>매우 낙관적</w:t>
            </w:r>
          </w:p>
        </w:tc>
        <w:tc>
          <w:tcPr>
            <w:tcW w:type="dxa" w:w="2484"/>
          </w:tcPr>
          <w:p>
            <w:pPr>
              <w:spacing w:after="20" w:before="20"/>
              <w:jc w:val="right"/>
            </w:pPr>
            <w:r/>
            <w:r>
              <w:rPr>
                <w:rFonts w:ascii="맑은 고딕" w:hAnsi="맑은 고딕" w:eastAsia="맑은 고딕"/>
                <w:b w:val="0"/>
                <w:sz w:val="17"/>
              </w:rPr>
              <w:t>7.5%</w:t>
            </w:r>
          </w:p>
        </w:tc>
        <w:tc>
          <w:tcPr>
            <w:tcW w:type="dxa" w:w="2484"/>
          </w:tcPr>
          <w:p>
            <w:pPr>
              <w:spacing w:after="20" w:before="20"/>
              <w:jc w:val="right"/>
            </w:pPr>
            <w:r/>
            <w:r>
              <w:rPr>
                <w:rFonts w:ascii="맑은 고딕" w:hAnsi="맑은 고딕" w:eastAsia="맑은 고딕"/>
                <w:b w:val="0"/>
                <w:sz w:val="17"/>
              </w:rPr>
              <w:t>4.0%</w:t>
            </w:r>
          </w:p>
        </w:tc>
        <w:tc>
          <w:tcPr>
            <w:tcW w:type="dxa" w:w="2484"/>
          </w:tcPr>
          <w:p>
            <w:pPr>
              <w:spacing w:after="20" w:before="20"/>
              <w:jc w:val="right"/>
            </w:pPr>
            <w:r/>
            <w:r>
              <w:rPr>
                <w:rFonts w:ascii="맑은 고딕" w:hAnsi="맑은 고딕" w:eastAsia="맑은 고딕"/>
                <w:b w:val="0"/>
                <w:sz w:val="17"/>
              </w:rPr>
              <w:t>$346</w:t>
            </w:r>
          </w:p>
        </w:tc>
      </w:tr>
    </w:tbl>
    <w:p>
      <w:pPr>
        <w:spacing w:after="40"/>
      </w:pPr>
    </w:p>
    <w:p>
      <w:pPr>
        <w:spacing w:after="120"/>
      </w:pPr>
      <w:r>
        <w:rPr>
          <w:rFonts w:ascii="맑은 고딕" w:hAnsi="맑은 고딕" w:eastAsia="맑은 고딕"/>
          <w:i w:val="0"/>
          <w:sz w:val="21"/>
        </w:rPr>
        <w:t xml:space="preserve">주목할 점은 가장 공격적인 시나리오(WACC 7.5%, g 4.0%)에서조차 산출값이 $346으로 현재주가 $354.46에 </w:t>
      </w:r>
      <w:r>
        <w:rPr>
          <w:rFonts w:ascii="맑은 고딕" w:hAnsi="맑은 고딕" w:eastAsia="맑은 고딕"/>
          <w:b/>
          <w:i w:val="0"/>
          <w:sz w:val="21"/>
        </w:rPr>
        <w:t>미달</w:t>
      </w:r>
      <w:r>
        <w:rPr>
          <w:rFonts w:ascii="맑은 고딕" w:hAnsi="맑은 고딕" w:eastAsia="맑은 고딕"/>
          <w:i w:val="0"/>
          <w:sz w:val="21"/>
        </w:rPr>
        <w:t>한다는 사실이다. 이는 현재 시장가격이 통상적 DCF 파라미터 범위 밖에 위치함을 시사한다.</w:t>
      </w:r>
    </w:p>
    <w:p>
      <w:pPr>
        <w:spacing w:before="160" w:after="80"/>
      </w:pPr>
      <w:r>
        <w:rPr>
          <w:rFonts w:ascii="맑은 고딕" w:hAnsi="맑은 고딕" w:eastAsia="맑은 고딕"/>
          <w:b/>
          <w:color w:val="1A1A1A"/>
          <w:sz w:val="22"/>
        </w:rPr>
        <w:t>역산 분석 (Reverse DCF)</w:t>
      </w:r>
    </w:p>
    <w:p>
      <w:pPr>
        <w:spacing w:after="120"/>
      </w:pPr>
      <w:r>
        <w:rPr>
          <w:rFonts w:ascii="맑은 고딕" w:hAnsi="맑은 고딕" w:eastAsia="맑은 고딕"/>
          <w:i w:val="0"/>
          <w:sz w:val="21"/>
        </w:rPr>
        <w:t>현재주가 $354.46을 정당화하기 위해 필요한 가정을 역산하면 다음과 같다.</w:t>
      </w:r>
    </w:p>
    <w:p>
      <w:pPr>
        <w:pStyle w:val="ListBullet"/>
        <w:spacing w:after="60"/>
      </w:pPr>
      <w:r>
        <w:rPr>
          <w:rFonts w:ascii="맑은 고딕" w:hAnsi="맑은 고딕" w:eastAsia="맑은 고딕"/>
          <w:b/>
          <w:sz w:val="21"/>
        </w:rPr>
        <w:t>WACC를 9.42%로 고정할 경우</w:t>
      </w:r>
      <w:r>
        <w:rPr>
          <w:rFonts w:ascii="맑은 고딕" w:hAnsi="맑은 고딕" w:eastAsia="맑은 고딕"/>
          <w:sz w:val="21"/>
        </w:rPr>
        <w:t xml:space="preserve">: 영구성장률 </w:t>
      </w:r>
      <w:r>
        <w:rPr>
          <w:rFonts w:ascii="맑은 고딕" w:hAnsi="맑은 고딕" w:eastAsia="맑은 고딕"/>
          <w:b/>
          <w:sz w:val="21"/>
        </w:rPr>
        <w:t>6.26%</w:t>
      </w:r>
      <w:r>
        <w:rPr>
          <w:rFonts w:ascii="맑은 고딕" w:hAnsi="맑은 고딕" w:eastAsia="맑은 고딕"/>
          <w:sz w:val="21"/>
        </w:rPr>
        <w:t xml:space="preserve"> 필요</w:t>
      </w:r>
    </w:p>
    <w:p>
      <w:pPr>
        <w:pStyle w:val="ListBullet"/>
        <w:spacing w:after="60"/>
      </w:pPr>
      <w:r>
        <w:rPr>
          <w:rFonts w:ascii="맑은 고딕" w:hAnsi="맑은 고딕" w:eastAsia="맑은 고딕"/>
          <w:b/>
          <w:sz w:val="21"/>
        </w:rPr>
        <w:t>영구성장률을 3.0%로 고정할 경우</w:t>
      </w:r>
      <w:r>
        <w:rPr>
          <w:rFonts w:ascii="맑은 고딕" w:hAnsi="맑은 고딕" w:eastAsia="맑은 고딕"/>
          <w:sz w:val="21"/>
        </w:rPr>
        <w:t xml:space="preserve">: WACC </w:t>
      </w:r>
      <w:r>
        <w:rPr>
          <w:rFonts w:ascii="맑은 고딕" w:hAnsi="맑은 고딕" w:eastAsia="맑은 고딕"/>
          <w:b/>
          <w:sz w:val="21"/>
        </w:rPr>
        <w:t>6.54%</w:t>
      </w:r>
      <w:r>
        <w:rPr>
          <w:rFonts w:ascii="맑은 고딕" w:hAnsi="맑은 고딕" w:eastAsia="맑은 고딕"/>
          <w:sz w:val="21"/>
        </w:rPr>
        <w:t xml:space="preserve"> 필요</w:t>
      </w:r>
    </w:p>
    <w:p>
      <w:pPr>
        <w:spacing w:after="120"/>
      </w:pPr>
      <w:r>
        <w:rPr>
          <w:rFonts w:ascii="맑은 고딕" w:hAnsi="맑은 고딕" w:eastAsia="맑은 고딕"/>
          <w:i w:val="0"/>
          <w:sz w:val="21"/>
        </w:rPr>
        <w:t>전자는 영구성장률이 장기 명목 GDP 성장률(통상 4~5% 내외로 상정)을 상회함을 의미하며, 이는 동사가 무한한 기간에 걸쳐 세계 경제보다 빠르게 성장한다는 논리적으로 지속 불가능한 전제를 요구한다. 후자는 자기자본비용이 무위험수익률 4.3%에 불과 2.24%포인트의 위험프리미엄만 얹은 수준임을 뜻하는데, 이는 규제·경쟁·기술전환 위험을 안고 있는 사업체에 대해 비정상적으로 낮은 위험 인식이다.</w:t>
      </w:r>
    </w:p>
    <w:p>
      <w:pPr>
        <w:spacing w:after="120"/>
      </w:pPr>
      <w:r>
        <w:rPr>
          <w:rFonts w:ascii="맑은 고딕" w:hAnsi="맑은 고딕" w:eastAsia="맑은 고딕"/>
          <w:b/>
          <w:i w:val="0"/>
          <w:sz w:val="21"/>
        </w:rPr>
        <w:t>두 역산값 모두 방어하기 어렵다</w:t>
      </w:r>
      <w:r>
        <w:rPr>
          <w:rFonts w:ascii="맑은 고딕" w:hAnsi="맑은 고딕" w:eastAsia="맑은 고딕"/>
          <w:i w:val="0"/>
          <w:sz w:val="21"/>
        </w:rPr>
        <w:t>는 것이 본 분석의 핵심 논거이다.</w:t>
      </w:r>
    </w:p>
    <w:p>
      <w:pPr>
        <w:spacing w:after="120"/>
      </w:pPr>
      <w:r>
        <w:rPr>
          <w:rFonts w:ascii="맑은 고딕" w:hAnsi="맑은 고딕" w:eastAsia="맑은 고딕"/>
          <w:i w:val="0"/>
          <w:sz w:val="21"/>
        </w:rPr>
        <w:t>---</w:t>
      </w:r>
    </w:p>
    <w:p>
      <w:pPr>
        <w:spacing w:before="160" w:after="80"/>
      </w:pPr>
      <w:r>
        <w:rPr>
          <w:rFonts w:ascii="맑은 고딕" w:hAnsi="맑은 고딕" w:eastAsia="맑은 고딕"/>
          <w:b/>
          <w:color w:val="1A1A1A"/>
          <w:sz w:val="25"/>
        </w:rPr>
        <w:t>비교기업 분석</w:t>
      </w:r>
    </w:p>
    <w:p>
      <w:pPr>
        <w:spacing w:before="160" w:after="80"/>
      </w:pPr>
      <w:r>
        <w:rPr>
          <w:rFonts w:ascii="맑은 고딕" w:hAnsi="맑은 고딕" w:eastAsia="맑은 고딕"/>
          <w:b/>
          <w:color w:val="1A1A1A"/>
          <w:sz w:val="22"/>
        </w:rPr>
        <w:t>비교군 및 기준</w:t>
      </w:r>
    </w:p>
    <w:p>
      <w:pPr>
        <w:spacing w:after="120"/>
      </w:pPr>
      <w:r>
        <w:rPr>
          <w:rFonts w:ascii="맑은 고딕" w:hAnsi="맑은 고딕" w:eastAsia="맑은 고딕"/>
          <w:i w:val="0"/>
          <w:sz w:val="21"/>
        </w:rPr>
        <w:t xml:space="preserve">비교기업은 MSFT, AMZN, META, AAPL, NFLX, ORCL, CRM, NVDA 등 8개 대형 기술기업으로 구성하였다. 회계연도 차이로 인한 왜곡을 제거하기 위해 </w:t>
      </w:r>
      <w:r>
        <w:rPr>
          <w:rFonts w:ascii="맑은 고딕" w:hAnsi="맑은 고딕" w:eastAsia="맑은 고딕"/>
          <w:b/>
          <w:i w:val="0"/>
          <w:sz w:val="21"/>
        </w:rPr>
        <w:t>각사 차기 회계연도 기준</w:t>
      </w:r>
      <w:r>
        <w:rPr>
          <w:rFonts w:ascii="맑은 고딕" w:hAnsi="맑은 고딕" w:eastAsia="맑은 고딕"/>
          <w:i w:val="0"/>
          <w:sz w:val="21"/>
        </w:rPr>
        <w:t>으로 통일하였으며, GOOGL의 경우 FY2027E(EPS $14.03, EBITDA $224.8십억)를 적용하였다.</w:t>
      </w:r>
    </w:p>
    <w:p>
      <w:pPr>
        <w:spacing w:before="160" w:after="80"/>
      </w:pPr>
      <w:r>
        <w:rPr>
          <w:rFonts w:ascii="맑은 고딕" w:hAnsi="맑은 고딕" w:eastAsia="맑은 고딕"/>
          <w:b/>
          <w:color w:val="1A1A1A"/>
          <w:sz w:val="22"/>
        </w:rPr>
        <w:t>배수 분포</w:t>
      </w:r>
    </w:p>
    <w:tbl>
      <w:tblPr>
        <w:tblStyle w:val="LightGrid-Accent1"/>
        <w:tblW w:type="auto" w:w="0"/>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shd w:fill="1F3864"/>
          </w:tcPr>
          <w:p>
            <w:pPr>
              <w:spacing w:after="20" w:before="20"/>
              <w:jc w:val="left"/>
            </w:pPr>
            <w:r/>
            <w:r>
              <w:rPr>
                <w:rFonts w:ascii="맑은 고딕" w:hAnsi="맑은 고딕" w:eastAsia="맑은 고딕"/>
                <w:b/>
                <w:color w:val="FFFFFF"/>
                <w:sz w:val="17"/>
              </w:rPr>
              <w:t>지표</w:t>
            </w:r>
          </w:p>
        </w:tc>
        <w:tc>
          <w:tcPr>
            <w:tcW w:type="dxa" w:w="1419"/>
            <w:shd w:fill="1F3864"/>
          </w:tcPr>
          <w:p>
            <w:pPr>
              <w:spacing w:after="20" w:before="20"/>
              <w:jc w:val="right"/>
            </w:pPr>
            <w:r/>
            <w:r>
              <w:rPr>
                <w:rFonts w:ascii="맑은 고딕" w:hAnsi="맑은 고딕" w:eastAsia="맑은 고딕"/>
                <w:b/>
                <w:color w:val="FFFFFF"/>
                <w:sz w:val="17"/>
              </w:rPr>
              <w:t>최소</w:t>
            </w:r>
          </w:p>
        </w:tc>
        <w:tc>
          <w:tcPr>
            <w:tcW w:type="dxa" w:w="1419"/>
            <w:shd w:fill="1F3864"/>
          </w:tcPr>
          <w:p>
            <w:pPr>
              <w:spacing w:after="20" w:before="20"/>
              <w:jc w:val="right"/>
            </w:pPr>
            <w:r/>
            <w:r>
              <w:rPr>
                <w:rFonts w:ascii="맑은 고딕" w:hAnsi="맑은 고딕" w:eastAsia="맑은 고딕"/>
                <w:b/>
                <w:color w:val="FFFFFF"/>
                <w:sz w:val="17"/>
              </w:rPr>
              <w:t>25분위</w:t>
            </w:r>
          </w:p>
        </w:tc>
        <w:tc>
          <w:tcPr>
            <w:tcW w:type="dxa" w:w="1419"/>
            <w:shd w:fill="1F3864"/>
          </w:tcPr>
          <w:p>
            <w:pPr>
              <w:spacing w:after="20" w:before="20"/>
              <w:jc w:val="right"/>
            </w:pPr>
            <w:r/>
            <w:r>
              <w:rPr>
                <w:rFonts w:ascii="맑은 고딕" w:hAnsi="맑은 고딕" w:eastAsia="맑은 고딕"/>
                <w:b/>
                <w:color w:val="FFFFFF"/>
                <w:sz w:val="17"/>
              </w:rPr>
              <w:t>중앙</w:t>
            </w:r>
          </w:p>
        </w:tc>
        <w:tc>
          <w:tcPr>
            <w:tcW w:type="dxa" w:w="1419"/>
            <w:shd w:fill="1F3864"/>
          </w:tcPr>
          <w:p>
            <w:pPr>
              <w:spacing w:after="20" w:before="20"/>
              <w:jc w:val="right"/>
            </w:pPr>
            <w:r/>
            <w:r>
              <w:rPr>
                <w:rFonts w:ascii="맑은 고딕" w:hAnsi="맑은 고딕" w:eastAsia="맑은 고딕"/>
                <w:b/>
                <w:color w:val="FFFFFF"/>
                <w:sz w:val="17"/>
              </w:rPr>
              <w:t>75분위</w:t>
            </w:r>
          </w:p>
        </w:tc>
        <w:tc>
          <w:tcPr>
            <w:tcW w:type="dxa" w:w="1419"/>
            <w:shd w:fill="1F3864"/>
          </w:tcPr>
          <w:p>
            <w:pPr>
              <w:spacing w:after="20" w:before="20"/>
              <w:jc w:val="right"/>
            </w:pPr>
            <w:r/>
            <w:r>
              <w:rPr>
                <w:rFonts w:ascii="맑은 고딕" w:hAnsi="맑은 고딕" w:eastAsia="맑은 고딕"/>
                <w:b/>
                <w:color w:val="FFFFFF"/>
                <w:sz w:val="17"/>
              </w:rPr>
              <w:t>최대</w:t>
            </w:r>
          </w:p>
        </w:tc>
        <w:tc>
          <w:tcPr>
            <w:tcW w:type="dxa" w:w="1419"/>
            <w:shd w:fill="1F3864"/>
          </w:tcPr>
          <w:p>
            <w:pPr>
              <w:spacing w:after="20" w:before="20"/>
              <w:jc w:val="right"/>
            </w:pPr>
            <w:r/>
            <w:r>
              <w:rPr>
                <w:rFonts w:ascii="맑은 고딕" w:hAnsi="맑은 고딕" w:eastAsia="맑은 고딕"/>
                <w:b/>
                <w:color w:val="FFFFFF"/>
                <w:sz w:val="17"/>
              </w:rPr>
              <w:t>**GOOGL**</w:t>
            </w:r>
          </w:p>
        </w:tc>
      </w:tr>
      <w:tr>
        <w:tc>
          <w:tcPr>
            <w:tcW w:type="dxa" w:w="1419"/>
          </w:tcPr>
          <w:p>
            <w:pPr>
              <w:spacing w:after="20" w:before="20"/>
              <w:jc w:val="left"/>
            </w:pPr>
            <w:r/>
            <w:r>
              <w:rPr>
                <w:rFonts w:ascii="맑은 고딕" w:hAnsi="맑은 고딕" w:eastAsia="맑은 고딕"/>
                <w:b w:val="0"/>
                <w:sz w:val="17"/>
              </w:rPr>
              <w:t>선행 P/E (배)</w:t>
            </w:r>
          </w:p>
        </w:tc>
        <w:tc>
          <w:tcPr>
            <w:tcW w:type="dxa" w:w="1419"/>
          </w:tcPr>
          <w:p>
            <w:pPr>
              <w:spacing w:after="20" w:before="20"/>
              <w:jc w:val="right"/>
            </w:pPr>
            <w:r/>
            <w:r>
              <w:rPr>
                <w:rFonts w:ascii="맑은 고딕" w:hAnsi="맑은 고딕" w:eastAsia="맑은 고딕"/>
                <w:b w:val="0"/>
                <w:sz w:val="17"/>
              </w:rPr>
              <w:t>11.0</w:t>
            </w:r>
          </w:p>
        </w:tc>
        <w:tc>
          <w:tcPr>
            <w:tcW w:type="dxa" w:w="1419"/>
          </w:tcPr>
          <w:p>
            <w:pPr>
              <w:spacing w:after="20" w:before="20"/>
              <w:jc w:val="right"/>
            </w:pPr>
            <w:r/>
            <w:r>
              <w:rPr>
                <w:rFonts w:ascii="맑은 고딕" w:hAnsi="맑은 고딕" w:eastAsia="맑은 고딕"/>
                <w:b w:val="0"/>
                <w:sz w:val="17"/>
              </w:rPr>
              <w:t>12.6</w:t>
            </w:r>
          </w:p>
        </w:tc>
        <w:tc>
          <w:tcPr>
            <w:tcW w:type="dxa" w:w="1419"/>
          </w:tcPr>
          <w:p>
            <w:pPr>
              <w:spacing w:after="20" w:before="20"/>
              <w:jc w:val="right"/>
            </w:pPr>
            <w:r/>
            <w:r>
              <w:rPr>
                <w:rFonts w:ascii="맑은 고딕" w:hAnsi="맑은 고딕" w:eastAsia="맑은 고딕"/>
                <w:b w:val="0"/>
                <w:sz w:val="17"/>
              </w:rPr>
              <w:t>17.9</w:t>
            </w:r>
          </w:p>
        </w:tc>
        <w:tc>
          <w:tcPr>
            <w:tcW w:type="dxa" w:w="1419"/>
          </w:tcPr>
          <w:p>
            <w:pPr>
              <w:spacing w:after="20" w:before="20"/>
              <w:jc w:val="right"/>
            </w:pPr>
            <w:r/>
            <w:r>
              <w:rPr>
                <w:rFonts w:ascii="맑은 고딕" w:hAnsi="맑은 고딕" w:eastAsia="맑은 고딕"/>
                <w:b w:val="0"/>
                <w:sz w:val="17"/>
              </w:rPr>
              <w:t>23.8</w:t>
            </w:r>
          </w:p>
        </w:tc>
        <w:tc>
          <w:tcPr>
            <w:tcW w:type="dxa" w:w="1419"/>
          </w:tcPr>
          <w:p>
            <w:pPr>
              <w:spacing w:after="20" w:before="20"/>
              <w:jc w:val="right"/>
            </w:pPr>
            <w:r/>
            <w:r>
              <w:rPr>
                <w:rFonts w:ascii="맑은 고딕" w:hAnsi="맑은 고딕" w:eastAsia="맑은 고딕"/>
                <w:b w:val="0"/>
                <w:sz w:val="17"/>
              </w:rPr>
              <w:t>34.6</w:t>
            </w:r>
          </w:p>
        </w:tc>
        <w:tc>
          <w:tcPr>
            <w:tcW w:type="dxa" w:w="1419"/>
          </w:tcPr>
          <w:p>
            <w:pPr>
              <w:spacing w:after="20" w:before="20"/>
              <w:jc w:val="right"/>
            </w:pPr>
            <w:r/>
            <w:r>
              <w:rPr>
                <w:rFonts w:ascii="맑은 고딕" w:hAnsi="맑은 고딕" w:eastAsia="맑은 고딕"/>
                <w:b w:val="0"/>
                <w:sz w:val="17"/>
              </w:rPr>
              <w:t>**25.3**</w:t>
            </w:r>
          </w:p>
        </w:tc>
      </w:tr>
      <w:tr>
        <w:tc>
          <w:tcPr>
            <w:tcW w:type="dxa" w:w="1419"/>
          </w:tcPr>
          <w:p>
            <w:pPr>
              <w:spacing w:after="20" w:before="20"/>
              <w:jc w:val="left"/>
            </w:pPr>
            <w:r/>
            <w:r>
              <w:rPr>
                <w:rFonts w:ascii="맑은 고딕" w:hAnsi="맑은 고딕" w:eastAsia="맑은 고딕"/>
                <w:b w:val="0"/>
                <w:sz w:val="17"/>
              </w:rPr>
              <w:t>EV/EBITDA (배)</w:t>
            </w:r>
          </w:p>
        </w:tc>
        <w:tc>
          <w:tcPr>
            <w:tcW w:type="dxa" w:w="1419"/>
          </w:tcPr>
          <w:p>
            <w:pPr>
              <w:spacing w:after="20" w:before="20"/>
              <w:jc w:val="right"/>
            </w:pPr>
            <w:r/>
            <w:r>
              <w:rPr>
                <w:rFonts w:ascii="맑은 고딕" w:hAnsi="맑은 고딕" w:eastAsia="맑은 고딕"/>
                <w:b w:val="0"/>
                <w:sz w:val="17"/>
              </w:rPr>
              <w:t>11.9</w:t>
            </w:r>
          </w:p>
        </w:tc>
        <w:tc>
          <w:tcPr>
            <w:tcW w:type="dxa" w:w="1419"/>
          </w:tcPr>
          <w:p>
            <w:pPr>
              <w:spacing w:after="20" w:before="20"/>
              <w:jc w:val="right"/>
            </w:pPr>
            <w:r/>
            <w:r>
              <w:rPr>
                <w:rFonts w:ascii="맑은 고딕" w:hAnsi="맑은 고딕" w:eastAsia="맑은 고딕"/>
                <w:b w:val="0"/>
                <w:sz w:val="17"/>
              </w:rPr>
              <w:t>12.5</w:t>
            </w:r>
          </w:p>
        </w:tc>
        <w:tc>
          <w:tcPr>
            <w:tcW w:type="dxa" w:w="1419"/>
          </w:tcPr>
          <w:p>
            <w:pPr>
              <w:spacing w:after="20" w:before="20"/>
              <w:jc w:val="right"/>
            </w:pPr>
            <w:r/>
            <w:r>
              <w:rPr>
                <w:rFonts w:ascii="맑은 고딕" w:hAnsi="맑은 고딕" w:eastAsia="맑은 고딕"/>
                <w:b w:val="0"/>
                <w:sz w:val="17"/>
              </w:rPr>
              <w:t>14.8</w:t>
            </w:r>
          </w:p>
        </w:tc>
        <w:tc>
          <w:tcPr>
            <w:tcW w:type="dxa" w:w="1419"/>
          </w:tcPr>
          <w:p>
            <w:pPr>
              <w:spacing w:after="20" w:before="20"/>
              <w:jc w:val="right"/>
            </w:pPr>
            <w:r/>
            <w:r>
              <w:rPr>
                <w:rFonts w:ascii="맑은 고딕" w:hAnsi="맑은 고딕" w:eastAsia="맑은 고딕"/>
                <w:b w:val="0"/>
                <w:sz w:val="17"/>
              </w:rPr>
              <w:t>18.1</w:t>
            </w:r>
          </w:p>
        </w:tc>
        <w:tc>
          <w:tcPr>
            <w:tcW w:type="dxa" w:w="1419"/>
          </w:tcPr>
          <w:p>
            <w:pPr>
              <w:spacing w:after="20" w:before="20"/>
              <w:jc w:val="right"/>
            </w:pPr>
            <w:r/>
            <w:r>
              <w:rPr>
                <w:rFonts w:ascii="맑은 고딕" w:hAnsi="맑은 고딕" w:eastAsia="맑은 고딕"/>
                <w:b w:val="0"/>
                <w:sz w:val="17"/>
              </w:rPr>
              <w:t>27.1</w:t>
            </w:r>
          </w:p>
        </w:tc>
        <w:tc>
          <w:tcPr>
            <w:tcW w:type="dxa" w:w="1419"/>
          </w:tcPr>
          <w:p>
            <w:pPr>
              <w:spacing w:after="20" w:before="20"/>
              <w:jc w:val="right"/>
            </w:pPr>
            <w:r/>
            <w:r>
              <w:rPr>
                <w:rFonts w:ascii="맑은 고딕" w:hAnsi="맑은 고딕" w:eastAsia="맑은 고딕"/>
                <w:b w:val="0"/>
                <w:sz w:val="17"/>
              </w:rPr>
              <w:t>**18.9**</w:t>
            </w:r>
          </w:p>
        </w:tc>
      </w:tr>
    </w:tbl>
    <w:p>
      <w:pPr>
        <w:spacing w:after="40"/>
      </w:pPr>
    </w:p>
    <w:p>
      <w:pPr>
        <w:spacing w:after="120"/>
      </w:pPr>
      <w:r>
        <w:rPr>
          <w:rFonts w:ascii="맑은 고딕" w:hAnsi="맑은 고딕" w:eastAsia="맑은 고딕"/>
          <w:i w:val="0"/>
          <w:sz w:val="21"/>
        </w:rPr>
        <w:t xml:space="preserve">GOOGL의 선행 P/E 25.3배는 피어 중앙값 17.9배를 41% 상회하며, 75분위(23.8배)마저 넘어선다. EV/EBITDA 18.9배 역시 중앙값 14.8배 대비 28% 프리미엄이자 75분위(18.1배)를 초과하는 수준이다. </w:t>
      </w:r>
      <w:r>
        <w:rPr>
          <w:rFonts w:ascii="맑은 고딕" w:hAnsi="맑은 고딕" w:eastAsia="맑은 고딕"/>
          <w:b/>
          <w:i w:val="0"/>
          <w:sz w:val="21"/>
        </w:rPr>
        <w:t>두 지표 모두에서 동사는 비교군 상위 25% 구간에 위치</w:t>
      </w:r>
      <w:r>
        <w:rPr>
          <w:rFonts w:ascii="맑은 고딕" w:hAnsi="맑은 고딕" w:eastAsia="맑은 고딕"/>
          <w:i w:val="0"/>
          <w:sz w:val="21"/>
        </w:rPr>
        <w:t>한다.</w:t>
      </w:r>
    </w:p>
    <w:p>
      <w:pPr>
        <w:spacing w:before="160" w:after="80"/>
      </w:pPr>
      <w:r>
        <w:rPr>
          <w:rFonts w:ascii="맑은 고딕" w:hAnsi="맑은 고딕" w:eastAsia="맑은 고딕"/>
          <w:b/>
          <w:color w:val="1A1A1A"/>
          <w:sz w:val="22"/>
        </w:rPr>
        <w:t>함의주가</w:t>
      </w:r>
    </w:p>
    <w:p>
      <w:pPr>
        <w:spacing w:after="120"/>
      </w:pPr>
      <w:r>
        <w:rPr>
          <w:rFonts w:ascii="맑은 고딕" w:hAnsi="맑은 고딕" w:eastAsia="맑은 고딕"/>
          <w:i w:val="0"/>
          <w:sz w:val="21"/>
        </w:rPr>
        <w:t>피어 중앙값 배수를 GOOGL의 FY2027E 실적에 적용할 경우 다음이 도출된다.</w:t>
      </w:r>
    </w:p>
    <w:p>
      <w:pPr>
        <w:pStyle w:val="ListBullet"/>
        <w:spacing w:after="60"/>
      </w:pPr>
      <w:r>
        <w:rPr>
          <w:rFonts w:ascii="맑은 고딕" w:hAnsi="맑은 고딕" w:eastAsia="맑은 고딕"/>
          <w:sz w:val="21"/>
        </w:rPr>
        <w:t xml:space="preserve">P/E 중앙값(17.9배) × EPS $14.03 → </w:t>
      </w:r>
      <w:r>
        <w:rPr>
          <w:rFonts w:ascii="맑은 고딕" w:hAnsi="맑은 고딕" w:eastAsia="맑은 고딕"/>
          <w:b/>
          <w:sz w:val="21"/>
        </w:rPr>
        <w:t>$251</w:t>
      </w:r>
    </w:p>
    <w:p>
      <w:pPr>
        <w:pStyle w:val="ListBullet"/>
        <w:spacing w:after="60"/>
      </w:pPr>
      <w:r>
        <w:rPr>
          <w:rFonts w:ascii="맑은 고딕" w:hAnsi="맑은 고딕" w:eastAsia="맑은 고딕"/>
          <w:sz w:val="21"/>
        </w:rPr>
        <w:t xml:space="preserve">EV/EBITDA 중앙값(14.8배) × EBITDA $224.8십억 (순현금 조정 후) → </w:t>
      </w:r>
      <w:r>
        <w:rPr>
          <w:rFonts w:ascii="맑은 고딕" w:hAnsi="맑은 고딕" w:eastAsia="맑은 고딕"/>
          <w:b/>
          <w:sz w:val="21"/>
        </w:rPr>
        <w:t>$278</w:t>
      </w:r>
    </w:p>
    <w:p>
      <w:pPr>
        <w:pStyle w:val="ListBullet"/>
        <w:spacing w:after="60"/>
      </w:pPr>
      <w:r>
        <w:rPr>
          <w:rFonts w:ascii="맑은 고딕" w:hAnsi="맑은 고딕" w:eastAsia="맑은 고딕"/>
          <w:sz w:val="21"/>
        </w:rPr>
        <w:t xml:space="preserve">단순평균 → </w:t>
      </w:r>
      <w:r>
        <w:rPr>
          <w:rFonts w:ascii="맑은 고딕" w:hAnsi="맑은 고딕" w:eastAsia="맑은 고딕"/>
          <w:b/>
          <w:sz w:val="21"/>
        </w:rPr>
        <w:t>$265</w:t>
      </w:r>
    </w:p>
    <w:p>
      <w:pPr>
        <w:spacing w:after="120"/>
      </w:pPr>
      <w:r>
        <w:rPr>
          <w:rFonts w:ascii="맑은 고딕" w:hAnsi="맑은 고딕" w:eastAsia="맑은 고딕"/>
          <w:i w:val="0"/>
          <w:sz w:val="21"/>
        </w:rPr>
        <w:t xml:space="preserve">비교기업 접근법 전체 범위는 하단 $177(25분위 배수 적용)에서 상단 $339(75분위 배수 적용)에 걸쳐 있다. 여기서도 </w:t>
      </w:r>
      <w:r>
        <w:rPr>
          <w:rFonts w:ascii="맑은 고딕" w:hAnsi="맑은 고딕" w:eastAsia="맑은 고딕"/>
          <w:b/>
          <w:i w:val="0"/>
          <w:sz w:val="21"/>
        </w:rPr>
        <w:t>상단 $339조차 현재주가에 미달</w:t>
      </w:r>
      <w:r>
        <w:rPr>
          <w:rFonts w:ascii="맑은 고딕" w:hAnsi="맑은 고딕" w:eastAsia="맑은 고딕"/>
          <w:i w:val="0"/>
          <w:sz w:val="21"/>
        </w:rPr>
        <w:t>한다는 점은 주목할 만하다.</w:t>
      </w:r>
    </w:p>
    <w:p>
      <w:pPr>
        <w:spacing w:after="120"/>
      </w:pPr>
      <w:r>
        <w:rPr>
          <w:rFonts w:ascii="맑은 고딕" w:hAnsi="맑은 고딕" w:eastAsia="맑은 고딕"/>
          <w:i w:val="0"/>
          <w:sz w:val="21"/>
        </w:rPr>
        <w:t xml:space="preserve">프리미엄 자체가 부당하다는 주장은 아니다. 동사는 검색 광고의 구조적 수익성, YouTube의 콘텐츠 해자, 클라우드 사업의 규모 확대, 자체 TPU 기반 AI 인프라 등 프리미엄을 정당화할 근거를 다수 보유한다. 그러나 문제는 프리미엄의 </w:t>
      </w:r>
      <w:r>
        <w:rPr>
          <w:rFonts w:ascii="맑은 고딕" w:hAnsi="맑은 고딕" w:eastAsia="맑은 고딕"/>
          <w:b/>
          <w:i w:val="0"/>
          <w:sz w:val="21"/>
        </w:rPr>
        <w:t>폭</w:t>
      </w:r>
      <w:r>
        <w:rPr>
          <w:rFonts w:ascii="맑은 고딕" w:hAnsi="맑은 고딕" w:eastAsia="맑은 고딕"/>
          <w:i w:val="0"/>
          <w:sz w:val="21"/>
        </w:rPr>
        <w:t>이다. 현재 배수는 이러한 강점들이 이미 완전히 실현되고 향후에도 훼손되지 않는다는 전제를 가격에 반영하고 있다.</w:t>
      </w:r>
    </w:p>
    <w:p>
      <w:pPr>
        <w:spacing w:after="120"/>
      </w:pPr>
      <w:r>
        <w:rPr>
          <w:rFonts w:ascii="맑은 고딕" w:hAnsi="맑은 고딕" w:eastAsia="맑은 고딕"/>
          <w:i w:val="0"/>
          <w:sz w:val="21"/>
        </w:rPr>
        <w:t>---</w:t>
      </w:r>
    </w:p>
    <w:p>
      <w:pPr>
        <w:spacing w:before="160" w:after="80"/>
      </w:pPr>
      <w:r>
        <w:rPr>
          <w:rFonts w:ascii="맑은 고딕" w:hAnsi="맑은 고딕" w:eastAsia="맑은 고딕"/>
          <w:b/>
          <w:color w:val="1A1A1A"/>
          <w:sz w:val="25"/>
        </w:rPr>
        <w:t>밸류에이션 종합 (풋볼필드)</w:t>
      </w:r>
    </w:p>
    <w:p>
      <w:pPr>
        <w:spacing w:after="120"/>
      </w:pPr>
      <w:r>
        <w:rPr>
          <w:rFonts w:ascii="맑은 고딕" w:hAnsi="맑은 고딕" w:eastAsia="맑은 고딕"/>
          <w:i w:val="0"/>
          <w:sz w:val="21"/>
        </w:rPr>
        <w:t>각 방법론이 제시하는 가치 구간을 정리하면 다음과 같다.</w:t>
      </w:r>
    </w:p>
    <w:tbl>
      <w:tblPr>
        <w:tblStyle w:val="LightGrid-Accent1"/>
        <w:tblW w:type="auto" w:w="0"/>
        <w:tblLayout w:type="autofit"/>
        <w:tblLook w:firstColumn="1" w:firstRow="1" w:lastColumn="0" w:lastRow="0" w:noHBand="0" w:noVBand="1" w:val="04A0"/>
      </w:tblPr>
      <w:tblGrid>
        <w:gridCol w:w="1987"/>
        <w:gridCol w:w="1987"/>
        <w:gridCol w:w="1987"/>
        <w:gridCol w:w="1987"/>
        <w:gridCol w:w="1987"/>
      </w:tblGrid>
      <w:tr>
        <w:tc>
          <w:tcPr>
            <w:tcW w:type="dxa" w:w="1987"/>
            <w:shd w:fill="1F3864"/>
          </w:tcPr>
          <w:p>
            <w:pPr>
              <w:spacing w:after="20" w:before="20"/>
              <w:jc w:val="left"/>
            </w:pPr>
            <w:r/>
            <w:r>
              <w:rPr>
                <w:rFonts w:ascii="맑은 고딕" w:hAnsi="맑은 고딕" w:eastAsia="맑은 고딕"/>
                <w:b/>
                <w:color w:val="FFFFFF"/>
                <w:sz w:val="17"/>
              </w:rPr>
              <w:t>방법론</w:t>
            </w:r>
          </w:p>
        </w:tc>
        <w:tc>
          <w:tcPr>
            <w:tcW w:type="dxa" w:w="1987"/>
            <w:shd w:fill="1F3864"/>
          </w:tcPr>
          <w:p>
            <w:pPr>
              <w:spacing w:after="20" w:before="20"/>
              <w:jc w:val="right"/>
            </w:pPr>
            <w:r/>
            <w:r>
              <w:rPr>
                <w:rFonts w:ascii="맑은 고딕" w:hAnsi="맑은 고딕" w:eastAsia="맑은 고딕"/>
                <w:b/>
                <w:color w:val="FFFFFF"/>
                <w:sz w:val="17"/>
              </w:rPr>
              <w:t>하단</w:t>
            </w:r>
          </w:p>
        </w:tc>
        <w:tc>
          <w:tcPr>
            <w:tcW w:type="dxa" w:w="1987"/>
            <w:shd w:fill="1F3864"/>
          </w:tcPr>
          <w:p>
            <w:pPr>
              <w:spacing w:after="20" w:before="20"/>
              <w:jc w:val="right"/>
            </w:pPr>
            <w:r/>
            <w:r>
              <w:rPr>
                <w:rFonts w:ascii="맑은 고딕" w:hAnsi="맑은 고딕" w:eastAsia="맑은 고딕"/>
                <w:b/>
                <w:color w:val="FFFFFF"/>
                <w:sz w:val="17"/>
              </w:rPr>
              <w:t>중심</w:t>
            </w:r>
          </w:p>
        </w:tc>
        <w:tc>
          <w:tcPr>
            <w:tcW w:type="dxa" w:w="1987"/>
            <w:shd w:fill="1F3864"/>
          </w:tcPr>
          <w:p>
            <w:pPr>
              <w:spacing w:after="20" w:before="20"/>
              <w:jc w:val="right"/>
            </w:pPr>
            <w:r/>
            <w:r>
              <w:rPr>
                <w:rFonts w:ascii="맑은 고딕" w:hAnsi="맑은 고딕" w:eastAsia="맑은 고딕"/>
                <w:b/>
                <w:color w:val="FFFFFF"/>
                <w:sz w:val="17"/>
              </w:rPr>
              <w:t>상단</w:t>
            </w:r>
          </w:p>
        </w:tc>
        <w:tc>
          <w:tcPr>
            <w:tcW w:type="dxa" w:w="1987"/>
            <w:shd w:fill="1F3864"/>
          </w:tcPr>
          <w:p>
            <w:pPr>
              <w:spacing w:after="20" w:before="20"/>
              <w:jc w:val="right"/>
            </w:pPr>
            <w:r/>
            <w:r>
              <w:rPr>
                <w:rFonts w:ascii="맑은 고딕" w:hAnsi="맑은 고딕" w:eastAsia="맑은 고딕"/>
                <w:b/>
                <w:color w:val="FFFFFF"/>
                <w:sz w:val="17"/>
              </w:rPr>
              <w:t>가중치</w:t>
            </w:r>
          </w:p>
        </w:tc>
      </w:tr>
      <w:tr>
        <w:tc>
          <w:tcPr>
            <w:tcW w:type="dxa" w:w="1987"/>
          </w:tcPr>
          <w:p>
            <w:pPr>
              <w:spacing w:after="20" w:before="20"/>
              <w:jc w:val="left"/>
            </w:pPr>
            <w:r/>
            <w:r>
              <w:rPr>
                <w:rFonts w:ascii="맑은 고딕" w:hAnsi="맑은 고딕" w:eastAsia="맑은 고딕"/>
                <w:b w:val="0"/>
                <w:sz w:val="17"/>
              </w:rPr>
              <w:t>DCF (민감도 범위)</w:t>
            </w:r>
          </w:p>
        </w:tc>
        <w:tc>
          <w:tcPr>
            <w:tcW w:type="dxa" w:w="1987"/>
          </w:tcPr>
          <w:p>
            <w:pPr>
              <w:spacing w:after="20" w:before="20"/>
              <w:jc w:val="right"/>
            </w:pPr>
            <w:r/>
            <w:r>
              <w:rPr>
                <w:rFonts w:ascii="맑은 고딕" w:hAnsi="맑은 고딕" w:eastAsia="맑은 고딕"/>
                <w:b w:val="0"/>
                <w:sz w:val="17"/>
              </w:rPr>
              <w:t>$147</w:t>
            </w:r>
          </w:p>
        </w:tc>
        <w:tc>
          <w:tcPr>
            <w:tcW w:type="dxa" w:w="1987"/>
          </w:tcPr>
          <w:p>
            <w:pPr>
              <w:spacing w:after="20" w:before="20"/>
              <w:jc w:val="right"/>
            </w:pPr>
            <w:r/>
            <w:r>
              <w:rPr>
                <w:rFonts w:ascii="맑은 고딕" w:hAnsi="맑은 고딕" w:eastAsia="맑은 고딕"/>
                <w:b w:val="0"/>
                <w:sz w:val="17"/>
              </w:rPr>
              <w:t>**$193**</w:t>
            </w:r>
          </w:p>
        </w:tc>
        <w:tc>
          <w:tcPr>
            <w:tcW w:type="dxa" w:w="1987"/>
          </w:tcPr>
          <w:p>
            <w:pPr>
              <w:spacing w:after="20" w:before="20"/>
              <w:jc w:val="right"/>
            </w:pPr>
            <w:r/>
            <w:r>
              <w:rPr>
                <w:rFonts w:ascii="맑은 고딕" w:hAnsi="맑은 고딕" w:eastAsia="맑은 고딕"/>
                <w:b w:val="0"/>
                <w:sz w:val="17"/>
              </w:rPr>
              <w:t>$346</w:t>
            </w:r>
          </w:p>
        </w:tc>
        <w:tc>
          <w:tcPr>
            <w:tcW w:type="dxa" w:w="1987"/>
          </w:tcPr>
          <w:p>
            <w:pPr>
              <w:spacing w:after="20" w:before="20"/>
              <w:jc w:val="right"/>
            </w:pPr>
            <w:r/>
            <w:r>
              <w:rPr>
                <w:rFonts w:ascii="맑은 고딕" w:hAnsi="맑은 고딕" w:eastAsia="맑은 고딕"/>
                <w:b w:val="0"/>
                <w:sz w:val="17"/>
              </w:rPr>
              <w:t>55%</w:t>
            </w:r>
          </w:p>
        </w:tc>
      </w:tr>
      <w:tr>
        <w:tc>
          <w:tcPr>
            <w:tcW w:type="dxa" w:w="1987"/>
          </w:tcPr>
          <w:p>
            <w:pPr>
              <w:spacing w:after="20" w:before="20"/>
              <w:jc w:val="left"/>
            </w:pPr>
            <w:r/>
            <w:r>
              <w:rPr>
                <w:rFonts w:ascii="맑은 고딕" w:hAnsi="맑은 고딕" w:eastAsia="맑은 고딕"/>
                <w:b w:val="0"/>
                <w:sz w:val="17"/>
              </w:rPr>
              <w:t>비교기업 분석</w:t>
            </w:r>
          </w:p>
        </w:tc>
        <w:tc>
          <w:tcPr>
            <w:tcW w:type="dxa" w:w="1987"/>
          </w:tcPr>
          <w:p>
            <w:pPr>
              <w:spacing w:after="20" w:before="20"/>
              <w:jc w:val="right"/>
            </w:pPr>
            <w:r/>
            <w:r>
              <w:rPr>
                <w:rFonts w:ascii="맑은 고딕" w:hAnsi="맑은 고딕" w:eastAsia="맑은 고딕"/>
                <w:b w:val="0"/>
                <w:sz w:val="17"/>
              </w:rPr>
              <w:t>$177</w:t>
            </w:r>
          </w:p>
        </w:tc>
        <w:tc>
          <w:tcPr>
            <w:tcW w:type="dxa" w:w="1987"/>
          </w:tcPr>
          <w:p>
            <w:pPr>
              <w:spacing w:after="20" w:before="20"/>
              <w:jc w:val="right"/>
            </w:pPr>
            <w:r/>
            <w:r>
              <w:rPr>
                <w:rFonts w:ascii="맑은 고딕" w:hAnsi="맑은 고딕" w:eastAsia="맑은 고딕"/>
                <w:b w:val="0"/>
                <w:sz w:val="17"/>
              </w:rPr>
              <w:t>**$265**</w:t>
            </w:r>
          </w:p>
        </w:tc>
        <w:tc>
          <w:tcPr>
            <w:tcW w:type="dxa" w:w="1987"/>
          </w:tcPr>
          <w:p>
            <w:pPr>
              <w:spacing w:after="20" w:before="20"/>
              <w:jc w:val="right"/>
            </w:pPr>
            <w:r/>
            <w:r>
              <w:rPr>
                <w:rFonts w:ascii="맑은 고딕" w:hAnsi="맑은 고딕" w:eastAsia="맑은 고딕"/>
                <w:b w:val="0"/>
                <w:sz w:val="17"/>
              </w:rPr>
              <w:t>$339</w:t>
            </w:r>
          </w:p>
        </w:tc>
        <w:tc>
          <w:tcPr>
            <w:tcW w:type="dxa" w:w="1987"/>
          </w:tcPr>
          <w:p>
            <w:pPr>
              <w:spacing w:after="20" w:before="20"/>
              <w:jc w:val="right"/>
            </w:pPr>
            <w:r/>
            <w:r>
              <w:rPr>
                <w:rFonts w:ascii="맑은 고딕" w:hAnsi="맑은 고딕" w:eastAsia="맑은 고딕"/>
                <w:b w:val="0"/>
                <w:sz w:val="17"/>
              </w:rPr>
              <w:t>45%</w:t>
            </w:r>
          </w:p>
        </w:tc>
      </w:tr>
      <w:tr>
        <w:tc>
          <w:tcPr>
            <w:tcW w:type="dxa" w:w="1987"/>
          </w:tcPr>
          <w:p>
            <w:pPr>
              <w:spacing w:after="20" w:before="20"/>
              <w:jc w:val="left"/>
            </w:pPr>
            <w:r/>
            <w:r>
              <w:rPr>
                <w:rFonts w:ascii="맑은 고딕" w:hAnsi="맑은 고딕" w:eastAsia="맑은 고딕"/>
                <w:b w:val="0"/>
                <w:sz w:val="17"/>
              </w:rPr>
              <w:t>**가중 종합**</w:t>
            </w:r>
          </w:p>
        </w:tc>
        <w:tc>
          <w:tcPr>
            <w:tcW w:type="dxa" w:w="1987"/>
          </w:tcPr>
          <w:p>
            <w:pPr>
              <w:spacing w:after="20" w:before="20"/>
              <w:jc w:val="right"/>
            </w:pPr>
            <w:r/>
            <w:r>
              <w:rPr>
                <w:rFonts w:ascii="맑은 고딕" w:hAnsi="맑은 고딕" w:eastAsia="맑은 고딕"/>
                <w:b w:val="0"/>
                <w:sz w:val="17"/>
              </w:rPr>
              <w:t>—</w:t>
            </w:r>
          </w:p>
        </w:tc>
        <w:tc>
          <w:tcPr>
            <w:tcW w:type="dxa" w:w="1987"/>
          </w:tcPr>
          <w:p>
            <w:pPr>
              <w:spacing w:after="20" w:before="20"/>
              <w:jc w:val="right"/>
            </w:pPr>
            <w:r/>
            <w:r>
              <w:rPr>
                <w:rFonts w:ascii="맑은 고딕" w:hAnsi="맑은 고딕" w:eastAsia="맑은 고딕"/>
                <w:b w:val="0"/>
                <w:sz w:val="17"/>
              </w:rPr>
              <w:t>**$225**</w:t>
            </w:r>
          </w:p>
        </w:tc>
        <w:tc>
          <w:tcPr>
            <w:tcW w:type="dxa" w:w="1987"/>
          </w:tcPr>
          <w:p>
            <w:pPr>
              <w:spacing w:after="20" w:before="20"/>
              <w:jc w:val="right"/>
            </w:pPr>
            <w:r/>
            <w:r>
              <w:rPr>
                <w:rFonts w:ascii="맑은 고딕" w:hAnsi="맑은 고딕" w:eastAsia="맑은 고딕"/>
                <w:b w:val="0"/>
                <w:sz w:val="17"/>
              </w:rPr>
              <w:t>—</w:t>
            </w:r>
          </w:p>
        </w:tc>
        <w:tc>
          <w:tcPr>
            <w:tcW w:type="dxa" w:w="1987"/>
          </w:tcPr>
          <w:p>
            <w:pPr>
              <w:spacing w:after="20" w:before="20"/>
              <w:jc w:val="right"/>
            </w:pPr>
            <w:r/>
            <w:r>
              <w:rPr>
                <w:rFonts w:ascii="맑은 고딕" w:hAnsi="맑은 고딕" w:eastAsia="맑은 고딕"/>
                <w:b w:val="0"/>
                <w:sz w:val="17"/>
              </w:rPr>
              <w:t>100%</w:t>
            </w:r>
          </w:p>
        </w:tc>
      </w:tr>
      <w:tr>
        <w:tc>
          <w:tcPr>
            <w:tcW w:type="dxa" w:w="1987"/>
          </w:tcPr>
          <w:p>
            <w:pPr>
              <w:spacing w:after="20" w:before="20"/>
              <w:jc w:val="left"/>
            </w:pPr>
            <w:r/>
            <w:r>
              <w:rPr>
                <w:rFonts w:ascii="맑은 고딕" w:hAnsi="맑은 고딕" w:eastAsia="맑은 고딕"/>
                <w:b w:val="0"/>
                <w:sz w:val="17"/>
              </w:rPr>
              <w:t>*(참고) 현재주가*</w:t>
            </w:r>
          </w:p>
        </w:tc>
        <w:tc>
          <w:tcPr>
            <w:tcW w:type="dxa" w:w="1987"/>
          </w:tcPr>
          <w:p>
            <w:pPr>
              <w:spacing w:after="20" w:before="20"/>
              <w:jc w:val="right"/>
            </w:pPr>
            <w:r/>
            <w:r>
              <w:rPr>
                <w:rFonts w:ascii="맑은 고딕" w:hAnsi="맑은 고딕" w:eastAsia="맑은 고딕"/>
                <w:b w:val="0"/>
                <w:sz w:val="17"/>
              </w:rPr>
              <w:t>—</w:t>
            </w:r>
          </w:p>
        </w:tc>
        <w:tc>
          <w:tcPr>
            <w:tcW w:type="dxa" w:w="1987"/>
          </w:tcPr>
          <w:p>
            <w:pPr>
              <w:spacing w:after="20" w:before="20"/>
              <w:jc w:val="right"/>
            </w:pPr>
            <w:r/>
            <w:r>
              <w:rPr>
                <w:rFonts w:ascii="맑은 고딕" w:hAnsi="맑은 고딕" w:eastAsia="맑은 고딕"/>
                <w:b w:val="0"/>
                <w:sz w:val="17"/>
              </w:rPr>
              <w:t>*$354.46*</w:t>
            </w:r>
          </w:p>
        </w:tc>
        <w:tc>
          <w:tcPr>
            <w:tcW w:type="dxa" w:w="1987"/>
          </w:tcPr>
          <w:p>
            <w:pPr>
              <w:spacing w:after="20" w:before="20"/>
              <w:jc w:val="right"/>
            </w:pPr>
            <w:r/>
            <w:r>
              <w:rPr>
                <w:rFonts w:ascii="맑은 고딕" w:hAnsi="맑은 고딕" w:eastAsia="맑은 고딕"/>
                <w:b w:val="0"/>
                <w:sz w:val="17"/>
              </w:rPr>
              <w:t>—</w:t>
            </w:r>
          </w:p>
        </w:tc>
        <w:tc>
          <w:tcPr>
            <w:tcW w:type="dxa" w:w="1987"/>
          </w:tcPr>
          <w:p>
            <w:pPr>
              <w:spacing w:after="20" w:before="20"/>
              <w:jc w:val="right"/>
            </w:pPr>
            <w:r/>
            <w:r>
              <w:rPr>
                <w:rFonts w:ascii="맑은 고딕" w:hAnsi="맑은 고딕" w:eastAsia="맑은 고딕"/>
                <w:b w:val="0"/>
                <w:sz w:val="17"/>
              </w:rPr>
              <w:t>—</w:t>
            </w:r>
          </w:p>
        </w:tc>
      </w:tr>
      <w:tr>
        <w:tc>
          <w:tcPr>
            <w:tcW w:type="dxa" w:w="1987"/>
          </w:tcPr>
          <w:p>
            <w:pPr>
              <w:spacing w:after="20" w:before="20"/>
              <w:jc w:val="left"/>
            </w:pPr>
            <w:r/>
            <w:r>
              <w:rPr>
                <w:rFonts w:ascii="맑은 고딕" w:hAnsi="맑은 고딕" w:eastAsia="맑은 고딕"/>
                <w:b w:val="0"/>
                <w:sz w:val="17"/>
              </w:rPr>
              <w:t>*(참고) 셀사이드 컨센서스*</w:t>
            </w:r>
          </w:p>
        </w:tc>
        <w:tc>
          <w:tcPr>
            <w:tcW w:type="dxa" w:w="1987"/>
          </w:tcPr>
          <w:p>
            <w:pPr>
              <w:spacing w:after="20" w:before="20"/>
              <w:jc w:val="right"/>
            </w:pPr>
            <w:r/>
            <w:r>
              <w:rPr>
                <w:rFonts w:ascii="맑은 고딕" w:hAnsi="맑은 고딕" w:eastAsia="맑은 고딕"/>
                <w:b w:val="0"/>
                <w:sz w:val="17"/>
              </w:rPr>
              <w:t>—</w:t>
            </w:r>
          </w:p>
        </w:tc>
        <w:tc>
          <w:tcPr>
            <w:tcW w:type="dxa" w:w="1987"/>
          </w:tcPr>
          <w:p>
            <w:pPr>
              <w:spacing w:after="20" w:before="20"/>
              <w:jc w:val="right"/>
            </w:pPr>
            <w:r/>
            <w:r>
              <w:rPr>
                <w:rFonts w:ascii="맑은 고딕" w:hAnsi="맑은 고딕" w:eastAsia="맑은 고딕"/>
                <w:b w:val="0"/>
                <w:sz w:val="17"/>
              </w:rPr>
              <w:t>*약 $410*</w:t>
            </w:r>
          </w:p>
        </w:tc>
        <w:tc>
          <w:tcPr>
            <w:tcW w:type="dxa" w:w="1987"/>
          </w:tcPr>
          <w:p>
            <w:pPr>
              <w:spacing w:after="20" w:before="20"/>
              <w:jc w:val="right"/>
            </w:pPr>
            <w:r/>
            <w:r>
              <w:rPr>
                <w:rFonts w:ascii="맑은 고딕" w:hAnsi="맑은 고딕" w:eastAsia="맑은 고딕"/>
                <w:b w:val="0"/>
                <w:sz w:val="17"/>
              </w:rPr>
              <w:t>—</w:t>
            </w:r>
          </w:p>
        </w:tc>
        <w:tc>
          <w:tcPr>
            <w:tcW w:type="dxa" w:w="1987"/>
          </w:tcPr>
          <w:p>
            <w:pPr>
              <w:spacing w:after="20" w:before="20"/>
              <w:jc w:val="right"/>
            </w:pPr>
            <w:r/>
            <w:r>
              <w:rPr>
                <w:rFonts w:ascii="맑은 고딕" w:hAnsi="맑은 고딕" w:eastAsia="맑은 고딕"/>
                <w:b w:val="0"/>
                <w:sz w:val="17"/>
              </w:rPr>
              <w:t>—</w:t>
            </w:r>
          </w:p>
        </w:tc>
      </w:tr>
    </w:tbl>
    <w:p>
      <w:pPr>
        <w:spacing w:after="40"/>
      </w:pPr>
    </w:p>
    <w:p>
      <w:pPr>
        <w:spacing w:after="120"/>
      </w:pPr>
      <w:r>
        <w:rPr>
          <w:rFonts w:ascii="맑은 고딕" w:hAnsi="맑은 고딕" w:eastAsia="맑은 고딕"/>
          <w:i w:val="0"/>
          <w:sz w:val="21"/>
        </w:rPr>
        <w:t>DCF에 상대적으로 높은 가중치(55%)를 부여한 근거는, 비교기업 접근법이 시장 전반의 배수 수준을 준거로 삼는 만큼 기술주 전반이 동시에 고평가된 국면에서는 상방 편향을 가질 수 있다는 점이다. 다만 앞서 지적한 영구가치 79.3% 의존도라는 DCF의 취약성을 고려하여 비교기업 접근법에도 45%라는 실질적 비중을 유지하였다.</w:t>
      </w:r>
    </w:p>
    <w:p>
      <w:pPr>
        <w:spacing w:after="120"/>
      </w:pPr>
      <w:r>
        <w:rPr>
          <w:rFonts w:ascii="맑은 고딕" w:hAnsi="맑은 고딕" w:eastAsia="맑은 고딕"/>
          <w:i w:val="0"/>
          <w:sz w:val="21"/>
        </w:rPr>
        <w:t xml:space="preserve">풋볼필드 전체를 조망할 때, </w:t>
      </w:r>
      <w:r>
        <w:rPr>
          <w:rFonts w:ascii="맑은 고딕" w:hAnsi="맑은 고딕" w:eastAsia="맑은 고딕"/>
          <w:b/>
          <w:i w:val="0"/>
          <w:sz w:val="21"/>
        </w:rPr>
        <w:t>어느 방법론의 어느 구간에서도 현재주가 $354.46이 중심값으로 지지되지 않는다</w:t>
      </w:r>
      <w:r>
        <w:rPr>
          <w:rFonts w:ascii="맑은 고딕" w:hAnsi="맑은 고딕" w:eastAsia="맑은 고딕"/>
          <w:i w:val="0"/>
          <w:sz w:val="21"/>
        </w:rPr>
        <w:t>. 현재주가를 포함하는 구간은 DCF의 극단적 낙관 시나리오와 Comps의 75분위 상단뿐이며, 두 경우 모두 상단에 근접한 예외적 조합이다.</w:t>
      </w:r>
    </w:p>
    <w:p>
      <w:pPr>
        <w:spacing w:after="120"/>
      </w:pPr>
      <w:r>
        <w:rPr>
          <w:rFonts w:ascii="맑은 고딕" w:hAnsi="맑은 고딕" w:eastAsia="맑은 고딕"/>
          <w:i w:val="0"/>
          <w:sz w:val="21"/>
        </w:rPr>
        <w:t>---</w:t>
      </w:r>
    </w:p>
    <w:p>
      <w:pPr>
        <w:spacing w:before="160" w:after="80"/>
      </w:pPr>
      <w:r>
        <w:rPr>
          <w:rFonts w:ascii="맑은 고딕" w:hAnsi="맑은 고딕" w:eastAsia="맑은 고딕"/>
          <w:b/>
          <w:color w:val="1A1A1A"/>
          <w:sz w:val="25"/>
        </w:rPr>
        <w:t>투자의견 및 목표주가</w:t>
      </w:r>
    </w:p>
    <w:p>
      <w:pPr>
        <w:spacing w:after="120"/>
      </w:pPr>
      <w:r>
        <w:rPr>
          <w:rFonts w:ascii="맑은 고딕" w:hAnsi="맑은 고딕" w:eastAsia="맑은 고딕"/>
          <w:b/>
          <w:i w:val="0"/>
          <w:sz w:val="21"/>
        </w:rPr>
        <w:t>투자의견: 매도(SELL) / 목표주가: $225 / 하락위험: −36.4%</w:t>
      </w:r>
    </w:p>
    <w:p>
      <w:pPr>
        <w:spacing w:after="120"/>
      </w:pPr>
      <w:r>
        <w:rPr>
          <w:rFonts w:ascii="맑은 고딕" w:hAnsi="맑은 고딕" w:eastAsia="맑은 고딕"/>
          <w:i w:val="0"/>
          <w:sz w:val="21"/>
        </w:rPr>
        <w:t xml:space="preserve">투자의견의 논리는 사업의 질(quality)이 아니라 가격(price)에 관한 것임을 분명히 한다. Alphabet은 우수한 사업체이며, 본 모델 역시 5년간 매출 CAGR 15.4%, EPS 두 배 이상 확대라는 견조한 성장을 전제하고 있다. 매도 의견은 그러한 성장을 부정해서가 아니라, </w:t>
      </w:r>
      <w:r>
        <w:rPr>
          <w:rFonts w:ascii="맑은 고딕" w:hAnsi="맑은 고딕" w:eastAsia="맑은 고딕"/>
          <w:b/>
          <w:i w:val="0"/>
          <w:sz w:val="21"/>
        </w:rPr>
        <w:t>그 성장이 이미 주가에 반영되고도 남았다</w:t>
      </w:r>
      <w:r>
        <w:rPr>
          <w:rFonts w:ascii="맑은 고딕" w:hAnsi="맑은 고딕" w:eastAsia="맑은 고딕"/>
          <w:i w:val="0"/>
          <w:sz w:val="21"/>
        </w:rPr>
        <w:t>는 판단에서 비롯된다.</w:t>
      </w:r>
    </w:p>
    <w:p>
      <w:pPr>
        <w:spacing w:before="160" w:after="80"/>
      </w:pPr>
      <w:r>
        <w:rPr>
          <w:rFonts w:ascii="맑은 고딕" w:hAnsi="맑은 고딕" w:eastAsia="맑은 고딕"/>
          <w:b/>
          <w:color w:val="1A1A1A"/>
          <w:sz w:val="22"/>
        </w:rPr>
        <w:t>셀사이드 컨센서스와의 괴리 해석</w:t>
      </w:r>
    </w:p>
    <w:p>
      <w:pPr>
        <w:spacing w:after="120"/>
      </w:pPr>
      <w:r>
        <w:rPr>
          <w:rFonts w:ascii="맑은 고딕" w:hAnsi="맑은 고딕" w:eastAsia="맑은 고딕"/>
          <w:i w:val="0"/>
          <w:sz w:val="21"/>
        </w:rPr>
        <w:t xml:space="preserve">컨센서스 목표주가 약 $410과 본 모델 $225 사이에는 약 $185, 비율로는 82%의 괴리가 존재한다. 이 괴리는 데이터의 차이가 아니라 </w:t>
      </w:r>
      <w:r>
        <w:rPr>
          <w:rFonts w:ascii="맑은 고딕" w:hAnsi="맑은 고딕" w:eastAsia="맑은 고딕"/>
          <w:b/>
          <w:i w:val="0"/>
          <w:sz w:val="21"/>
        </w:rPr>
        <w:t>가정의 차이</w:t>
      </w:r>
      <w:r>
        <w:rPr>
          <w:rFonts w:ascii="맑은 고딕" w:hAnsi="맑은 고딕" w:eastAsia="맑은 고딕"/>
          <w:i w:val="0"/>
          <w:sz w:val="21"/>
        </w:rPr>
        <w:t>에서 발생하며, 주요 분기점은 다음 네 가지이다.</w:t>
      </w:r>
    </w:p>
    <w:p>
      <w:pPr>
        <w:spacing w:after="120"/>
      </w:pPr>
      <w:r>
        <w:rPr>
          <w:rFonts w:ascii="맑은 고딕" w:hAnsi="맑은 고딕" w:eastAsia="맑은 고딕"/>
          <w:b/>
          <w:i w:val="0"/>
          <w:sz w:val="21"/>
        </w:rPr>
        <w:t>첫째, 성장의 지속성.</w:t>
      </w:r>
      <w:r>
        <w:rPr>
          <w:rFonts w:ascii="맑은 고딕" w:hAnsi="맑은 고딕" w:eastAsia="맑은 고딕"/>
          <w:i w:val="0"/>
          <w:sz w:val="21"/>
        </w:rPr>
        <w:t xml:space="preserve"> 컨센서스는 명시적 추정기간 이후에도 고성장이 상당 기간 유지된다고 보는 반면, 본 모델은 영구성장률 3.0%로 조기에 성숙 국면을 가정한다. 영구가치가 EV의 79.3%를 차지하는 구조상 이 가정 하나가 결과를 크게 좌우한다.</w:t>
      </w:r>
    </w:p>
    <w:p>
      <w:pPr>
        <w:spacing w:after="120"/>
      </w:pPr>
      <w:r>
        <w:rPr>
          <w:rFonts w:ascii="맑은 고딕" w:hAnsi="맑은 고딕" w:eastAsia="맑은 고딕"/>
          <w:b/>
          <w:i w:val="0"/>
          <w:sz w:val="21"/>
        </w:rPr>
        <w:t>둘째, 할인율.</w:t>
      </w:r>
      <w:r>
        <w:rPr>
          <w:rFonts w:ascii="맑은 고딕" w:hAnsi="맑은 고딕" w:eastAsia="맑은 고딕"/>
          <w:i w:val="0"/>
          <w:sz w:val="21"/>
        </w:rPr>
        <w:t xml:space="preserve"> 다수의 셀사이드 모델은 8%대 또는 그 이하의 WACC를 적용한다. 본 모델의 9.42%는 베타 1.05와 ERP 5.0%라는 표준적 입력에 근거하나, 대형 우량주에 대해 더 낮은 위험프리미엄을 적용하는 관행과는 차이가 있다.</w:t>
      </w:r>
    </w:p>
    <w:p>
      <w:pPr>
        <w:spacing w:after="120"/>
      </w:pPr>
      <w:r>
        <w:rPr>
          <w:rFonts w:ascii="맑은 고딕" w:hAnsi="맑은 고딕" w:eastAsia="맑은 고딕"/>
          <w:b/>
          <w:i w:val="0"/>
          <w:sz w:val="21"/>
        </w:rPr>
        <w:t>셋째, AI 수익화 속도.</w:t>
      </w:r>
      <w:r>
        <w:rPr>
          <w:rFonts w:ascii="맑은 고딕" w:hAnsi="맑은 고딕" w:eastAsia="맑은 고딕"/>
          <w:i w:val="0"/>
          <w:sz w:val="21"/>
        </w:rPr>
        <w:t xml:space="preserve"> 컨센서스는 클라우드 및 생성형 AI 관련 매출이 본 모델 추정보다 빠르게 확대되고, 동시에 인프라 투자가 조기에 레버리지를 발생시킨다고 본다. 본 모델은 매출 성장은 인정하되 CapEx 부담의 해소 속도를 보수적으로 잡았다.</w:t>
      </w:r>
    </w:p>
    <w:p>
      <w:pPr>
        <w:spacing w:after="120"/>
      </w:pPr>
      <w:r>
        <w:rPr>
          <w:rFonts w:ascii="맑은 고딕" w:hAnsi="맑은 고딕" w:eastAsia="맑은 고딕"/>
          <w:b/>
          <w:i w:val="0"/>
          <w:sz w:val="21"/>
        </w:rPr>
        <w:t>넷째, 터미널 가정 전반.</w:t>
      </w:r>
      <w:r>
        <w:rPr>
          <w:rFonts w:ascii="맑은 고딕" w:hAnsi="맑은 고딕" w:eastAsia="맑은 고딕"/>
          <w:i w:val="0"/>
          <w:sz w:val="21"/>
        </w:rPr>
        <w:t xml:space="preserve"> 종국적으로 영구성장률과 종료 시점 마진 구조에 대한 견해차가 누적되어 밸류에이션 격차로 귀결된다.</w:t>
      </w:r>
    </w:p>
    <w:p>
      <w:pPr>
        <w:spacing w:before="160" w:after="80"/>
      </w:pPr>
      <w:r>
        <w:rPr>
          <w:rFonts w:ascii="맑은 고딕" w:hAnsi="맑은 고딕" w:eastAsia="맑은 고딕"/>
          <w:b/>
          <w:color w:val="1A1A1A"/>
          <w:sz w:val="22"/>
        </w:rPr>
        <w:t>본 모델이 틀릴 수 있는 경우</w:t>
      </w:r>
    </w:p>
    <w:p>
      <w:pPr>
        <w:spacing w:after="120"/>
      </w:pPr>
      <w:r>
        <w:rPr>
          <w:rFonts w:ascii="맑은 고딕" w:hAnsi="맑은 고딕" w:eastAsia="맑은 고딕"/>
          <w:i w:val="0"/>
          <w:sz w:val="21"/>
        </w:rPr>
        <w:t>지적 정직성을 위해 본 결론이 오류일 수 있는 경로를 명시한다.</w:t>
      </w:r>
    </w:p>
    <w:p>
      <w:pPr>
        <w:spacing w:after="120"/>
      </w:pPr>
      <w:r>
        <w:rPr>
          <w:rFonts w:ascii="맑은 고딕" w:hAnsi="맑은 고딕" w:eastAsia="맑은 고딕"/>
          <w:i w:val="0"/>
          <w:sz w:val="21"/>
        </w:rPr>
        <w:t xml:space="preserve">1. </w:t>
      </w:r>
      <w:r>
        <w:rPr>
          <w:rFonts w:ascii="맑은 고딕" w:hAnsi="맑은 고딕" w:eastAsia="맑은 고딕"/>
          <w:b/>
          <w:i w:val="0"/>
          <w:sz w:val="21"/>
        </w:rPr>
        <w:t>클라우드·AI 수익화의 가속.</w:t>
      </w:r>
      <w:r>
        <w:rPr>
          <w:rFonts w:ascii="맑은 고딕" w:hAnsi="맑은 고딕" w:eastAsia="맑은 고딕"/>
          <w:i w:val="0"/>
          <w:sz w:val="21"/>
        </w:rPr>
        <w:t xml:space="preserve"> AI 관련 매출이 본 추정을 큰 폭으로 상회하고 동시에 마진이 확대될 경우, FCF 궤적이 상향 이동하여 DCF 결과가 크게 개선된다. 특히 FY2028E 이후 구간의 상향은 영구가치 기저를 통해 증폭 반영된다.</w:t>
      </w:r>
    </w:p>
    <w:p>
      <w:pPr>
        <w:spacing w:after="120"/>
      </w:pPr>
      <w:r>
        <w:rPr>
          <w:rFonts w:ascii="맑은 고딕" w:hAnsi="맑은 고딕" w:eastAsia="맑은 고딕"/>
          <w:i w:val="0"/>
          <w:sz w:val="21"/>
        </w:rPr>
        <w:t xml:space="preserve">2. </w:t>
      </w:r>
      <w:r>
        <w:rPr>
          <w:rFonts w:ascii="맑은 고딕" w:hAnsi="맑은 고딕" w:eastAsia="맑은 고딕"/>
          <w:b/>
          <w:i w:val="0"/>
          <w:sz w:val="21"/>
        </w:rPr>
        <w:t>자사주 매입 가속.</w:t>
      </w:r>
      <w:r>
        <w:rPr>
          <w:rFonts w:ascii="맑은 고딕" w:hAnsi="맑은 고딕" w:eastAsia="맑은 고딕"/>
          <w:i w:val="0"/>
          <w:sz w:val="21"/>
        </w:rPr>
        <w:t xml:space="preserve"> 순현금 $77.4십억과 강한 현금창출력을 바탕으로 매입 규모가 확대될 경우, 주식수 감소가 EPS를 끌어올려 P/E 기준 함의주가를 상향시킨다.</w:t>
      </w:r>
    </w:p>
    <w:p>
      <w:pPr>
        <w:spacing w:after="120"/>
      </w:pPr>
      <w:r>
        <w:rPr>
          <w:rFonts w:ascii="맑은 고딕" w:hAnsi="맑은 고딕" w:eastAsia="맑은 고딕"/>
          <w:i w:val="0"/>
          <w:sz w:val="21"/>
        </w:rPr>
        <w:t xml:space="preserve">3. </w:t>
      </w:r>
      <w:r>
        <w:rPr>
          <w:rFonts w:ascii="맑은 고딕" w:hAnsi="맑은 고딕" w:eastAsia="맑은 고딕"/>
          <w:b/>
          <w:i w:val="0"/>
          <w:sz w:val="21"/>
        </w:rPr>
        <w:t>WACC 하락.</w:t>
      </w:r>
      <w:r>
        <w:rPr>
          <w:rFonts w:ascii="맑은 고딕" w:hAnsi="맑은 고딕" w:eastAsia="맑은 고딕"/>
          <w:i w:val="0"/>
          <w:sz w:val="21"/>
        </w:rPr>
        <w:t xml:space="preserve"> 이익 변동성 축소나 사업 다각화로 베타가 1.05 미만으로 하락하거나 무위험수익률이 내려갈 경우, 민감도표가 보여주듯 할인율 1%포인트 변화만으로도 주당가치는 수십 달러 단위로 이동한다.</w:t>
      </w:r>
    </w:p>
    <w:p>
      <w:pPr>
        <w:spacing w:after="120"/>
      </w:pPr>
      <w:r>
        <w:rPr>
          <w:rFonts w:ascii="맑은 고딕" w:hAnsi="맑은 고딕" w:eastAsia="맑은 고딕"/>
          <w:i w:val="0"/>
          <w:sz w:val="21"/>
        </w:rPr>
        <w:t xml:space="preserve">4. </w:t>
      </w:r>
      <w:r>
        <w:rPr>
          <w:rFonts w:ascii="맑은 고딕" w:hAnsi="맑은 고딕" w:eastAsia="맑은 고딕"/>
          <w:b/>
          <w:i w:val="0"/>
          <w:sz w:val="21"/>
        </w:rPr>
        <w:t>규제 리스크의 해소.</w:t>
      </w:r>
      <w:r>
        <w:rPr>
          <w:rFonts w:ascii="맑은 고딕" w:hAnsi="맑은 고딕" w:eastAsia="맑은 고딕"/>
          <w:i w:val="0"/>
          <w:sz w:val="21"/>
        </w:rPr>
        <w:t xml:space="preserve"> 반독점 관련 불확실성이 시장 예상보다 우호적으로 종결될 경우, 시장이 요구하는 위험프리미엄이 축소되어 배수 리레이팅이 발생할 수 있다.</w:t>
      </w:r>
    </w:p>
    <w:p>
      <w:pPr>
        <w:spacing w:after="120"/>
      </w:pPr>
      <w:r>
        <w:rPr>
          <w:rFonts w:ascii="맑은 고딕" w:hAnsi="맑은 고딕" w:eastAsia="맑은 고딕"/>
          <w:i w:val="0"/>
          <w:sz w:val="21"/>
        </w:rPr>
        <w:t xml:space="preserve">5. </w:t>
      </w:r>
      <w:r>
        <w:rPr>
          <w:rFonts w:ascii="맑은 고딕" w:hAnsi="맑은 고딕" w:eastAsia="맑은 고딕"/>
          <w:b/>
          <w:i w:val="0"/>
          <w:sz w:val="21"/>
        </w:rPr>
        <w:t>CapEx의 조기 정상화.</w:t>
      </w:r>
      <w:r>
        <w:rPr>
          <w:rFonts w:ascii="맑은 고딕" w:hAnsi="맑은 고딕" w:eastAsia="맑은 고딕"/>
          <w:i w:val="0"/>
          <w:sz w:val="21"/>
        </w:rPr>
        <w:t xml:space="preserve"> 본 모델보다도 빠르게 설비투자 비율이 하락할 경우 FCF는 추정을 상회한다.</w:t>
      </w:r>
    </w:p>
    <w:p>
      <w:pPr>
        <w:spacing w:before="160" w:after="80"/>
      </w:pPr>
      <w:r>
        <w:rPr>
          <w:rFonts w:ascii="맑은 고딕" w:hAnsi="맑은 고딕" w:eastAsia="맑은 고딕"/>
          <w:b/>
          <w:color w:val="1A1A1A"/>
          <w:sz w:val="22"/>
        </w:rPr>
        <w:t>매수 전환 조건</w:t>
      </w:r>
    </w:p>
    <w:p>
      <w:pPr>
        <w:spacing w:after="120"/>
      </w:pPr>
      <w:r>
        <w:rPr>
          <w:rFonts w:ascii="맑은 고딕" w:hAnsi="맑은 고딕" w:eastAsia="맑은 고딕"/>
          <w:i w:val="0"/>
          <w:sz w:val="21"/>
        </w:rPr>
        <w:t>다음 중 복수가 충족될 경우 본 의견을 재검토한다.</w:t>
      </w:r>
    </w:p>
    <w:p>
      <w:pPr>
        <w:pStyle w:val="ListBullet"/>
        <w:spacing w:after="60"/>
      </w:pPr>
      <w:r>
        <w:rPr>
          <w:rFonts w:ascii="맑은 고딕" w:hAnsi="맑은 고딕" w:eastAsia="맑은 고딕"/>
          <w:sz w:val="21"/>
        </w:rPr>
        <w:t>주가가 $225 이하로 조정되어 본 모델 기준 적정가 이하 진입</w:t>
      </w:r>
    </w:p>
    <w:p>
      <w:pPr>
        <w:pStyle w:val="ListBullet"/>
        <w:spacing w:after="60"/>
      </w:pPr>
      <w:r>
        <w:rPr>
          <w:rFonts w:ascii="맑은 고딕" w:hAnsi="맑은 고딕" w:eastAsia="맑은 고딕"/>
          <w:sz w:val="21"/>
        </w:rPr>
        <w:t>매출 대비 CapEx가 FY2027 이전에 15% 이하로 실질 하락하고 동시에 FCF가 추정치를 20% 이상 상회</w:t>
      </w:r>
    </w:p>
    <w:p>
      <w:pPr>
        <w:pStyle w:val="ListBullet"/>
        <w:spacing w:after="60"/>
      </w:pPr>
      <w:r>
        <w:rPr>
          <w:rFonts w:ascii="맑은 고딕" w:hAnsi="맑은 고딕" w:eastAsia="맑은 고딕"/>
          <w:sz w:val="21"/>
        </w:rPr>
        <w:t>클라우드 부문 매출 성장률이 두 개 분기 연속 본 모델 전제를 유의미하게 상회하며 영업이익률 개선 동반</w:t>
      </w:r>
    </w:p>
    <w:p>
      <w:pPr>
        <w:pStyle w:val="ListBullet"/>
        <w:spacing w:after="60"/>
      </w:pPr>
      <w:r>
        <w:rPr>
          <w:rFonts w:ascii="맑은 고딕" w:hAnsi="맑은 고딕" w:eastAsia="맑은 고딕"/>
          <w:sz w:val="21"/>
        </w:rPr>
        <w:t>선행 P/E가 피어 중앙값 17.9배 수준까지 축소(주가 조정 또는 이익 상향 어느 경로든)</w:t>
      </w:r>
    </w:p>
    <w:p>
      <w:pPr>
        <w:pStyle w:val="ListBullet"/>
        <w:spacing w:after="60"/>
      </w:pPr>
      <w:r>
        <w:rPr>
          <w:rFonts w:ascii="맑은 고딕" w:hAnsi="맑은 고딕" w:eastAsia="맑은 고딕"/>
          <w:sz w:val="21"/>
        </w:rPr>
        <w:t>반독점 이슈의 실질적 종결로 구조적 사업 분할 위험 소멸</w:t>
      </w:r>
    </w:p>
    <w:p>
      <w:pPr>
        <w:spacing w:before="160" w:after="80"/>
      </w:pPr>
      <w:r>
        <w:rPr>
          <w:rFonts w:ascii="맑은 고딕" w:hAnsi="맑은 고딕" w:eastAsia="맑은 고딕"/>
          <w:b/>
          <w:color w:val="1A1A1A"/>
          <w:sz w:val="22"/>
        </w:rPr>
        <w:t>추가 하락 조건</w:t>
      </w:r>
    </w:p>
    <w:p>
      <w:pPr>
        <w:spacing w:after="120"/>
      </w:pPr>
      <w:r>
        <w:rPr>
          <w:rFonts w:ascii="맑은 고딕" w:hAnsi="맑은 고딕" w:eastAsia="맑은 고딕"/>
          <w:i w:val="0"/>
          <w:sz w:val="21"/>
        </w:rPr>
        <w:t>다음 사유는 목표주가의 하향 조정 요인이다.</w:t>
      </w:r>
    </w:p>
    <w:p>
      <w:pPr>
        <w:pStyle w:val="ListBullet"/>
        <w:spacing w:after="60"/>
      </w:pPr>
      <w:r>
        <w:rPr>
          <w:rFonts w:ascii="맑은 고딕" w:hAnsi="맑은 고딕" w:eastAsia="맑은 고딕"/>
          <w:sz w:val="21"/>
        </w:rPr>
        <w:t>매출 대비 CapEx가 FY2027 이후에도 20%를 상회하며 고착</w:t>
      </w:r>
    </w:p>
    <w:p>
      <w:pPr>
        <w:pStyle w:val="ListBullet"/>
        <w:spacing w:after="60"/>
      </w:pPr>
      <w:r>
        <w:rPr>
          <w:rFonts w:ascii="맑은 고딕" w:hAnsi="맑은 고딕" w:eastAsia="맑은 고딕"/>
          <w:sz w:val="21"/>
        </w:rPr>
        <w:t>검색 광고 매출 성장률의 구조적 둔화(생성형 AI 대체 효과의 현실화)</w:t>
      </w:r>
    </w:p>
    <w:p>
      <w:pPr>
        <w:pStyle w:val="ListBullet"/>
        <w:spacing w:after="60"/>
      </w:pPr>
      <w:r>
        <w:rPr>
          <w:rFonts w:ascii="맑은 고딕" w:hAnsi="맑은 고딕" w:eastAsia="맑은 고딕"/>
          <w:sz w:val="21"/>
        </w:rPr>
        <w:t>반독점 판결에 따른 사업부 분리 또는 기본검색 계약 구조의 강제 변경</w:t>
      </w:r>
    </w:p>
    <w:p>
      <w:pPr>
        <w:pStyle w:val="ListBullet"/>
        <w:spacing w:after="60"/>
      </w:pPr>
      <w:r>
        <w:rPr>
          <w:rFonts w:ascii="맑은 고딕" w:hAnsi="맑은 고딕" w:eastAsia="맑은 고딕"/>
          <w:sz w:val="21"/>
        </w:rPr>
        <w:t>피어 그룹 전반의 배수 축소(중앙값 P/E 15배 이하로 하향 시 함의주가 $210 수준으로 하락)</w:t>
      </w:r>
    </w:p>
    <w:p>
      <w:pPr>
        <w:pStyle w:val="ListBullet"/>
        <w:spacing w:after="60"/>
      </w:pPr>
      <w:r>
        <w:rPr>
          <w:rFonts w:ascii="맑은 고딕" w:hAnsi="맑은 고딕" w:eastAsia="맑은 고딕"/>
          <w:sz w:val="21"/>
        </w:rPr>
        <w:t>지분투자 평가익 등 비영업 이익의 반전으로 인한 순이익 질(quality) 악화 부각</w:t>
      </w:r>
    </w:p>
    <w:p>
      <w:pPr>
        <w:spacing w:after="120"/>
      </w:pPr>
      <w:r>
        <w:rPr>
          <w:rFonts w:ascii="맑은 고딕" w:hAnsi="맑은 고딕" w:eastAsia="맑은 고딕"/>
          <w:i w:val="0"/>
          <w:sz w:val="21"/>
        </w:rPr>
        <w:t>---</w:t>
      </w:r>
    </w:p>
    <w:p>
      <w:pPr>
        <w:spacing w:before="160" w:after="80"/>
      </w:pPr>
      <w:r>
        <w:rPr>
          <w:rFonts w:ascii="맑은 고딕" w:hAnsi="맑은 고딕" w:eastAsia="맑은 고딕"/>
          <w:b/>
          <w:color w:val="1A1A1A"/>
          <w:sz w:val="25"/>
        </w:rPr>
        <w:t>촉매 및 리스크</w:t>
      </w:r>
    </w:p>
    <w:p>
      <w:pPr>
        <w:spacing w:before="160" w:after="80"/>
      </w:pPr>
      <w:r>
        <w:rPr>
          <w:rFonts w:ascii="맑은 고딕" w:hAnsi="맑은 고딕" w:eastAsia="맑은 고딕"/>
          <w:b/>
          <w:color w:val="1A1A1A"/>
          <w:sz w:val="22"/>
        </w:rPr>
        <w:t>상방 촉매</w:t>
      </w:r>
    </w:p>
    <w:p>
      <w:pPr>
        <w:pStyle w:val="ListBullet"/>
        <w:spacing w:after="60"/>
      </w:pPr>
      <w:r>
        <w:rPr>
          <w:rFonts w:ascii="맑은 고딕" w:hAnsi="맑은 고딕" w:eastAsia="맑은 고딕"/>
          <w:sz w:val="21"/>
        </w:rPr>
        <w:t>클라우드 부문 수익성 개선의 가시화 및 대형 AI 워크로드 수주 발표</w:t>
      </w:r>
    </w:p>
    <w:p>
      <w:pPr>
        <w:pStyle w:val="ListBullet"/>
        <w:spacing w:after="60"/>
      </w:pPr>
      <w:r>
        <w:rPr>
          <w:rFonts w:ascii="맑은 고딕" w:hAnsi="맑은 고딕" w:eastAsia="맑은 고딕"/>
          <w:sz w:val="21"/>
        </w:rPr>
        <w:t>자체 TPU 기반 인프라 원가 우위의 실적 반영</w:t>
      </w:r>
    </w:p>
    <w:p>
      <w:pPr>
        <w:pStyle w:val="ListBullet"/>
        <w:spacing w:after="60"/>
      </w:pPr>
      <w:r>
        <w:rPr>
          <w:rFonts w:ascii="맑은 고딕" w:hAnsi="맑은 고딕" w:eastAsia="맑은 고딕"/>
          <w:sz w:val="21"/>
        </w:rPr>
        <w:t>자사주 매입 프로그램 확대 발표</w:t>
      </w:r>
    </w:p>
    <w:p>
      <w:pPr>
        <w:pStyle w:val="ListBullet"/>
        <w:spacing w:after="60"/>
      </w:pPr>
      <w:r>
        <w:rPr>
          <w:rFonts w:ascii="맑은 고딕" w:hAnsi="맑은 고딕" w:eastAsia="맑은 고딕"/>
          <w:sz w:val="21"/>
        </w:rPr>
        <w:t>YouTube 및 구독형 매출의 예상 상회 성장</w:t>
      </w:r>
    </w:p>
    <w:p>
      <w:pPr>
        <w:pStyle w:val="ListBullet"/>
        <w:spacing w:after="60"/>
      </w:pPr>
      <w:r>
        <w:rPr>
          <w:rFonts w:ascii="맑은 고딕" w:hAnsi="맑은 고딕" w:eastAsia="맑은 고딕"/>
          <w:sz w:val="21"/>
        </w:rPr>
        <w:t>규제 불확실성의 우호적 종결</w:t>
      </w:r>
    </w:p>
    <w:p>
      <w:pPr>
        <w:spacing w:before="160" w:after="80"/>
      </w:pPr>
      <w:r>
        <w:rPr>
          <w:rFonts w:ascii="맑은 고딕" w:hAnsi="맑은 고딕" w:eastAsia="맑은 고딕"/>
          <w:b/>
          <w:color w:val="1A1A1A"/>
          <w:sz w:val="22"/>
        </w:rPr>
        <w:t>하방 리스크</w:t>
      </w:r>
    </w:p>
    <w:p>
      <w:pPr>
        <w:pStyle w:val="ListBullet"/>
        <w:spacing w:after="60"/>
      </w:pPr>
      <w:r>
        <w:rPr>
          <w:rFonts w:ascii="맑은 고딕" w:hAnsi="맑은 고딕" w:eastAsia="맑은 고딕"/>
          <w:b/>
          <w:sz w:val="21"/>
        </w:rPr>
        <w:t>설비투자 고착</w:t>
      </w:r>
      <w:r>
        <w:rPr>
          <w:rFonts w:ascii="맑은 고딕" w:hAnsi="맑은 고딕" w:eastAsia="맑은 고딕"/>
          <w:sz w:val="21"/>
        </w:rPr>
        <w:t>: 본 모델의 핵심 취약점이자 가장 현실적인 하방 경로. FY2025 실제 22.7% 대비 낮은 가정을 사용했으므로 이탈 시 즉각적 하향 요인.</w:t>
      </w:r>
    </w:p>
    <w:p>
      <w:pPr>
        <w:pStyle w:val="ListBullet"/>
        <w:spacing w:after="60"/>
      </w:pPr>
      <w:r>
        <w:rPr>
          <w:rFonts w:ascii="맑은 고딕" w:hAnsi="맑은 고딕" w:eastAsia="맑은 고딕"/>
          <w:b/>
          <w:sz w:val="21"/>
        </w:rPr>
        <w:t>이익의 질</w:t>
      </w:r>
      <w:r>
        <w:rPr>
          <w:rFonts w:ascii="맑은 고딕" w:hAnsi="맑은 고딕" w:eastAsia="맑은 고딕"/>
          <w:sz w:val="21"/>
        </w:rPr>
        <w:t>: FY2025 순이익 $132.2십억 중 약 $29.8십억이 지분투자 평가익이며, 이는 반복 가능하지 않다. 시장이 정상화 이익 기준으로 재평가할 경우 배수 축소 압력이 발생한다.</w:t>
      </w:r>
    </w:p>
    <w:p>
      <w:pPr>
        <w:pStyle w:val="ListBullet"/>
        <w:spacing w:after="60"/>
      </w:pPr>
      <w:r>
        <w:rPr>
          <w:rFonts w:ascii="맑은 고딕" w:hAnsi="맑은 고딕" w:eastAsia="맑은 고딕"/>
          <w:b/>
          <w:sz w:val="21"/>
        </w:rPr>
        <w:t>규제</w:t>
      </w:r>
      <w:r>
        <w:rPr>
          <w:rFonts w:ascii="맑은 고딕" w:hAnsi="맑은 고딕" w:eastAsia="맑은 고딕"/>
          <w:sz w:val="21"/>
        </w:rPr>
        <w:t>: 반독점 소송의 구제조치가 사업 구조에 실질적 영향을 미칠 가능성.</w:t>
      </w:r>
    </w:p>
    <w:p>
      <w:pPr>
        <w:pStyle w:val="ListBullet"/>
        <w:spacing w:after="60"/>
      </w:pPr>
      <w:r>
        <w:rPr>
          <w:rFonts w:ascii="맑은 고딕" w:hAnsi="맑은 고딕" w:eastAsia="맑은 고딕"/>
          <w:b/>
          <w:sz w:val="21"/>
        </w:rPr>
        <w:t>경쟁 구도 전환</w:t>
      </w:r>
      <w:r>
        <w:rPr>
          <w:rFonts w:ascii="맑은 고딕" w:hAnsi="맑은 고딕" w:eastAsia="맑은 고딕"/>
          <w:sz w:val="21"/>
        </w:rPr>
        <w:t>: 대화형 AI 인터페이스의 확산이 전통적 검색 광고 단가와 물량에 미치는 장기 영향.</w:t>
      </w:r>
    </w:p>
    <w:p>
      <w:pPr>
        <w:pStyle w:val="ListBullet"/>
        <w:spacing w:after="60"/>
      </w:pPr>
      <w:r>
        <w:rPr>
          <w:rFonts w:ascii="맑은 고딕" w:hAnsi="맑은 고딕" w:eastAsia="맑은 고딕"/>
          <w:b/>
          <w:sz w:val="21"/>
        </w:rPr>
        <w:t>밸류에이션 압축</w:t>
      </w:r>
      <w:r>
        <w:rPr>
          <w:rFonts w:ascii="맑은 고딕" w:hAnsi="맑은 고딕" w:eastAsia="맑은 고딕"/>
          <w:sz w:val="21"/>
        </w:rPr>
        <w:t>: 금리 상승 또는 위험선호 축소 시 프리미엄 배수 구간의 주식이 우선적으로 조정받는다.</w:t>
      </w:r>
    </w:p>
    <w:p>
      <w:pPr>
        <w:spacing w:after="120"/>
      </w:pPr>
      <w:r>
        <w:rPr>
          <w:rFonts w:ascii="맑은 고딕" w:hAnsi="맑은 고딕" w:eastAsia="맑은 고딕"/>
          <w:i w:val="0"/>
          <w:sz w:val="21"/>
        </w:rPr>
        <w:t>---</w:t>
      </w:r>
    </w:p>
    <w:p>
      <w:pPr>
        <w:spacing w:before="160" w:after="80"/>
      </w:pPr>
      <w:r>
        <w:rPr>
          <w:rFonts w:ascii="맑은 고딕" w:hAnsi="맑은 고딕" w:eastAsia="맑은 고딕"/>
          <w:b/>
          <w:color w:val="1A1A1A"/>
          <w:sz w:val="25"/>
        </w:rPr>
        <w:t>검증 항목 (Sanity Check)</w:t>
      </w:r>
    </w:p>
    <w:p>
      <w:pPr>
        <w:spacing w:after="120"/>
      </w:pPr>
      <w:r>
        <w:rPr>
          <w:rFonts w:ascii="맑은 고딕" w:hAnsi="맑은 고딕" w:eastAsia="맑은 고딕"/>
          <w:i w:val="0"/>
          <w:sz w:val="21"/>
        </w:rPr>
        <w:t>본 모델의 내적 일관성을 다음과 같이 점검하였다.</w:t>
      </w:r>
    </w:p>
    <w:tbl>
      <w:tblPr>
        <w:tblStyle w:val="LightGrid-Accent1"/>
        <w:tblW w:type="auto" w:w="0"/>
        <w:tblLayout w:type="autofit"/>
        <w:tblLook w:firstColumn="1" w:firstRow="1" w:lastColumn="0" w:lastRow="0" w:noHBand="0" w:noVBand="1" w:val="04A0"/>
      </w:tblPr>
      <w:tblGrid>
        <w:gridCol w:w="3312"/>
        <w:gridCol w:w="3312"/>
        <w:gridCol w:w="3312"/>
      </w:tblGrid>
      <w:tr>
        <w:tc>
          <w:tcPr>
            <w:tcW w:type="dxa" w:w="3312"/>
            <w:shd w:fill="1F3864"/>
          </w:tcPr>
          <w:p>
            <w:pPr>
              <w:spacing w:after="20" w:before="20"/>
              <w:jc w:val="left"/>
            </w:pPr>
            <w:r/>
            <w:r>
              <w:rPr>
                <w:rFonts w:ascii="맑은 고딕" w:hAnsi="맑은 고딕" w:eastAsia="맑은 고딕"/>
                <w:b/>
                <w:color w:val="FFFFFF"/>
                <w:sz w:val="17"/>
              </w:rPr>
              <w:t>점검 항목</w:t>
            </w:r>
          </w:p>
        </w:tc>
        <w:tc>
          <w:tcPr>
            <w:tcW w:type="dxa" w:w="3312"/>
            <w:shd w:fill="1F3864"/>
          </w:tcPr>
          <w:p>
            <w:pPr>
              <w:spacing w:after="20" w:before="20"/>
              <w:jc w:val="right"/>
            </w:pPr>
            <w:r/>
            <w:r>
              <w:rPr>
                <w:rFonts w:ascii="맑은 고딕" w:hAnsi="맑은 고딕" w:eastAsia="맑은 고딕"/>
                <w:b/>
                <w:color w:val="FFFFFF"/>
                <w:sz w:val="17"/>
              </w:rPr>
              <w:t>결과</w:t>
            </w:r>
          </w:p>
        </w:tc>
        <w:tc>
          <w:tcPr>
            <w:tcW w:type="dxa" w:w="3312"/>
            <w:shd w:fill="1F3864"/>
          </w:tcPr>
          <w:p>
            <w:pPr>
              <w:spacing w:after="20" w:before="20"/>
              <w:jc w:val="right"/>
            </w:pPr>
            <w:r/>
            <w:r>
              <w:rPr>
                <w:rFonts w:ascii="맑은 고딕" w:hAnsi="맑은 고딕" w:eastAsia="맑은 고딕"/>
                <w:b/>
                <w:color w:val="FFFFFF"/>
                <w:sz w:val="17"/>
              </w:rPr>
              <w:t>판정</w:t>
            </w:r>
          </w:p>
        </w:tc>
      </w:tr>
      <w:tr>
        <w:tc>
          <w:tcPr>
            <w:tcW w:type="dxa" w:w="3312"/>
          </w:tcPr>
          <w:p>
            <w:pPr>
              <w:spacing w:after="20" w:before="20"/>
              <w:jc w:val="left"/>
            </w:pPr>
            <w:r/>
            <w:r>
              <w:rPr>
                <w:rFonts w:ascii="맑은 고딕" w:hAnsi="맑은 고딕" w:eastAsia="맑은 고딕"/>
                <w:b w:val="0"/>
                <w:sz w:val="17"/>
              </w:rPr>
              <w:t>DCF와 Comps의 결론 방향 일치 여부</w:t>
            </w:r>
          </w:p>
        </w:tc>
        <w:tc>
          <w:tcPr>
            <w:tcW w:type="dxa" w:w="3312"/>
          </w:tcPr>
          <w:p>
            <w:pPr>
              <w:spacing w:after="20" w:before="20"/>
              <w:jc w:val="right"/>
            </w:pPr>
            <w:r/>
            <w:r>
              <w:rPr>
                <w:rFonts w:ascii="맑은 고딕" w:hAnsi="맑은 고딕" w:eastAsia="맑은 고딕"/>
                <w:b w:val="0"/>
                <w:sz w:val="17"/>
              </w:rPr>
              <w:t>양자 모두 현재주가 하회 ($193 / $265)</w:t>
            </w:r>
          </w:p>
        </w:tc>
        <w:tc>
          <w:tcPr>
            <w:tcW w:type="dxa" w:w="3312"/>
          </w:tcPr>
          <w:p>
            <w:pPr>
              <w:spacing w:after="20" w:before="20"/>
              <w:jc w:val="right"/>
            </w:pPr>
            <w:r/>
            <w:r>
              <w:rPr>
                <w:rFonts w:ascii="맑은 고딕" w:hAnsi="맑은 고딕" w:eastAsia="맑은 고딕"/>
                <w:b w:val="0"/>
                <w:sz w:val="17"/>
              </w:rPr>
              <w:t>일치</w:t>
            </w:r>
          </w:p>
        </w:tc>
      </w:tr>
      <w:tr>
        <w:tc>
          <w:tcPr>
            <w:tcW w:type="dxa" w:w="3312"/>
          </w:tcPr>
          <w:p>
            <w:pPr>
              <w:spacing w:after="20" w:before="20"/>
              <w:jc w:val="left"/>
            </w:pPr>
            <w:r/>
            <w:r>
              <w:rPr>
                <w:rFonts w:ascii="맑은 고딕" w:hAnsi="맑은 고딕" w:eastAsia="맑은 고딕"/>
                <w:b w:val="0"/>
                <w:sz w:val="17"/>
              </w:rPr>
              <w:t>영구성장률의 합리성</w:t>
            </w:r>
          </w:p>
        </w:tc>
        <w:tc>
          <w:tcPr>
            <w:tcW w:type="dxa" w:w="3312"/>
          </w:tcPr>
          <w:p>
            <w:pPr>
              <w:spacing w:after="20" w:before="20"/>
              <w:jc w:val="right"/>
            </w:pPr>
            <w:r/>
            <w:r>
              <w:rPr>
                <w:rFonts w:ascii="맑은 고딕" w:hAnsi="맑은 고딕" w:eastAsia="맑은 고딕"/>
                <w:b w:val="0"/>
                <w:sz w:val="17"/>
              </w:rPr>
              <w:t>3.0%, 장기 명목 GDP 이하</w:t>
            </w:r>
          </w:p>
        </w:tc>
        <w:tc>
          <w:tcPr>
            <w:tcW w:type="dxa" w:w="3312"/>
          </w:tcPr>
          <w:p>
            <w:pPr>
              <w:spacing w:after="20" w:before="20"/>
              <w:jc w:val="right"/>
            </w:pPr>
            <w:r/>
            <w:r>
              <w:rPr>
                <w:rFonts w:ascii="맑은 고딕" w:hAnsi="맑은 고딕" w:eastAsia="맑은 고딕"/>
                <w:b w:val="0"/>
                <w:sz w:val="17"/>
              </w:rPr>
              <w:t>적정</w:t>
            </w:r>
          </w:p>
        </w:tc>
      </w:tr>
      <w:tr>
        <w:tc>
          <w:tcPr>
            <w:tcW w:type="dxa" w:w="3312"/>
          </w:tcPr>
          <w:p>
            <w:pPr>
              <w:spacing w:after="20" w:before="20"/>
              <w:jc w:val="left"/>
            </w:pPr>
            <w:r/>
            <w:r>
              <w:rPr>
                <w:rFonts w:ascii="맑은 고딕" w:hAnsi="맑은 고딕" w:eastAsia="맑은 고딕"/>
                <w:b w:val="0"/>
                <w:sz w:val="17"/>
              </w:rPr>
              <w:t>역산 영구성장률</w:t>
            </w:r>
          </w:p>
        </w:tc>
        <w:tc>
          <w:tcPr>
            <w:tcW w:type="dxa" w:w="3312"/>
          </w:tcPr>
          <w:p>
            <w:pPr>
              <w:spacing w:after="20" w:before="20"/>
              <w:jc w:val="right"/>
            </w:pPr>
            <w:r/>
            <w:r>
              <w:rPr>
                <w:rFonts w:ascii="맑은 고딕" w:hAnsi="맑은 고딕" w:eastAsia="맑은 고딕"/>
                <w:b w:val="0"/>
                <w:sz w:val="17"/>
              </w:rPr>
              <w:t>6.26% — 명목 GDP 상회</w:t>
            </w:r>
          </w:p>
        </w:tc>
        <w:tc>
          <w:tcPr>
            <w:tcW w:type="dxa" w:w="3312"/>
          </w:tcPr>
          <w:p>
            <w:pPr>
              <w:spacing w:after="20" w:before="20"/>
              <w:jc w:val="right"/>
            </w:pPr>
            <w:r/>
            <w:r>
              <w:rPr>
                <w:rFonts w:ascii="맑은 고딕" w:hAnsi="맑은 고딕" w:eastAsia="맑은 고딕"/>
                <w:b w:val="0"/>
                <w:sz w:val="17"/>
              </w:rPr>
              <w:t>지지 불가</w:t>
            </w:r>
          </w:p>
        </w:tc>
      </w:tr>
      <w:tr>
        <w:tc>
          <w:tcPr>
            <w:tcW w:type="dxa" w:w="3312"/>
          </w:tcPr>
          <w:p>
            <w:pPr>
              <w:spacing w:after="20" w:before="20"/>
              <w:jc w:val="left"/>
            </w:pPr>
            <w:r/>
            <w:r>
              <w:rPr>
                <w:rFonts w:ascii="맑은 고딕" w:hAnsi="맑은 고딕" w:eastAsia="맑은 고딕"/>
                <w:b w:val="0"/>
                <w:sz w:val="17"/>
              </w:rPr>
              <w:t>역산 WACC</w:t>
            </w:r>
          </w:p>
        </w:tc>
        <w:tc>
          <w:tcPr>
            <w:tcW w:type="dxa" w:w="3312"/>
          </w:tcPr>
          <w:p>
            <w:pPr>
              <w:spacing w:after="20" w:before="20"/>
              <w:jc w:val="right"/>
            </w:pPr>
            <w:r/>
            <w:r>
              <w:rPr>
                <w:rFonts w:ascii="맑은 고딕" w:hAnsi="맑은 고딕" w:eastAsia="맑은 고딕"/>
                <w:b w:val="0"/>
                <w:sz w:val="17"/>
              </w:rPr>
              <w:t>6.54% — 무위험수익률 대비 프리미엄 2.24%p</w:t>
            </w:r>
          </w:p>
        </w:tc>
        <w:tc>
          <w:tcPr>
            <w:tcW w:type="dxa" w:w="3312"/>
          </w:tcPr>
          <w:p>
            <w:pPr>
              <w:spacing w:after="20" w:before="20"/>
              <w:jc w:val="right"/>
            </w:pPr>
            <w:r/>
            <w:r>
              <w:rPr>
                <w:rFonts w:ascii="맑은 고딕" w:hAnsi="맑은 고딕" w:eastAsia="맑은 고딕"/>
                <w:b w:val="0"/>
                <w:sz w:val="17"/>
              </w:rPr>
              <w:t>지지 불가</w:t>
            </w:r>
          </w:p>
        </w:tc>
      </w:tr>
      <w:tr>
        <w:tc>
          <w:tcPr>
            <w:tcW w:type="dxa" w:w="3312"/>
          </w:tcPr>
          <w:p>
            <w:pPr>
              <w:spacing w:after="20" w:before="20"/>
              <w:jc w:val="left"/>
            </w:pPr>
            <w:r/>
            <w:r>
              <w:rPr>
                <w:rFonts w:ascii="맑은 고딕" w:hAnsi="맑은 고딕" w:eastAsia="맑은 고딕"/>
                <w:b w:val="0"/>
                <w:sz w:val="17"/>
              </w:rPr>
              <w:t>영구가치 비중</w:t>
            </w:r>
          </w:p>
        </w:tc>
        <w:tc>
          <w:tcPr>
            <w:tcW w:type="dxa" w:w="3312"/>
          </w:tcPr>
          <w:p>
            <w:pPr>
              <w:spacing w:after="20" w:before="20"/>
              <w:jc w:val="right"/>
            </w:pPr>
            <w:r/>
            <w:r>
              <w:rPr>
                <w:rFonts w:ascii="맑은 고딕" w:hAnsi="맑은 고딕" w:eastAsia="맑은 고딕"/>
                <w:b w:val="0"/>
                <w:sz w:val="17"/>
              </w:rPr>
              <w:t>EV의 79.3%</w:t>
            </w:r>
          </w:p>
        </w:tc>
        <w:tc>
          <w:tcPr>
            <w:tcW w:type="dxa" w:w="3312"/>
          </w:tcPr>
          <w:p>
            <w:pPr>
              <w:spacing w:after="20" w:before="20"/>
              <w:jc w:val="right"/>
            </w:pPr>
            <w:r/>
            <w:r>
              <w:rPr>
                <w:rFonts w:ascii="맑은 고딕" w:hAnsi="맑은 고딕" w:eastAsia="맑은 고딕"/>
                <w:b w:val="0"/>
                <w:sz w:val="17"/>
              </w:rPr>
              <w:t>**주의 — 구조적 한계**</w:t>
            </w:r>
          </w:p>
        </w:tc>
      </w:tr>
      <w:tr>
        <w:tc>
          <w:tcPr>
            <w:tcW w:type="dxa" w:w="3312"/>
          </w:tcPr>
          <w:p>
            <w:pPr>
              <w:spacing w:after="20" w:before="20"/>
              <w:jc w:val="left"/>
            </w:pPr>
            <w:r/>
            <w:r>
              <w:rPr>
                <w:rFonts w:ascii="맑은 고딕" w:hAnsi="맑은 고딕" w:eastAsia="맑은 고딕"/>
                <w:b w:val="0"/>
                <w:sz w:val="17"/>
              </w:rPr>
              <w:t>CapEx 가정 방향성</w:t>
            </w:r>
          </w:p>
        </w:tc>
        <w:tc>
          <w:tcPr>
            <w:tcW w:type="dxa" w:w="3312"/>
          </w:tcPr>
          <w:p>
            <w:pPr>
              <w:spacing w:after="20" w:before="20"/>
              <w:jc w:val="right"/>
            </w:pPr>
            <w:r/>
            <w:r>
              <w:rPr>
                <w:rFonts w:ascii="맑은 고딕" w:hAnsi="맑은 고딕" w:eastAsia="맑은 고딕"/>
                <w:b w:val="0"/>
                <w:sz w:val="17"/>
              </w:rPr>
              <w:t>실제 22.7% → 가정 17%→13.5%</w:t>
            </w:r>
          </w:p>
        </w:tc>
        <w:tc>
          <w:tcPr>
            <w:tcW w:type="dxa" w:w="3312"/>
          </w:tcPr>
          <w:p>
            <w:pPr>
              <w:spacing w:after="20" w:before="20"/>
              <w:jc w:val="right"/>
            </w:pPr>
            <w:r/>
            <w:r>
              <w:rPr>
                <w:rFonts w:ascii="맑은 고딕" w:hAnsi="맑은 고딕" w:eastAsia="맑은 고딕"/>
                <w:b w:val="0"/>
                <w:sz w:val="17"/>
              </w:rPr>
              <w:t>낙관 편향, 하방 리스크</w:t>
            </w:r>
          </w:p>
        </w:tc>
      </w:tr>
      <w:tr>
        <w:tc>
          <w:tcPr>
            <w:tcW w:type="dxa" w:w="3312"/>
          </w:tcPr>
          <w:p>
            <w:pPr>
              <w:spacing w:after="20" w:before="20"/>
              <w:jc w:val="left"/>
            </w:pPr>
            <w:r/>
            <w:r>
              <w:rPr>
                <w:rFonts w:ascii="맑은 고딕" w:hAnsi="맑은 고딕" w:eastAsia="맑은 고딕"/>
                <w:b w:val="0"/>
                <w:sz w:val="17"/>
              </w:rPr>
              <w:t>이익의 질</w:t>
            </w:r>
          </w:p>
        </w:tc>
        <w:tc>
          <w:tcPr>
            <w:tcW w:type="dxa" w:w="3312"/>
          </w:tcPr>
          <w:p>
            <w:pPr>
              <w:spacing w:after="20" w:before="20"/>
              <w:jc w:val="right"/>
            </w:pPr>
            <w:r/>
            <w:r>
              <w:rPr>
                <w:rFonts w:ascii="맑은 고딕" w:hAnsi="맑은 고딕" w:eastAsia="맑은 고딕"/>
                <w:b w:val="0"/>
                <w:sz w:val="17"/>
              </w:rPr>
              <w:t>FY2025 순이익 내 평가익 $29.8십억 포함</w:t>
            </w:r>
          </w:p>
        </w:tc>
        <w:tc>
          <w:tcPr>
            <w:tcW w:type="dxa" w:w="3312"/>
          </w:tcPr>
          <w:p>
            <w:pPr>
              <w:spacing w:after="20" w:before="20"/>
              <w:jc w:val="right"/>
            </w:pPr>
            <w:r/>
            <w:r>
              <w:rPr>
                <w:rFonts w:ascii="맑은 고딕" w:hAnsi="맑은 고딕" w:eastAsia="맑은 고딕"/>
                <w:b w:val="0"/>
                <w:sz w:val="17"/>
              </w:rPr>
              <w:t>정상화 조정 반영</w:t>
            </w:r>
          </w:p>
        </w:tc>
      </w:tr>
      <w:tr>
        <w:tc>
          <w:tcPr>
            <w:tcW w:type="dxa" w:w="3312"/>
          </w:tcPr>
          <w:p>
            <w:pPr>
              <w:spacing w:after="20" w:before="20"/>
              <w:jc w:val="left"/>
            </w:pPr>
            <w:r/>
            <w:r>
              <w:rPr>
                <w:rFonts w:ascii="맑은 고딕" w:hAnsi="맑은 고딕" w:eastAsia="맑은 고딕"/>
                <w:b w:val="0"/>
                <w:sz w:val="17"/>
              </w:rPr>
              <w:t>피어 기준연도 통일</w:t>
            </w:r>
          </w:p>
        </w:tc>
        <w:tc>
          <w:tcPr>
            <w:tcW w:type="dxa" w:w="3312"/>
          </w:tcPr>
          <w:p>
            <w:pPr>
              <w:spacing w:after="20" w:before="20"/>
              <w:jc w:val="right"/>
            </w:pPr>
            <w:r/>
            <w:r>
              <w:rPr>
                <w:rFonts w:ascii="맑은 고딕" w:hAnsi="맑은 고딕" w:eastAsia="맑은 고딕"/>
                <w:b w:val="0"/>
                <w:sz w:val="17"/>
              </w:rPr>
              <w:t>전 종목 차기 회계연도 기준</w:t>
            </w:r>
          </w:p>
        </w:tc>
        <w:tc>
          <w:tcPr>
            <w:tcW w:type="dxa" w:w="3312"/>
          </w:tcPr>
          <w:p>
            <w:pPr>
              <w:spacing w:after="20" w:before="20"/>
              <w:jc w:val="right"/>
            </w:pPr>
            <w:r/>
            <w:r>
              <w:rPr>
                <w:rFonts w:ascii="맑은 고딕" w:hAnsi="맑은 고딕" w:eastAsia="맑은 고딕"/>
                <w:b w:val="0"/>
                <w:sz w:val="17"/>
              </w:rPr>
              <w:t>일관</w:t>
            </w:r>
          </w:p>
        </w:tc>
      </w:tr>
      <w:tr>
        <w:tc>
          <w:tcPr>
            <w:tcW w:type="dxa" w:w="3312"/>
          </w:tcPr>
          <w:p>
            <w:pPr>
              <w:spacing w:after="20" w:before="20"/>
              <w:jc w:val="left"/>
            </w:pPr>
            <w:r/>
            <w:r>
              <w:rPr>
                <w:rFonts w:ascii="맑은 고딕" w:hAnsi="맑은 고딕" w:eastAsia="맑은 고딕"/>
                <w:b w:val="0"/>
                <w:sz w:val="17"/>
              </w:rPr>
              <w:t>순현금 반영</w:t>
            </w:r>
          </w:p>
        </w:tc>
        <w:tc>
          <w:tcPr>
            <w:tcW w:type="dxa" w:w="3312"/>
          </w:tcPr>
          <w:p>
            <w:pPr>
              <w:spacing w:after="20" w:before="20"/>
              <w:jc w:val="right"/>
            </w:pPr>
            <w:r/>
            <w:r>
              <w:rPr>
                <w:rFonts w:ascii="맑은 고딕" w:hAnsi="맑은 고딕" w:eastAsia="맑은 고딕"/>
                <w:b w:val="0"/>
                <w:sz w:val="17"/>
              </w:rPr>
              <w:t>$77.4십억, EV→Equity 전환 시 가산</w:t>
            </w:r>
          </w:p>
        </w:tc>
        <w:tc>
          <w:tcPr>
            <w:tcW w:type="dxa" w:w="3312"/>
          </w:tcPr>
          <w:p>
            <w:pPr>
              <w:spacing w:after="20" w:before="20"/>
              <w:jc w:val="right"/>
            </w:pPr>
            <w:r/>
            <w:r>
              <w:rPr>
                <w:rFonts w:ascii="맑은 고딕" w:hAnsi="맑은 고딕" w:eastAsia="맑은 고딕"/>
                <w:b w:val="0"/>
                <w:sz w:val="17"/>
              </w:rPr>
              <w:t>반영</w:t>
            </w:r>
          </w:p>
        </w:tc>
      </w:tr>
      <w:tr>
        <w:tc>
          <w:tcPr>
            <w:tcW w:type="dxa" w:w="3312"/>
          </w:tcPr>
          <w:p>
            <w:pPr>
              <w:spacing w:after="20" w:before="20"/>
              <w:jc w:val="left"/>
            </w:pPr>
            <w:r/>
            <w:r>
              <w:rPr>
                <w:rFonts w:ascii="맑은 고딕" w:hAnsi="맑은 고딕" w:eastAsia="맑은 고딕"/>
                <w:b w:val="0"/>
                <w:sz w:val="17"/>
              </w:rPr>
              <w:t>최대 낙관 DCF 시나리오 대비 현재주가</w:t>
            </w:r>
          </w:p>
        </w:tc>
        <w:tc>
          <w:tcPr>
            <w:tcW w:type="dxa" w:w="3312"/>
          </w:tcPr>
          <w:p>
            <w:pPr>
              <w:spacing w:after="20" w:before="20"/>
              <w:jc w:val="right"/>
            </w:pPr>
            <w:r/>
            <w:r>
              <w:rPr>
                <w:rFonts w:ascii="맑은 고딕" w:hAnsi="맑은 고딕" w:eastAsia="맑은 고딕"/>
                <w:b w:val="0"/>
                <w:sz w:val="17"/>
              </w:rPr>
              <w:t>$346 &lt; $354.46</w:t>
            </w:r>
          </w:p>
        </w:tc>
        <w:tc>
          <w:tcPr>
            <w:tcW w:type="dxa" w:w="3312"/>
          </w:tcPr>
          <w:p>
            <w:pPr>
              <w:spacing w:after="20" w:before="20"/>
              <w:jc w:val="right"/>
            </w:pPr>
            <w:r/>
            <w:r>
              <w:rPr>
                <w:rFonts w:ascii="맑은 고딕" w:hAnsi="맑은 고딕" w:eastAsia="맑은 고딕"/>
                <w:b w:val="0"/>
                <w:sz w:val="17"/>
              </w:rPr>
              <w:t>현재주가가 범위 밖</w:t>
            </w:r>
          </w:p>
        </w:tc>
      </w:tr>
    </w:tbl>
    <w:p>
      <w:pPr>
        <w:spacing w:after="40"/>
      </w:pPr>
    </w:p>
    <w:p>
      <w:pPr>
        <w:spacing w:after="120"/>
      </w:pPr>
      <w:r>
        <w:rPr>
          <w:rFonts w:ascii="맑은 고딕" w:hAnsi="맑은 고딕" w:eastAsia="맑은 고딕"/>
          <w:i w:val="0"/>
          <w:sz w:val="21"/>
        </w:rPr>
        <w:t xml:space="preserve">가장 중요한 검증 결과는 마지막 항목이다. 본 모델에서 상정 가능한 </w:t>
      </w:r>
      <w:r>
        <w:rPr>
          <w:rFonts w:ascii="맑은 고딕" w:hAnsi="맑은 고딕" w:eastAsia="맑은 고딕"/>
          <w:b/>
          <w:i w:val="0"/>
          <w:sz w:val="21"/>
        </w:rPr>
        <w:t>가장 공격적인 파라미터 조합에서도 현재주가에 도달하지 못한다</w:t>
      </w:r>
      <w:r>
        <w:rPr>
          <w:rFonts w:ascii="맑은 고딕" w:hAnsi="맑은 고딕" w:eastAsia="맑은 고딕"/>
          <w:i w:val="0"/>
          <w:sz w:val="21"/>
        </w:rPr>
        <w:t>는 사실은, 시장가격이 본 모델의 가정 체계 자체를 벗어난 논리 위에 서 있음을 의미한다.</w:t>
      </w:r>
    </w:p>
    <w:p>
      <w:pPr>
        <w:spacing w:after="120"/>
      </w:pPr>
      <w:r>
        <w:rPr>
          <w:rFonts w:ascii="맑은 고딕" w:hAnsi="맑은 고딕" w:eastAsia="맑은 고딕"/>
          <w:i w:val="0"/>
          <w:sz w:val="21"/>
        </w:rPr>
        <w:t>---</w:t>
      </w:r>
    </w:p>
    <w:p>
      <w:pPr>
        <w:spacing w:before="160" w:after="80"/>
      </w:pPr>
      <w:r>
        <w:rPr>
          <w:rFonts w:ascii="맑은 고딕" w:hAnsi="맑은 고딕" w:eastAsia="맑은 고딕"/>
          <w:b/>
          <w:color w:val="1A1A1A"/>
          <w:sz w:val="25"/>
        </w:rPr>
        <w:t>한계</w:t>
      </w:r>
    </w:p>
    <w:p>
      <w:pPr>
        <w:spacing w:after="120"/>
      </w:pPr>
      <w:r>
        <w:rPr>
          <w:rFonts w:ascii="맑은 고딕" w:hAnsi="맑은 고딕" w:eastAsia="맑은 고딕"/>
          <w:i w:val="0"/>
          <w:sz w:val="21"/>
        </w:rPr>
        <w:t>본 분석의 한계는 다음과 같으며, 결론을 해석할 때 함께 고려되어야 한다.</w:t>
      </w:r>
    </w:p>
    <w:p>
      <w:pPr>
        <w:spacing w:after="120"/>
      </w:pPr>
      <w:r>
        <w:rPr>
          <w:rFonts w:ascii="맑은 고딕" w:hAnsi="맑은 고딕" w:eastAsia="맑은 고딕"/>
          <w:b/>
          <w:i w:val="0"/>
          <w:sz w:val="21"/>
        </w:rPr>
        <w:t>첫째, 영구가치 의존도.</w:t>
      </w:r>
      <w:r>
        <w:rPr>
          <w:rFonts w:ascii="맑은 고딕" w:hAnsi="맑은 고딕" w:eastAsia="맑은 고딕"/>
          <w:i w:val="0"/>
          <w:sz w:val="21"/>
        </w:rPr>
        <w:t xml:space="preserve"> 기업가치의 79.3%가 명시적 추정기간 이후에서 발생하므로, 실질적으로 본 DCF는 5년간의 현금흐름 추정이라기보다 두 개의 터미널 파라미터에 대한 견해 표명에 가깝다. 이 구조에서는 소수점 단위의 정밀도를 주장할 수 없다.</w:t>
      </w:r>
    </w:p>
    <w:p>
      <w:pPr>
        <w:spacing w:after="120"/>
      </w:pPr>
      <w:r>
        <w:rPr>
          <w:rFonts w:ascii="맑은 고딕" w:hAnsi="맑은 고딕" w:eastAsia="맑은 고딕"/>
          <w:b/>
          <w:i w:val="0"/>
          <w:sz w:val="21"/>
        </w:rPr>
        <w:t>둘째, 단일 시나리오 기반.</w:t>
      </w:r>
      <w:r>
        <w:rPr>
          <w:rFonts w:ascii="맑은 고딕" w:hAnsi="맑은 고딕" w:eastAsia="맑은 고딕"/>
          <w:i w:val="0"/>
          <w:sz w:val="21"/>
        </w:rPr>
        <w:t xml:space="preserve"> 본 목표주가는 기본 시나리오의 점 추정치이며, 확률가중 기대값이 아니다. 실제 결과 분포는 민감도표가 시사하는 $147~$346 구간에 걸쳐 있다.</w:t>
      </w:r>
    </w:p>
    <w:p>
      <w:pPr>
        <w:spacing w:after="120"/>
      </w:pPr>
      <w:r>
        <w:rPr>
          <w:rFonts w:ascii="맑은 고딕" w:hAnsi="맑은 고딕" w:eastAsia="맑은 고딕"/>
          <w:b/>
          <w:i w:val="0"/>
          <w:sz w:val="21"/>
        </w:rPr>
        <w:t>셋째, 컨센서스와의 큰 괴리.</w:t>
      </w:r>
      <w:r>
        <w:rPr>
          <w:rFonts w:ascii="맑은 고딕" w:hAnsi="맑은 고딕" w:eastAsia="맑은 고딕"/>
          <w:i w:val="0"/>
          <w:sz w:val="21"/>
        </w:rPr>
        <w:t xml:space="preserve"> 약 $410의 시장 컨센서스와 82%의 격차가 존재한다. 다수 견해가 반드시 옳은 것은 아니나, 이 정도 괴리는 본 모델의 가정 중 하나 이상이 시장이 파악한 정보를 놓치고 있을 가능성을 배제할 수 없음을 뜻한다. 특히 AI 수익화 속도에 관한 본 모델의 보수적 시각이 가장 취약한 지점이다.</w:t>
      </w:r>
    </w:p>
    <w:p>
      <w:pPr>
        <w:spacing w:after="120"/>
      </w:pPr>
      <w:r>
        <w:rPr>
          <w:rFonts w:ascii="맑은 고딕" w:hAnsi="맑은 고딕" w:eastAsia="맑은 고딕"/>
          <w:b/>
          <w:i w:val="0"/>
          <w:sz w:val="21"/>
        </w:rPr>
        <w:t>넷째, CapEx 궤적의 불확실성.</w:t>
      </w:r>
      <w:r>
        <w:rPr>
          <w:rFonts w:ascii="맑은 고딕" w:hAnsi="맑은 고딕" w:eastAsia="맑은 고딕"/>
          <w:i w:val="0"/>
          <w:sz w:val="21"/>
        </w:rPr>
        <w:t xml:space="preserve"> 설비투자 정상화 시점은 경영진의 재량과 경쟁 환경에 좌우되며, 외부에서 신뢰성 있게 추정하기 어렵다.</w:t>
      </w:r>
    </w:p>
    <w:p>
      <w:pPr>
        <w:spacing w:after="120"/>
      </w:pPr>
      <w:r>
        <w:rPr>
          <w:rFonts w:ascii="맑은 고딕" w:hAnsi="맑은 고딕" w:eastAsia="맑은 고딕"/>
          <w:b/>
          <w:i w:val="0"/>
          <w:sz w:val="21"/>
        </w:rPr>
        <w:t>다섯째, 규제 결과의 이산적 성격.</w:t>
      </w:r>
      <w:r>
        <w:rPr>
          <w:rFonts w:ascii="맑은 고딕" w:hAnsi="맑은 고딕" w:eastAsia="맑은 고딕"/>
          <w:i w:val="0"/>
          <w:sz w:val="21"/>
        </w:rPr>
        <w:t xml:space="preserve"> 반독점 관련 결과는 연속적 확률변수가 아니라 이산적 사건이며, 이를 DCF의 연속적 현금흐름 프레임에 반영하는 데에는 근본적 한계가 있다.</w:t>
      </w:r>
    </w:p>
    <w:p>
      <w:pPr>
        <w:spacing w:after="120"/>
      </w:pPr>
      <w:r>
        <w:rPr>
          <w:rFonts w:ascii="맑은 고딕" w:hAnsi="맑은 고딕" w:eastAsia="맑은 고딕"/>
          <w:b/>
          <w:i w:val="0"/>
          <w:sz w:val="21"/>
        </w:rPr>
        <w:t>여섯째, 비교기업의 이질성.</w:t>
      </w:r>
      <w:r>
        <w:rPr>
          <w:rFonts w:ascii="맑은 고딕" w:hAnsi="맑은 고딕" w:eastAsia="맑은 고딕"/>
          <w:i w:val="0"/>
          <w:sz w:val="21"/>
        </w:rPr>
        <w:t xml:space="preserve"> 8개 피어는 사업 모델, 성장률, 자본집약도가 상이하다. 배수의 중앙값 적용은 편의적 방법이며, 개별 기업의 질적 차이를 완전히 통제하지 못한다.</w:t>
      </w:r>
    </w:p>
    <w:p>
      <w:pPr>
        <w:spacing w:after="120"/>
      </w:pPr>
      <w:r>
        <w:rPr>
          <w:rFonts w:ascii="맑은 고딕" w:hAnsi="맑은 고딕" w:eastAsia="맑은 고딕"/>
          <w:i w:val="0"/>
          <w:sz w:val="21"/>
        </w:rPr>
        <w:t>---</w:t>
      </w:r>
    </w:p>
    <w:p>
      <w:pPr>
        <w:spacing w:after="120"/>
      </w:pPr>
      <w:r>
        <w:rPr>
          <w:rFonts w:ascii="맑은 고딕" w:hAnsi="맑은 고딕" w:eastAsia="맑은 고딕"/>
          <w:i w:val="0"/>
          <w:sz w:val="21"/>
        </w:rPr>
        <w:t>교육용입니다. 투자 자문이 아니며, 모델 기반 산출값입니다. 셀사이드 컨센서스와 상이하므로 가정 차이를 반드시 확인하십시오.</w:t>
      </w:r>
    </w:p>
    <w:p>
      <w:pPr>
        <w:spacing w:before="160" w:after="80"/>
      </w:pPr>
      <w:r>
        <w:rPr>
          <w:rFonts w:ascii="맑은 고딕" w:hAnsi="맑은 고딕" w:eastAsia="맑은 고딕"/>
          <w:b/>
          <w:color w:val="1A1A1A"/>
          <w:sz w:val="25"/>
        </w:rPr>
        <w:t>DCF 민감도</w:t>
      </w:r>
    </w:p>
    <w:p>
      <w:pPr>
        <w:jc w:val="center"/>
      </w:pPr>
      <w:r>
        <w:drawing>
          <wp:inline xmlns:a="http://schemas.openxmlformats.org/drawingml/2006/main" xmlns:pic="http://schemas.openxmlformats.org/drawingml/2006/picture">
            <wp:extent cx="5486400" cy="4240170"/>
            <wp:docPr id="11" name="Picture 11"/>
            <wp:cNvGraphicFramePr>
              <a:graphicFrameLocks noChangeAspect="1"/>
            </wp:cNvGraphicFramePr>
            <a:graphic>
              <a:graphicData uri="http://schemas.openxmlformats.org/drawingml/2006/picture">
                <pic:pic>
                  <pic:nvPicPr>
                    <pic:cNvPr id="0" name="chart_09_dcf_sensitivity.png"/>
                    <pic:cNvPicPr/>
                  </pic:nvPicPr>
                  <pic:blipFill>
                    <a:blip r:embed="rId19"/>
                    <a:stretch>
                      <a:fillRect/>
                    </a:stretch>
                  </pic:blipFill>
                  <pic:spPr>
                    <a:xfrm>
                      <a:off x="0" y="0"/>
                      <a:ext cx="5486400" cy="4240170"/>
                    </a:xfrm>
                    <a:prstGeom prst="rect"/>
                  </pic:spPr>
                </pic:pic>
              </a:graphicData>
            </a:graphic>
          </wp:inline>
        </w:drawing>
      </w:r>
    </w:p>
    <w:p>
      <w:pPr>
        <w:spacing w:after="200"/>
      </w:pPr>
      <w:r>
        <w:rPr>
          <w:rFonts w:ascii="맑은 고딕" w:hAnsi="맑은 고딕" w:eastAsia="맑은 고딕"/>
          <w:i/>
          <w:color w:val="595959"/>
          <w:sz w:val="16"/>
        </w:rPr>
        <w:t>그림 9 — DCF 민감도(WACC × 영구성장률, 기본 박스 표시). 자료: 모델. ⭐</w:t>
      </w:r>
    </w:p>
    <w:p>
      <w:pPr>
        <w:spacing w:before="160" w:after="80"/>
      </w:pPr>
      <w:r>
        <w:rPr>
          <w:rFonts w:ascii="맑은 고딕" w:hAnsi="맑은 고딕" w:eastAsia="맑은 고딕"/>
          <w:b/>
          <w:color w:val="1A1A1A"/>
          <w:sz w:val="25"/>
        </w:rPr>
        <w:t>비교기업 분석</w:t>
      </w:r>
    </w:p>
    <w:tbl>
      <w:tblPr>
        <w:tblStyle w:val="LightGrid-Accent1"/>
        <w:tblW w:type="auto" w:w="0"/>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shd w:fill="1F3864"/>
          </w:tcPr>
          <w:p>
            <w:pPr>
              <w:spacing w:after="20" w:before="20"/>
              <w:jc w:val="left"/>
            </w:pPr>
            <w:r/>
            <w:r>
              <w:rPr>
                <w:rFonts w:ascii="맑은 고딕" w:hAnsi="맑은 고딕" w:eastAsia="맑은 고딕"/>
                <w:b/>
                <w:color w:val="FFFFFF"/>
                <w:sz w:val="16"/>
              </w:rPr>
              <w:t>기업</w:t>
            </w:r>
          </w:p>
        </w:tc>
        <w:tc>
          <w:tcPr>
            <w:tcW w:type="dxa" w:w="1419"/>
            <w:shd w:fill="1F3864"/>
          </w:tcPr>
          <w:p>
            <w:pPr>
              <w:spacing w:after="20" w:before="20"/>
              <w:jc w:val="right"/>
            </w:pPr>
            <w:r/>
            <w:r>
              <w:rPr>
                <w:rFonts w:ascii="맑은 고딕" w:hAnsi="맑은 고딕" w:eastAsia="맑은 고딕"/>
                <w:b/>
                <w:color w:val="FFFFFF"/>
                <w:sz w:val="16"/>
              </w:rPr>
              <w:t>티커</w:t>
            </w:r>
          </w:p>
        </w:tc>
        <w:tc>
          <w:tcPr>
            <w:tcW w:type="dxa" w:w="1419"/>
            <w:shd w:fill="1F3864"/>
          </w:tcPr>
          <w:p>
            <w:pPr>
              <w:spacing w:after="20" w:before="20"/>
              <w:jc w:val="right"/>
            </w:pPr>
            <w:r/>
            <w:r>
              <w:rPr>
                <w:rFonts w:ascii="맑은 고딕" w:hAnsi="맑은 고딕" w:eastAsia="맑은 고딕"/>
                <w:b/>
                <w:color w:val="FFFFFF"/>
                <w:sz w:val="16"/>
              </w:rPr>
              <w:t>시총($B)</w:t>
            </w:r>
          </w:p>
        </w:tc>
        <w:tc>
          <w:tcPr>
            <w:tcW w:type="dxa" w:w="1419"/>
            <w:shd w:fill="1F3864"/>
          </w:tcPr>
          <w:p>
            <w:pPr>
              <w:spacing w:after="20" w:before="20"/>
              <w:jc w:val="right"/>
            </w:pPr>
            <w:r/>
            <w:r>
              <w:rPr>
                <w:rFonts w:ascii="맑은 고딕" w:hAnsi="맑은 고딕" w:eastAsia="맑은 고딕"/>
                <w:b/>
                <w:color w:val="FFFFFF"/>
                <w:sz w:val="16"/>
              </w:rPr>
              <w:t>EV/EBITDA</w:t>
            </w:r>
          </w:p>
        </w:tc>
        <w:tc>
          <w:tcPr>
            <w:tcW w:type="dxa" w:w="1419"/>
            <w:shd w:fill="1F3864"/>
          </w:tcPr>
          <w:p>
            <w:pPr>
              <w:spacing w:after="20" w:before="20"/>
              <w:jc w:val="right"/>
            </w:pPr>
            <w:r/>
            <w:r>
              <w:rPr>
                <w:rFonts w:ascii="맑은 고딕" w:hAnsi="맑은 고딕" w:eastAsia="맑은 고딕"/>
                <w:b/>
                <w:color w:val="FFFFFF"/>
                <w:sz w:val="16"/>
              </w:rPr>
              <w:t>선행 P/E</w:t>
            </w:r>
          </w:p>
        </w:tc>
        <w:tc>
          <w:tcPr>
            <w:tcW w:type="dxa" w:w="1419"/>
            <w:shd w:fill="1F3864"/>
          </w:tcPr>
          <w:p>
            <w:pPr>
              <w:spacing w:after="20" w:before="20"/>
              <w:jc w:val="right"/>
            </w:pPr>
            <w:r/>
            <w:r>
              <w:rPr>
                <w:rFonts w:ascii="맑은 고딕" w:hAnsi="맑은 고딕" w:eastAsia="맑은 고딕"/>
                <w:b/>
                <w:color w:val="FFFFFF"/>
                <w:sz w:val="16"/>
              </w:rPr>
              <w:t>매출성장%</w:t>
            </w:r>
          </w:p>
        </w:tc>
        <w:tc>
          <w:tcPr>
            <w:tcW w:type="dxa" w:w="1419"/>
            <w:shd w:fill="1F3864"/>
          </w:tcPr>
          <w:p>
            <w:pPr>
              <w:spacing w:after="20" w:before="20"/>
              <w:jc w:val="right"/>
            </w:pPr>
            <w:r/>
            <w:r>
              <w:rPr>
                <w:rFonts w:ascii="맑은 고딕" w:hAnsi="맑은 고딕" w:eastAsia="맑은 고딕"/>
                <w:b/>
                <w:color w:val="FFFFFF"/>
                <w:sz w:val="16"/>
              </w:rPr>
              <w:t>EBITDA마진%</w:t>
            </w:r>
          </w:p>
        </w:tc>
      </w:tr>
      <w:tr>
        <w:tc>
          <w:tcPr>
            <w:tcW w:type="dxa" w:w="1419"/>
          </w:tcPr>
          <w:p>
            <w:pPr>
              <w:spacing w:after="20" w:before="20"/>
              <w:jc w:val="left"/>
            </w:pPr>
            <w:r/>
            <w:r>
              <w:rPr>
                <w:rFonts w:ascii="맑은 고딕" w:hAnsi="맑은 고딕" w:eastAsia="맑은 고딕"/>
                <w:b w:val="0"/>
                <w:sz w:val="16"/>
              </w:rPr>
              <w:t>Microsoft</w:t>
            </w:r>
          </w:p>
        </w:tc>
        <w:tc>
          <w:tcPr>
            <w:tcW w:type="dxa" w:w="1419"/>
          </w:tcPr>
          <w:p>
            <w:pPr>
              <w:spacing w:after="20" w:before="20"/>
              <w:jc w:val="right"/>
            </w:pPr>
            <w:r/>
            <w:r>
              <w:rPr>
                <w:rFonts w:ascii="맑은 고딕" w:hAnsi="맑은 고딕" w:eastAsia="맑은 고딕"/>
                <w:b w:val="0"/>
                <w:sz w:val="16"/>
              </w:rPr>
              <w:t>MSFT</w:t>
            </w:r>
          </w:p>
        </w:tc>
        <w:tc>
          <w:tcPr>
            <w:tcW w:type="dxa" w:w="1419"/>
          </w:tcPr>
          <w:p>
            <w:pPr>
              <w:spacing w:after="20" w:before="20"/>
              <w:jc w:val="right"/>
            </w:pPr>
            <w:r/>
            <w:r>
              <w:rPr>
                <w:rFonts w:ascii="맑은 고딕" w:hAnsi="맑은 고딕" w:eastAsia="맑은 고딕"/>
                <w:b w:val="0"/>
                <w:sz w:val="16"/>
              </w:rPr>
              <w:t>2,925</w:t>
            </w:r>
          </w:p>
        </w:tc>
        <w:tc>
          <w:tcPr>
            <w:tcW w:type="dxa" w:w="1419"/>
          </w:tcPr>
          <w:p>
            <w:pPr>
              <w:spacing w:after="20" w:before="20"/>
              <w:jc w:val="right"/>
            </w:pPr>
            <w:r/>
            <w:r>
              <w:rPr>
                <w:rFonts w:ascii="맑은 고딕" w:hAnsi="맑은 고딕" w:eastAsia="맑은 고딕"/>
                <w:b w:val="0"/>
                <w:sz w:val="16"/>
              </w:rPr>
              <w:t>14.1배</w:t>
            </w:r>
          </w:p>
        </w:tc>
        <w:tc>
          <w:tcPr>
            <w:tcW w:type="dxa" w:w="1419"/>
          </w:tcPr>
          <w:p>
            <w:pPr>
              <w:spacing w:after="20" w:before="20"/>
              <w:jc w:val="right"/>
            </w:pPr>
            <w:r/>
            <w:r>
              <w:rPr>
                <w:rFonts w:ascii="맑은 고딕" w:hAnsi="맑은 고딕" w:eastAsia="맑은 고딕"/>
                <w:b w:val="0"/>
                <w:sz w:val="16"/>
              </w:rPr>
              <w:t>20.3배</w:t>
            </w:r>
          </w:p>
        </w:tc>
        <w:tc>
          <w:tcPr>
            <w:tcW w:type="dxa" w:w="1419"/>
          </w:tcPr>
          <w:p>
            <w:pPr>
              <w:spacing w:after="20" w:before="20"/>
              <w:jc w:val="right"/>
            </w:pPr>
            <w:r/>
            <w:r>
              <w:rPr>
                <w:rFonts w:ascii="맑은 고딕" w:hAnsi="맑은 고딕" w:eastAsia="맑은 고딕"/>
                <w:b w:val="0"/>
                <w:sz w:val="16"/>
              </w:rPr>
              <w:t>18%</w:t>
            </w:r>
          </w:p>
        </w:tc>
        <w:tc>
          <w:tcPr>
            <w:tcW w:type="dxa" w:w="1419"/>
          </w:tcPr>
          <w:p>
            <w:pPr>
              <w:spacing w:after="20" w:before="20"/>
              <w:jc w:val="right"/>
            </w:pPr>
            <w:r/>
            <w:r>
              <w:rPr>
                <w:rFonts w:ascii="맑은 고딕" w:hAnsi="맑은 고딕" w:eastAsia="맑은 고딕"/>
                <w:b w:val="0"/>
                <w:sz w:val="16"/>
              </w:rPr>
              <w:t>58%</w:t>
            </w:r>
          </w:p>
        </w:tc>
      </w:tr>
      <w:tr>
        <w:tc>
          <w:tcPr>
            <w:tcW w:type="dxa" w:w="1419"/>
          </w:tcPr>
          <w:p>
            <w:pPr>
              <w:spacing w:after="20" w:before="20"/>
              <w:jc w:val="left"/>
            </w:pPr>
            <w:r/>
            <w:r>
              <w:rPr>
                <w:rFonts w:ascii="맑은 고딕" w:hAnsi="맑은 고딕" w:eastAsia="맑은 고딕"/>
                <w:b w:val="0"/>
                <w:sz w:val="16"/>
              </w:rPr>
              <w:t>Amazon</w:t>
            </w:r>
          </w:p>
        </w:tc>
        <w:tc>
          <w:tcPr>
            <w:tcW w:type="dxa" w:w="1419"/>
          </w:tcPr>
          <w:p>
            <w:pPr>
              <w:spacing w:after="20" w:before="20"/>
              <w:jc w:val="right"/>
            </w:pPr>
            <w:r/>
            <w:r>
              <w:rPr>
                <w:rFonts w:ascii="맑은 고딕" w:hAnsi="맑은 고딕" w:eastAsia="맑은 고딕"/>
                <w:b w:val="0"/>
                <w:sz w:val="16"/>
              </w:rPr>
              <w:t>AMZN</w:t>
            </w:r>
          </w:p>
        </w:tc>
        <w:tc>
          <w:tcPr>
            <w:tcW w:type="dxa" w:w="1419"/>
          </w:tcPr>
          <w:p>
            <w:pPr>
              <w:spacing w:after="20" w:before="20"/>
              <w:jc w:val="right"/>
            </w:pPr>
            <w:r/>
            <w:r>
              <w:rPr>
                <w:rFonts w:ascii="맑은 고딕" w:hAnsi="맑은 고딕" w:eastAsia="맑은 고딕"/>
                <w:b w:val="0"/>
                <w:sz w:val="16"/>
              </w:rPr>
              <w:t>2,659</w:t>
            </w:r>
          </w:p>
        </w:tc>
        <w:tc>
          <w:tcPr>
            <w:tcW w:type="dxa" w:w="1419"/>
          </w:tcPr>
          <w:p>
            <w:pPr>
              <w:spacing w:after="20" w:before="20"/>
              <w:jc w:val="right"/>
            </w:pPr>
            <w:r/>
            <w:r>
              <w:rPr>
                <w:rFonts w:ascii="맑은 고딕" w:hAnsi="맑은 고딕" w:eastAsia="맑은 고딕"/>
                <w:b w:val="0"/>
                <w:sz w:val="16"/>
              </w:rPr>
              <w:t>15.6배</w:t>
            </w:r>
          </w:p>
        </w:tc>
        <w:tc>
          <w:tcPr>
            <w:tcW w:type="dxa" w:w="1419"/>
          </w:tcPr>
          <w:p>
            <w:pPr>
              <w:spacing w:after="20" w:before="20"/>
              <w:jc w:val="right"/>
            </w:pPr>
            <w:r/>
            <w:r>
              <w:rPr>
                <w:rFonts w:ascii="맑은 고딕" w:hAnsi="맑은 고딕" w:eastAsia="맑은 고딕"/>
                <w:b w:val="0"/>
                <w:sz w:val="16"/>
              </w:rPr>
              <w:t>24.9배</w:t>
            </w:r>
          </w:p>
        </w:tc>
        <w:tc>
          <w:tcPr>
            <w:tcW w:type="dxa" w:w="1419"/>
          </w:tcPr>
          <w:p>
            <w:pPr>
              <w:spacing w:after="20" w:before="20"/>
              <w:jc w:val="right"/>
            </w:pPr>
            <w:r/>
            <w:r>
              <w:rPr>
                <w:rFonts w:ascii="맑은 고딕" w:hAnsi="맑은 고딕" w:eastAsia="맑은 고딕"/>
                <w:b w:val="0"/>
                <w:sz w:val="16"/>
              </w:rPr>
              <w:t>17%</w:t>
            </w:r>
          </w:p>
        </w:tc>
        <w:tc>
          <w:tcPr>
            <w:tcW w:type="dxa" w:w="1419"/>
          </w:tcPr>
          <w:p>
            <w:pPr>
              <w:spacing w:after="20" w:before="20"/>
              <w:jc w:val="right"/>
            </w:pPr>
            <w:r/>
            <w:r>
              <w:rPr>
                <w:rFonts w:ascii="맑은 고딕" w:hAnsi="맑은 고딕" w:eastAsia="맑은 고딕"/>
                <w:b w:val="0"/>
                <w:sz w:val="16"/>
              </w:rPr>
              <w:t>21%</w:t>
            </w:r>
          </w:p>
        </w:tc>
      </w:tr>
      <w:tr>
        <w:tc>
          <w:tcPr>
            <w:tcW w:type="dxa" w:w="1419"/>
          </w:tcPr>
          <w:p>
            <w:pPr>
              <w:spacing w:after="20" w:before="20"/>
              <w:jc w:val="left"/>
            </w:pPr>
            <w:r/>
            <w:r>
              <w:rPr>
                <w:rFonts w:ascii="맑은 고딕" w:hAnsi="맑은 고딕" w:eastAsia="맑은 고딕"/>
                <w:b w:val="0"/>
                <w:sz w:val="16"/>
              </w:rPr>
              <w:t>Meta Platforms</w:t>
            </w:r>
          </w:p>
        </w:tc>
        <w:tc>
          <w:tcPr>
            <w:tcW w:type="dxa" w:w="1419"/>
          </w:tcPr>
          <w:p>
            <w:pPr>
              <w:spacing w:after="20" w:before="20"/>
              <w:jc w:val="right"/>
            </w:pPr>
            <w:r/>
            <w:r>
              <w:rPr>
                <w:rFonts w:ascii="맑은 고딕" w:hAnsi="맑은 고딕" w:eastAsia="맑은 고딕"/>
                <w:b w:val="0"/>
                <w:sz w:val="16"/>
              </w:rPr>
              <w:t>META</w:t>
            </w:r>
          </w:p>
        </w:tc>
        <w:tc>
          <w:tcPr>
            <w:tcW w:type="dxa" w:w="1419"/>
          </w:tcPr>
          <w:p>
            <w:pPr>
              <w:spacing w:after="20" w:before="20"/>
              <w:jc w:val="right"/>
            </w:pPr>
            <w:r/>
            <w:r>
              <w:rPr>
                <w:rFonts w:ascii="맑은 고딕" w:hAnsi="맑은 고딕" w:eastAsia="맑은 고딕"/>
                <w:b w:val="0"/>
                <w:sz w:val="16"/>
              </w:rPr>
              <w:t>1,640</w:t>
            </w:r>
          </w:p>
        </w:tc>
        <w:tc>
          <w:tcPr>
            <w:tcW w:type="dxa" w:w="1419"/>
          </w:tcPr>
          <w:p>
            <w:pPr>
              <w:spacing w:after="20" w:before="20"/>
              <w:jc w:val="right"/>
            </w:pPr>
            <w:r/>
            <w:r>
              <w:rPr>
                <w:rFonts w:ascii="맑은 고딕" w:hAnsi="맑은 고딕" w:eastAsia="맑은 고딕"/>
                <w:b w:val="0"/>
                <w:sz w:val="16"/>
              </w:rPr>
              <w:t>11.9배</w:t>
            </w:r>
          </w:p>
        </w:tc>
        <w:tc>
          <w:tcPr>
            <w:tcW w:type="dxa" w:w="1419"/>
          </w:tcPr>
          <w:p>
            <w:pPr>
              <w:spacing w:after="20" w:before="20"/>
              <w:jc w:val="right"/>
            </w:pPr>
            <w:r/>
            <w:r>
              <w:rPr>
                <w:rFonts w:ascii="맑은 고딕" w:hAnsi="맑은 고딕" w:eastAsia="맑은 고딕"/>
                <w:b w:val="0"/>
                <w:sz w:val="16"/>
              </w:rPr>
              <w:t>17.8배</w:t>
            </w:r>
          </w:p>
        </w:tc>
        <w:tc>
          <w:tcPr>
            <w:tcW w:type="dxa" w:w="1419"/>
          </w:tcPr>
          <w:p>
            <w:pPr>
              <w:spacing w:after="20" w:before="20"/>
              <w:jc w:val="right"/>
            </w:pPr>
            <w:r/>
            <w:r>
              <w:rPr>
                <w:rFonts w:ascii="맑은 고딕" w:hAnsi="맑은 고딕" w:eastAsia="맑은 고딕"/>
                <w:b w:val="0"/>
                <w:sz w:val="16"/>
              </w:rPr>
              <w:t>33%</w:t>
            </w:r>
          </w:p>
        </w:tc>
        <w:tc>
          <w:tcPr>
            <w:tcW w:type="dxa" w:w="1419"/>
          </w:tcPr>
          <w:p>
            <w:pPr>
              <w:spacing w:after="20" w:before="20"/>
              <w:jc w:val="right"/>
            </w:pPr>
            <w:r/>
            <w:r>
              <w:rPr>
                <w:rFonts w:ascii="맑은 고딕" w:hAnsi="맑은 고딕" w:eastAsia="맑은 고딕"/>
                <w:b w:val="0"/>
                <w:sz w:val="16"/>
              </w:rPr>
              <w:t>51%</w:t>
            </w:r>
          </w:p>
        </w:tc>
      </w:tr>
      <w:tr>
        <w:tc>
          <w:tcPr>
            <w:tcW w:type="dxa" w:w="1419"/>
          </w:tcPr>
          <w:p>
            <w:pPr>
              <w:spacing w:after="20" w:before="20"/>
              <w:jc w:val="left"/>
            </w:pPr>
            <w:r/>
            <w:r>
              <w:rPr>
                <w:rFonts w:ascii="맑은 고딕" w:hAnsi="맑은 고딕" w:eastAsia="맑은 고딕"/>
                <w:b w:val="0"/>
                <w:sz w:val="16"/>
              </w:rPr>
              <w:t>Apple</w:t>
            </w:r>
          </w:p>
        </w:tc>
        <w:tc>
          <w:tcPr>
            <w:tcW w:type="dxa" w:w="1419"/>
          </w:tcPr>
          <w:p>
            <w:pPr>
              <w:spacing w:after="20" w:before="20"/>
              <w:jc w:val="right"/>
            </w:pPr>
            <w:r/>
            <w:r>
              <w:rPr>
                <w:rFonts w:ascii="맑은 고딕" w:hAnsi="맑은 고딕" w:eastAsia="맑은 고딕"/>
                <w:b w:val="0"/>
                <w:sz w:val="16"/>
              </w:rPr>
              <w:t>AAPL</w:t>
            </w:r>
          </w:p>
        </w:tc>
        <w:tc>
          <w:tcPr>
            <w:tcW w:type="dxa" w:w="1419"/>
          </w:tcPr>
          <w:p>
            <w:pPr>
              <w:spacing w:after="20" w:before="20"/>
              <w:jc w:val="right"/>
            </w:pPr>
            <w:r/>
            <w:r>
              <w:rPr>
                <w:rFonts w:ascii="맑은 고딕" w:hAnsi="맑은 고딕" w:eastAsia="맑은 고딕"/>
                <w:b w:val="0"/>
                <w:sz w:val="16"/>
              </w:rPr>
              <w:t>4,902</w:t>
            </w:r>
          </w:p>
        </w:tc>
        <w:tc>
          <w:tcPr>
            <w:tcW w:type="dxa" w:w="1419"/>
          </w:tcPr>
          <w:p>
            <w:pPr>
              <w:spacing w:after="20" w:before="20"/>
              <w:jc w:val="right"/>
            </w:pPr>
            <w:r/>
            <w:r>
              <w:rPr>
                <w:rFonts w:ascii="맑은 고딕" w:hAnsi="맑은 고딕" w:eastAsia="맑은 고딕"/>
                <w:b w:val="0"/>
                <w:sz w:val="16"/>
              </w:rPr>
              <w:t>27.1배</w:t>
            </w:r>
          </w:p>
        </w:tc>
        <w:tc>
          <w:tcPr>
            <w:tcW w:type="dxa" w:w="1419"/>
          </w:tcPr>
          <w:p>
            <w:pPr>
              <w:spacing w:after="20" w:before="20"/>
              <w:jc w:val="right"/>
            </w:pPr>
            <w:r/>
            <w:r>
              <w:rPr>
                <w:rFonts w:ascii="맑은 고딕" w:hAnsi="맑은 고딕" w:eastAsia="맑은 고딕"/>
                <w:b w:val="0"/>
                <w:sz w:val="16"/>
              </w:rPr>
              <w:t>34.6배</w:t>
            </w:r>
          </w:p>
        </w:tc>
        <w:tc>
          <w:tcPr>
            <w:tcW w:type="dxa" w:w="1419"/>
          </w:tcPr>
          <w:p>
            <w:pPr>
              <w:spacing w:after="20" w:before="20"/>
              <w:jc w:val="right"/>
            </w:pPr>
            <w:r/>
            <w:r>
              <w:rPr>
                <w:rFonts w:ascii="맑은 고딕" w:hAnsi="맑은 고딕" w:eastAsia="맑은 고딕"/>
                <w:b w:val="0"/>
                <w:sz w:val="16"/>
              </w:rPr>
              <w:t>17%</w:t>
            </w:r>
          </w:p>
        </w:tc>
        <w:tc>
          <w:tcPr>
            <w:tcW w:type="dxa" w:w="1419"/>
          </w:tcPr>
          <w:p>
            <w:pPr>
              <w:spacing w:after="20" w:before="20"/>
              <w:jc w:val="right"/>
            </w:pPr>
            <w:r/>
            <w:r>
              <w:rPr>
                <w:rFonts w:ascii="맑은 고딕" w:hAnsi="맑은 고딕" w:eastAsia="맑은 고딕"/>
                <w:b w:val="0"/>
                <w:sz w:val="16"/>
              </w:rPr>
              <w:t>35%</w:t>
            </w:r>
          </w:p>
        </w:tc>
      </w:tr>
      <w:tr>
        <w:tc>
          <w:tcPr>
            <w:tcW w:type="dxa" w:w="1419"/>
          </w:tcPr>
          <w:p>
            <w:pPr>
              <w:spacing w:after="20" w:before="20"/>
              <w:jc w:val="left"/>
            </w:pPr>
            <w:r/>
            <w:r>
              <w:rPr>
                <w:rFonts w:ascii="맑은 고딕" w:hAnsi="맑은 고딕" w:eastAsia="맑은 고딕"/>
                <w:b w:val="0"/>
                <w:sz w:val="16"/>
              </w:rPr>
              <w:t>Netflix</w:t>
            </w:r>
          </w:p>
        </w:tc>
        <w:tc>
          <w:tcPr>
            <w:tcW w:type="dxa" w:w="1419"/>
          </w:tcPr>
          <w:p>
            <w:pPr>
              <w:spacing w:after="20" w:before="20"/>
              <w:jc w:val="right"/>
            </w:pPr>
            <w:r/>
            <w:r>
              <w:rPr>
                <w:rFonts w:ascii="맑은 고딕" w:hAnsi="맑은 고딕" w:eastAsia="맑은 고딕"/>
                <w:b w:val="0"/>
                <w:sz w:val="16"/>
              </w:rPr>
              <w:t>NFLX</w:t>
            </w:r>
          </w:p>
        </w:tc>
        <w:tc>
          <w:tcPr>
            <w:tcW w:type="dxa" w:w="1419"/>
          </w:tcPr>
          <w:p>
            <w:pPr>
              <w:spacing w:after="20" w:before="20"/>
              <w:jc w:val="right"/>
            </w:pPr>
            <w:r/>
            <w:r>
              <w:rPr>
                <w:rFonts w:ascii="맑은 고딕" w:hAnsi="맑은 고딕" w:eastAsia="맑은 고딕"/>
                <w:b w:val="0"/>
                <w:sz w:val="16"/>
              </w:rPr>
              <w:t>290</w:t>
            </w:r>
          </w:p>
        </w:tc>
        <w:tc>
          <w:tcPr>
            <w:tcW w:type="dxa" w:w="1419"/>
          </w:tcPr>
          <w:p>
            <w:pPr>
              <w:spacing w:after="20" w:before="20"/>
              <w:jc w:val="right"/>
            </w:pPr>
            <w:r/>
            <w:r>
              <w:rPr>
                <w:rFonts w:ascii="맑은 고딕" w:hAnsi="맑은 고딕" w:eastAsia="맑은 고딕"/>
                <w:b w:val="0"/>
                <w:sz w:val="16"/>
              </w:rPr>
              <w:t>18.3배</w:t>
            </w:r>
          </w:p>
        </w:tc>
        <w:tc>
          <w:tcPr>
            <w:tcW w:type="dxa" w:w="1419"/>
          </w:tcPr>
          <w:p>
            <w:pPr>
              <w:spacing w:after="20" w:before="20"/>
              <w:jc w:val="right"/>
            </w:pPr>
            <w:r/>
            <w:r>
              <w:rPr>
                <w:rFonts w:ascii="맑은 고딕" w:hAnsi="맑은 고딕" w:eastAsia="맑은 고딕"/>
                <w:b w:val="0"/>
                <w:sz w:val="16"/>
              </w:rPr>
              <w:t>18.1배</w:t>
            </w:r>
          </w:p>
        </w:tc>
        <w:tc>
          <w:tcPr>
            <w:tcW w:type="dxa" w:w="1419"/>
          </w:tcPr>
          <w:p>
            <w:pPr>
              <w:spacing w:after="20" w:before="20"/>
              <w:jc w:val="right"/>
            </w:pPr>
            <w:r/>
            <w:r>
              <w:rPr>
                <w:rFonts w:ascii="맑은 고딕" w:hAnsi="맑은 고딕" w:eastAsia="맑은 고딕"/>
                <w:b w:val="0"/>
                <w:sz w:val="16"/>
              </w:rPr>
              <w:t>13%</w:t>
            </w:r>
          </w:p>
        </w:tc>
        <w:tc>
          <w:tcPr>
            <w:tcW w:type="dxa" w:w="1419"/>
          </w:tcPr>
          <w:p>
            <w:pPr>
              <w:spacing w:after="20" w:before="20"/>
              <w:jc w:val="right"/>
            </w:pPr>
            <w:r/>
            <w:r>
              <w:rPr>
                <w:rFonts w:ascii="맑은 고딕" w:hAnsi="맑은 고딕" w:eastAsia="맑은 고딕"/>
                <w:b w:val="0"/>
                <w:sz w:val="16"/>
              </w:rPr>
              <w:t>30%</w:t>
            </w:r>
          </w:p>
        </w:tc>
      </w:tr>
      <w:tr>
        <w:tc>
          <w:tcPr>
            <w:tcW w:type="dxa" w:w="1419"/>
          </w:tcPr>
          <w:p>
            <w:pPr>
              <w:spacing w:after="20" w:before="20"/>
              <w:jc w:val="left"/>
            </w:pPr>
            <w:r/>
            <w:r>
              <w:rPr>
                <w:rFonts w:ascii="맑은 고딕" w:hAnsi="맑은 고딕" w:eastAsia="맑은 고딕"/>
                <w:b w:val="0"/>
                <w:sz w:val="16"/>
              </w:rPr>
              <w:t>Oracle</w:t>
            </w:r>
          </w:p>
        </w:tc>
        <w:tc>
          <w:tcPr>
            <w:tcW w:type="dxa" w:w="1419"/>
          </w:tcPr>
          <w:p>
            <w:pPr>
              <w:spacing w:after="20" w:before="20"/>
              <w:jc w:val="right"/>
            </w:pPr>
            <w:r/>
            <w:r>
              <w:rPr>
                <w:rFonts w:ascii="맑은 고딕" w:hAnsi="맑은 고딕" w:eastAsia="맑은 고딕"/>
                <w:b w:val="0"/>
                <w:sz w:val="16"/>
              </w:rPr>
              <w:t>ORCL</w:t>
            </w:r>
          </w:p>
        </w:tc>
        <w:tc>
          <w:tcPr>
            <w:tcW w:type="dxa" w:w="1419"/>
          </w:tcPr>
          <w:p>
            <w:pPr>
              <w:spacing w:after="20" w:before="20"/>
              <w:jc w:val="right"/>
            </w:pPr>
            <w:r/>
            <w:r>
              <w:rPr>
                <w:rFonts w:ascii="맑은 고딕" w:hAnsi="맑은 고딕" w:eastAsia="맑은 고딕"/>
                <w:b w:val="0"/>
                <w:sz w:val="16"/>
              </w:rPr>
              <w:t>364</w:t>
            </w:r>
          </w:p>
        </w:tc>
        <w:tc>
          <w:tcPr>
            <w:tcW w:type="dxa" w:w="1419"/>
          </w:tcPr>
          <w:p>
            <w:pPr>
              <w:spacing w:after="20" w:before="20"/>
              <w:jc w:val="right"/>
            </w:pPr>
            <w:r/>
            <w:r>
              <w:rPr>
                <w:rFonts w:ascii="맑은 고딕" w:hAnsi="맑은 고딕" w:eastAsia="맑은 고딕"/>
                <w:b w:val="0"/>
                <w:sz w:val="16"/>
              </w:rPr>
              <w:t>14.1배</w:t>
            </w:r>
          </w:p>
        </w:tc>
        <w:tc>
          <w:tcPr>
            <w:tcW w:type="dxa" w:w="1419"/>
          </w:tcPr>
          <w:p>
            <w:pPr>
              <w:spacing w:after="20" w:before="20"/>
              <w:jc w:val="right"/>
            </w:pPr>
            <w:r/>
            <w:r>
              <w:rPr>
                <w:rFonts w:ascii="맑은 고딕" w:hAnsi="맑은 고딕" w:eastAsia="맑은 고딕"/>
                <w:b w:val="0"/>
                <w:sz w:val="16"/>
              </w:rPr>
              <w:t>11.6배</w:t>
            </w:r>
          </w:p>
        </w:tc>
        <w:tc>
          <w:tcPr>
            <w:tcW w:type="dxa" w:w="1419"/>
          </w:tcPr>
          <w:p>
            <w:pPr>
              <w:spacing w:after="20" w:before="20"/>
              <w:jc w:val="right"/>
            </w:pPr>
            <w:r/>
            <w:r>
              <w:rPr>
                <w:rFonts w:ascii="맑은 고딕" w:hAnsi="맑은 고딕" w:eastAsia="맑은 고딕"/>
                <w:b w:val="0"/>
                <w:sz w:val="16"/>
              </w:rPr>
              <w:t>21%</w:t>
            </w:r>
          </w:p>
        </w:tc>
        <w:tc>
          <w:tcPr>
            <w:tcW w:type="dxa" w:w="1419"/>
          </w:tcPr>
          <w:p>
            <w:pPr>
              <w:spacing w:after="20" w:before="20"/>
              <w:jc w:val="right"/>
            </w:pPr>
            <w:r/>
            <w:r>
              <w:rPr>
                <w:rFonts w:ascii="맑은 고딕" w:hAnsi="맑은 고딕" w:eastAsia="맑은 고딕"/>
                <w:b w:val="0"/>
                <w:sz w:val="16"/>
              </w:rPr>
              <w:t>45%</w:t>
            </w:r>
          </w:p>
        </w:tc>
      </w:tr>
      <w:tr>
        <w:tc>
          <w:tcPr>
            <w:tcW w:type="dxa" w:w="1419"/>
          </w:tcPr>
          <w:p>
            <w:pPr>
              <w:spacing w:after="20" w:before="20"/>
              <w:jc w:val="left"/>
            </w:pPr>
            <w:r/>
            <w:r>
              <w:rPr>
                <w:rFonts w:ascii="맑은 고딕" w:hAnsi="맑은 고딕" w:eastAsia="맑은 고딕"/>
                <w:b w:val="0"/>
                <w:sz w:val="16"/>
              </w:rPr>
              <w:t>Salesforce</w:t>
            </w:r>
          </w:p>
        </w:tc>
        <w:tc>
          <w:tcPr>
            <w:tcW w:type="dxa" w:w="1419"/>
          </w:tcPr>
          <w:p>
            <w:pPr>
              <w:spacing w:after="20" w:before="20"/>
              <w:jc w:val="right"/>
            </w:pPr>
            <w:r/>
            <w:r>
              <w:rPr>
                <w:rFonts w:ascii="맑은 고딕" w:hAnsi="맑은 고딕" w:eastAsia="맑은 고딕"/>
                <w:b w:val="0"/>
                <w:sz w:val="16"/>
              </w:rPr>
              <w:t>CRM</w:t>
            </w:r>
          </w:p>
        </w:tc>
        <w:tc>
          <w:tcPr>
            <w:tcW w:type="dxa" w:w="1419"/>
          </w:tcPr>
          <w:p>
            <w:pPr>
              <w:spacing w:after="20" w:before="20"/>
              <w:jc w:val="right"/>
            </w:pPr>
            <w:r/>
            <w:r>
              <w:rPr>
                <w:rFonts w:ascii="맑은 고딕" w:hAnsi="맑은 고딕" w:eastAsia="맑은 고딕"/>
                <w:b w:val="0"/>
                <w:sz w:val="16"/>
              </w:rPr>
              <w:t>140</w:t>
            </w:r>
          </w:p>
        </w:tc>
        <w:tc>
          <w:tcPr>
            <w:tcW w:type="dxa" w:w="1419"/>
          </w:tcPr>
          <w:p>
            <w:pPr>
              <w:spacing w:after="20" w:before="20"/>
              <w:jc w:val="right"/>
            </w:pPr>
            <w:r/>
            <w:r>
              <w:rPr>
                <w:rFonts w:ascii="맑은 고딕" w:hAnsi="맑은 고딕" w:eastAsia="맑은 고딕"/>
                <w:b w:val="0"/>
                <w:sz w:val="16"/>
              </w:rPr>
              <w:t>12.0배</w:t>
            </w:r>
          </w:p>
        </w:tc>
        <w:tc>
          <w:tcPr>
            <w:tcW w:type="dxa" w:w="1419"/>
          </w:tcPr>
          <w:p>
            <w:pPr>
              <w:spacing w:after="20" w:before="20"/>
              <w:jc w:val="right"/>
            </w:pPr>
            <w:r/>
            <w:r>
              <w:rPr>
                <w:rFonts w:ascii="맑은 고딕" w:hAnsi="맑은 고딕" w:eastAsia="맑은 고딕"/>
                <w:b w:val="0"/>
                <w:sz w:val="16"/>
              </w:rPr>
              <w:t>11.0배</w:t>
            </w:r>
          </w:p>
        </w:tc>
        <w:tc>
          <w:tcPr>
            <w:tcW w:type="dxa" w:w="1419"/>
          </w:tcPr>
          <w:p>
            <w:pPr>
              <w:spacing w:after="20" w:before="20"/>
              <w:jc w:val="right"/>
            </w:pPr>
            <w:r/>
            <w:r>
              <w:rPr>
                <w:rFonts w:ascii="맑은 고딕" w:hAnsi="맑은 고딕" w:eastAsia="맑은 고딕"/>
                <w:b w:val="0"/>
                <w:sz w:val="16"/>
              </w:rPr>
              <w:t>13%</w:t>
            </w:r>
          </w:p>
        </w:tc>
        <w:tc>
          <w:tcPr>
            <w:tcW w:type="dxa" w:w="1419"/>
          </w:tcPr>
          <w:p>
            <w:pPr>
              <w:spacing w:after="20" w:before="20"/>
              <w:jc w:val="right"/>
            </w:pPr>
            <w:r/>
            <w:r>
              <w:rPr>
                <w:rFonts w:ascii="맑은 고딕" w:hAnsi="맑은 고딕" w:eastAsia="맑은 고딕"/>
                <w:b w:val="0"/>
                <w:sz w:val="16"/>
              </w:rPr>
              <w:t>30%</w:t>
            </w:r>
          </w:p>
        </w:tc>
      </w:tr>
      <w:tr>
        <w:tc>
          <w:tcPr>
            <w:tcW w:type="dxa" w:w="1419"/>
          </w:tcPr>
          <w:p>
            <w:pPr>
              <w:spacing w:after="20" w:before="20"/>
              <w:jc w:val="left"/>
            </w:pPr>
            <w:r/>
            <w:r>
              <w:rPr>
                <w:rFonts w:ascii="맑은 고딕" w:hAnsi="맑은 고딕" w:eastAsia="맑은 고딕"/>
                <w:b w:val="0"/>
                <w:sz w:val="16"/>
              </w:rPr>
              <w:t>NVIDIA</w:t>
            </w:r>
          </w:p>
        </w:tc>
        <w:tc>
          <w:tcPr>
            <w:tcW w:type="dxa" w:w="1419"/>
          </w:tcPr>
          <w:p>
            <w:pPr>
              <w:spacing w:after="20" w:before="20"/>
              <w:jc w:val="right"/>
            </w:pPr>
            <w:r/>
            <w:r>
              <w:rPr>
                <w:rFonts w:ascii="맑은 고딕" w:hAnsi="맑은 고딕" w:eastAsia="맑은 고딕"/>
                <w:b w:val="0"/>
                <w:sz w:val="16"/>
              </w:rPr>
              <w:t>NVDA</w:t>
            </w:r>
          </w:p>
        </w:tc>
        <w:tc>
          <w:tcPr>
            <w:tcW w:type="dxa" w:w="1419"/>
          </w:tcPr>
          <w:p>
            <w:pPr>
              <w:spacing w:after="20" w:before="20"/>
              <w:jc w:val="right"/>
            </w:pPr>
            <w:r/>
            <w:r>
              <w:rPr>
                <w:rFonts w:ascii="맑은 고딕" w:hAnsi="맑은 고딕" w:eastAsia="맑은 고딕"/>
                <w:b w:val="0"/>
                <w:sz w:val="16"/>
              </w:rPr>
              <w:t>4,912</w:t>
            </w:r>
          </w:p>
        </w:tc>
        <w:tc>
          <w:tcPr>
            <w:tcW w:type="dxa" w:w="1419"/>
          </w:tcPr>
          <w:p>
            <w:pPr>
              <w:spacing w:after="20" w:before="20"/>
              <w:jc w:val="right"/>
            </w:pPr>
            <w:r/>
            <w:r>
              <w:rPr>
                <w:rFonts w:ascii="맑은 고딕" w:hAnsi="맑은 고딕" w:eastAsia="맑은 고딕"/>
                <w:b w:val="0"/>
                <w:sz w:val="16"/>
              </w:rPr>
              <w:t>17.5배</w:t>
            </w:r>
          </w:p>
        </w:tc>
        <w:tc>
          <w:tcPr>
            <w:tcW w:type="dxa" w:w="1419"/>
          </w:tcPr>
          <w:p>
            <w:pPr>
              <w:spacing w:after="20" w:before="20"/>
              <w:jc w:val="right"/>
            </w:pPr>
            <w:r/>
            <w:r>
              <w:rPr>
                <w:rFonts w:ascii="맑은 고딕" w:hAnsi="맑은 고딕" w:eastAsia="맑은 고딕"/>
                <w:b w:val="0"/>
                <w:sz w:val="16"/>
              </w:rPr>
              <w:t>15.8배</w:t>
            </w:r>
          </w:p>
        </w:tc>
        <w:tc>
          <w:tcPr>
            <w:tcW w:type="dxa" w:w="1419"/>
          </w:tcPr>
          <w:p>
            <w:pPr>
              <w:spacing w:after="20" w:before="20"/>
              <w:jc w:val="right"/>
            </w:pPr>
            <w:r/>
            <w:r>
              <w:rPr>
                <w:rFonts w:ascii="맑은 고딕" w:hAnsi="맑은 고딕" w:eastAsia="맑은 고딕"/>
                <w:b w:val="0"/>
                <w:sz w:val="16"/>
              </w:rPr>
              <w:t>85%</w:t>
            </w:r>
          </w:p>
        </w:tc>
        <w:tc>
          <w:tcPr>
            <w:tcW w:type="dxa" w:w="1419"/>
          </w:tcPr>
          <w:p>
            <w:pPr>
              <w:spacing w:after="20" w:before="20"/>
              <w:jc w:val="right"/>
            </w:pPr>
            <w:r/>
            <w:r>
              <w:rPr>
                <w:rFonts w:ascii="맑은 고딕" w:hAnsi="맑은 고딕" w:eastAsia="맑은 고딕"/>
                <w:b w:val="0"/>
                <w:sz w:val="16"/>
              </w:rPr>
              <w:t>65%</w:t>
            </w:r>
          </w:p>
        </w:tc>
      </w:tr>
      <w:tr>
        <w:tc>
          <w:tcPr>
            <w:tcW w:type="dxa" w:w="1419"/>
          </w:tcPr>
          <w:p>
            <w:pPr>
              <w:spacing w:after="20" w:before="20"/>
              <w:jc w:val="left"/>
            </w:pPr>
            <w:r/>
            <w:r>
              <w:rPr>
                <w:rFonts w:ascii="맑은 고딕" w:hAnsi="맑은 고딕" w:eastAsia="맑은 고딕"/>
                <w:b w:val="0"/>
                <w:sz w:val="16"/>
              </w:rPr>
              <w:t>최대</w:t>
            </w:r>
          </w:p>
        </w:tc>
        <w:tc>
          <w:tcPr>
            <w:tcW w:type="dxa" w:w="1419"/>
          </w:tcPr>
          <w:p>
            <w:pPr>
              <w:spacing w:after="20" w:before="20"/>
              <w:jc w:val="right"/>
            </w:pPr>
            <w:r/>
            <w:r>
              <w:rPr>
                <w:rFonts w:ascii="맑은 고딕" w:hAnsi="맑은 고딕" w:eastAsia="맑은 고딕"/>
                <w:b w:val="0"/>
                <w:sz w:val="16"/>
              </w:rPr>
            </w:r>
          </w:p>
        </w:tc>
        <w:tc>
          <w:tcPr>
            <w:tcW w:type="dxa" w:w="1419"/>
          </w:tcPr>
          <w:p>
            <w:pPr>
              <w:spacing w:after="20" w:before="20"/>
              <w:jc w:val="right"/>
            </w:pPr>
            <w:r/>
            <w:r>
              <w:rPr>
                <w:rFonts w:ascii="맑은 고딕" w:hAnsi="맑은 고딕" w:eastAsia="맑은 고딕"/>
                <w:b w:val="0"/>
                <w:sz w:val="16"/>
              </w:rPr>
            </w:r>
          </w:p>
        </w:tc>
        <w:tc>
          <w:tcPr>
            <w:tcW w:type="dxa" w:w="1419"/>
          </w:tcPr>
          <w:p>
            <w:pPr>
              <w:spacing w:after="20" w:before="20"/>
              <w:jc w:val="right"/>
            </w:pPr>
            <w:r/>
            <w:r>
              <w:rPr>
                <w:rFonts w:ascii="맑은 고딕" w:hAnsi="맑은 고딕" w:eastAsia="맑은 고딕"/>
                <w:b w:val="0"/>
                <w:sz w:val="16"/>
              </w:rPr>
              <w:t>27.1배</w:t>
            </w:r>
          </w:p>
        </w:tc>
        <w:tc>
          <w:tcPr>
            <w:tcW w:type="dxa" w:w="1419"/>
          </w:tcPr>
          <w:p>
            <w:pPr>
              <w:spacing w:after="20" w:before="20"/>
              <w:jc w:val="right"/>
            </w:pPr>
            <w:r/>
            <w:r>
              <w:rPr>
                <w:rFonts w:ascii="맑은 고딕" w:hAnsi="맑은 고딕" w:eastAsia="맑은 고딕"/>
                <w:b w:val="0"/>
                <w:sz w:val="16"/>
              </w:rPr>
              <w:t>34.6배</w:t>
            </w:r>
          </w:p>
        </w:tc>
        <w:tc>
          <w:tcPr>
            <w:tcW w:type="dxa" w:w="1419"/>
          </w:tcPr>
          <w:p>
            <w:pPr>
              <w:spacing w:after="20" w:before="20"/>
              <w:jc w:val="right"/>
            </w:pPr>
            <w:r/>
            <w:r>
              <w:rPr>
                <w:rFonts w:ascii="맑은 고딕" w:hAnsi="맑은 고딕" w:eastAsia="맑은 고딕"/>
                <w:b w:val="0"/>
                <w:sz w:val="16"/>
              </w:rPr>
            </w:r>
          </w:p>
        </w:tc>
        <w:tc>
          <w:tcPr>
            <w:tcW w:type="dxa" w:w="1419"/>
          </w:tcPr>
          <w:p>
            <w:pPr>
              <w:spacing w:after="20" w:before="20"/>
              <w:jc w:val="right"/>
            </w:pPr>
            <w:r/>
            <w:r>
              <w:rPr>
                <w:rFonts w:ascii="맑은 고딕" w:hAnsi="맑은 고딕" w:eastAsia="맑은 고딕"/>
                <w:b w:val="0"/>
                <w:sz w:val="16"/>
              </w:rPr>
            </w:r>
          </w:p>
        </w:tc>
      </w:tr>
      <w:tr>
        <w:tc>
          <w:tcPr>
            <w:tcW w:type="dxa" w:w="1419"/>
          </w:tcPr>
          <w:p>
            <w:pPr>
              <w:spacing w:after="20" w:before="20"/>
              <w:jc w:val="left"/>
            </w:pPr>
            <w:r/>
            <w:r>
              <w:rPr>
                <w:rFonts w:ascii="맑은 고딕" w:hAnsi="맑은 고딕" w:eastAsia="맑은 고딕"/>
                <w:b w:val="0"/>
                <w:sz w:val="16"/>
              </w:rPr>
              <w:t>중앙값</w:t>
            </w:r>
          </w:p>
        </w:tc>
        <w:tc>
          <w:tcPr>
            <w:tcW w:type="dxa" w:w="1419"/>
          </w:tcPr>
          <w:p>
            <w:pPr>
              <w:spacing w:after="20" w:before="20"/>
              <w:jc w:val="right"/>
            </w:pPr>
            <w:r/>
            <w:r>
              <w:rPr>
                <w:rFonts w:ascii="맑은 고딕" w:hAnsi="맑은 고딕" w:eastAsia="맑은 고딕"/>
                <w:b w:val="0"/>
                <w:sz w:val="16"/>
              </w:rPr>
            </w:r>
          </w:p>
        </w:tc>
        <w:tc>
          <w:tcPr>
            <w:tcW w:type="dxa" w:w="1419"/>
          </w:tcPr>
          <w:p>
            <w:pPr>
              <w:spacing w:after="20" w:before="20"/>
              <w:jc w:val="right"/>
            </w:pPr>
            <w:r/>
            <w:r>
              <w:rPr>
                <w:rFonts w:ascii="맑은 고딕" w:hAnsi="맑은 고딕" w:eastAsia="맑은 고딕"/>
                <w:b w:val="0"/>
                <w:sz w:val="16"/>
              </w:rPr>
            </w:r>
          </w:p>
        </w:tc>
        <w:tc>
          <w:tcPr>
            <w:tcW w:type="dxa" w:w="1419"/>
          </w:tcPr>
          <w:p>
            <w:pPr>
              <w:spacing w:after="20" w:before="20"/>
              <w:jc w:val="right"/>
            </w:pPr>
            <w:r/>
            <w:r>
              <w:rPr>
                <w:rFonts w:ascii="맑은 고딕" w:hAnsi="맑은 고딕" w:eastAsia="맑은 고딕"/>
                <w:b w:val="0"/>
                <w:sz w:val="16"/>
              </w:rPr>
              <w:t>14.8배</w:t>
            </w:r>
          </w:p>
        </w:tc>
        <w:tc>
          <w:tcPr>
            <w:tcW w:type="dxa" w:w="1419"/>
          </w:tcPr>
          <w:p>
            <w:pPr>
              <w:spacing w:after="20" w:before="20"/>
              <w:jc w:val="right"/>
            </w:pPr>
            <w:r/>
            <w:r>
              <w:rPr>
                <w:rFonts w:ascii="맑은 고딕" w:hAnsi="맑은 고딕" w:eastAsia="맑은 고딕"/>
                <w:b w:val="0"/>
                <w:sz w:val="16"/>
              </w:rPr>
              <w:t>17.9배</w:t>
            </w:r>
          </w:p>
        </w:tc>
        <w:tc>
          <w:tcPr>
            <w:tcW w:type="dxa" w:w="1419"/>
          </w:tcPr>
          <w:p>
            <w:pPr>
              <w:spacing w:after="20" w:before="20"/>
              <w:jc w:val="right"/>
            </w:pPr>
            <w:r/>
            <w:r>
              <w:rPr>
                <w:rFonts w:ascii="맑은 고딕" w:hAnsi="맑은 고딕" w:eastAsia="맑은 고딕"/>
                <w:b w:val="0"/>
                <w:sz w:val="16"/>
              </w:rPr>
            </w:r>
          </w:p>
        </w:tc>
        <w:tc>
          <w:tcPr>
            <w:tcW w:type="dxa" w:w="1419"/>
          </w:tcPr>
          <w:p>
            <w:pPr>
              <w:spacing w:after="20" w:before="20"/>
              <w:jc w:val="right"/>
            </w:pPr>
            <w:r/>
            <w:r>
              <w:rPr>
                <w:rFonts w:ascii="맑은 고딕" w:hAnsi="맑은 고딕" w:eastAsia="맑은 고딕"/>
                <w:b w:val="0"/>
                <w:sz w:val="16"/>
              </w:rPr>
            </w:r>
          </w:p>
        </w:tc>
      </w:tr>
      <w:tr>
        <w:tc>
          <w:tcPr>
            <w:tcW w:type="dxa" w:w="1419"/>
          </w:tcPr>
          <w:p>
            <w:pPr>
              <w:spacing w:after="20" w:before="20"/>
              <w:jc w:val="left"/>
            </w:pPr>
            <w:r/>
            <w:r>
              <w:rPr>
                <w:rFonts w:ascii="맑은 고딕" w:hAnsi="맑은 고딕" w:eastAsia="맑은 고딕"/>
                <w:b w:val="0"/>
                <w:sz w:val="16"/>
              </w:rPr>
              <w:t>최소</w:t>
            </w:r>
          </w:p>
        </w:tc>
        <w:tc>
          <w:tcPr>
            <w:tcW w:type="dxa" w:w="1419"/>
          </w:tcPr>
          <w:p>
            <w:pPr>
              <w:spacing w:after="20" w:before="20"/>
              <w:jc w:val="right"/>
            </w:pPr>
            <w:r/>
            <w:r>
              <w:rPr>
                <w:rFonts w:ascii="맑은 고딕" w:hAnsi="맑은 고딕" w:eastAsia="맑은 고딕"/>
                <w:b w:val="0"/>
                <w:sz w:val="16"/>
              </w:rPr>
            </w:r>
          </w:p>
        </w:tc>
        <w:tc>
          <w:tcPr>
            <w:tcW w:type="dxa" w:w="1419"/>
          </w:tcPr>
          <w:p>
            <w:pPr>
              <w:spacing w:after="20" w:before="20"/>
              <w:jc w:val="right"/>
            </w:pPr>
            <w:r/>
            <w:r>
              <w:rPr>
                <w:rFonts w:ascii="맑은 고딕" w:hAnsi="맑은 고딕" w:eastAsia="맑은 고딕"/>
                <w:b w:val="0"/>
                <w:sz w:val="16"/>
              </w:rPr>
            </w:r>
          </w:p>
        </w:tc>
        <w:tc>
          <w:tcPr>
            <w:tcW w:type="dxa" w:w="1419"/>
          </w:tcPr>
          <w:p>
            <w:pPr>
              <w:spacing w:after="20" w:before="20"/>
              <w:jc w:val="right"/>
            </w:pPr>
            <w:r/>
            <w:r>
              <w:rPr>
                <w:rFonts w:ascii="맑은 고딕" w:hAnsi="맑은 고딕" w:eastAsia="맑은 고딕"/>
                <w:b w:val="0"/>
                <w:sz w:val="16"/>
              </w:rPr>
              <w:t>11.9배</w:t>
            </w:r>
          </w:p>
        </w:tc>
        <w:tc>
          <w:tcPr>
            <w:tcW w:type="dxa" w:w="1419"/>
          </w:tcPr>
          <w:p>
            <w:pPr>
              <w:spacing w:after="20" w:before="20"/>
              <w:jc w:val="right"/>
            </w:pPr>
            <w:r/>
            <w:r>
              <w:rPr>
                <w:rFonts w:ascii="맑은 고딕" w:hAnsi="맑은 고딕" w:eastAsia="맑은 고딕"/>
                <w:b w:val="0"/>
                <w:sz w:val="16"/>
              </w:rPr>
              <w:t>11.0배</w:t>
            </w:r>
          </w:p>
        </w:tc>
        <w:tc>
          <w:tcPr>
            <w:tcW w:type="dxa" w:w="1419"/>
          </w:tcPr>
          <w:p>
            <w:pPr>
              <w:spacing w:after="20" w:before="20"/>
              <w:jc w:val="right"/>
            </w:pPr>
            <w:r/>
            <w:r>
              <w:rPr>
                <w:rFonts w:ascii="맑은 고딕" w:hAnsi="맑은 고딕" w:eastAsia="맑은 고딕"/>
                <w:b w:val="0"/>
                <w:sz w:val="16"/>
              </w:rPr>
            </w:r>
          </w:p>
        </w:tc>
        <w:tc>
          <w:tcPr>
            <w:tcW w:type="dxa" w:w="1419"/>
          </w:tcPr>
          <w:p>
            <w:pPr>
              <w:spacing w:after="20" w:before="20"/>
              <w:jc w:val="right"/>
            </w:pPr>
            <w:r/>
            <w:r>
              <w:rPr>
                <w:rFonts w:ascii="맑은 고딕" w:hAnsi="맑은 고딕" w:eastAsia="맑은 고딕"/>
                <w:b w:val="0"/>
                <w:sz w:val="16"/>
              </w:rPr>
            </w:r>
          </w:p>
        </w:tc>
      </w:tr>
      <w:tr>
        <w:tc>
          <w:tcPr>
            <w:tcW w:type="dxa" w:w="1419"/>
          </w:tcPr>
          <w:p>
            <w:pPr>
              <w:spacing w:after="20" w:before="20"/>
              <w:jc w:val="left"/>
            </w:pPr>
            <w:r/>
            <w:r>
              <w:rPr>
                <w:rFonts w:ascii="맑은 고딕" w:hAnsi="맑은 고딕" w:eastAsia="맑은 고딕"/>
                <w:b w:val="0"/>
                <w:sz w:val="16"/>
              </w:rPr>
              <w:t>Alphabet (GOOGL)</w:t>
            </w:r>
          </w:p>
        </w:tc>
        <w:tc>
          <w:tcPr>
            <w:tcW w:type="dxa" w:w="1419"/>
          </w:tcPr>
          <w:p>
            <w:pPr>
              <w:spacing w:after="20" w:before="20"/>
              <w:jc w:val="right"/>
            </w:pPr>
            <w:r/>
            <w:r>
              <w:rPr>
                <w:rFonts w:ascii="맑은 고딕" w:hAnsi="맑은 고딕" w:eastAsia="맑은 고딕"/>
                <w:b w:val="0"/>
                <w:sz w:val="16"/>
              </w:rPr>
              <w:t>GOOGL</w:t>
            </w:r>
          </w:p>
        </w:tc>
        <w:tc>
          <w:tcPr>
            <w:tcW w:type="dxa" w:w="1419"/>
          </w:tcPr>
          <w:p>
            <w:pPr>
              <w:spacing w:after="20" w:before="20"/>
              <w:jc w:val="right"/>
            </w:pPr>
            <w:r/>
            <w:r>
              <w:rPr>
                <w:rFonts w:ascii="맑은 고딕" w:hAnsi="맑은 고딕" w:eastAsia="맑은 고딕"/>
                <w:b w:val="0"/>
                <w:sz w:val="16"/>
              </w:rPr>
              <w:t>4,340</w:t>
            </w:r>
          </w:p>
        </w:tc>
        <w:tc>
          <w:tcPr>
            <w:tcW w:type="dxa" w:w="1419"/>
          </w:tcPr>
          <w:p>
            <w:pPr>
              <w:spacing w:after="20" w:before="20"/>
              <w:jc w:val="right"/>
            </w:pPr>
            <w:r/>
            <w:r>
              <w:rPr>
                <w:rFonts w:ascii="맑은 고딕" w:hAnsi="맑은 고딕" w:eastAsia="맑은 고딕"/>
                <w:b w:val="0"/>
                <w:sz w:val="16"/>
              </w:rPr>
              <w:t>18.9배</w:t>
            </w:r>
          </w:p>
        </w:tc>
        <w:tc>
          <w:tcPr>
            <w:tcW w:type="dxa" w:w="1419"/>
          </w:tcPr>
          <w:p>
            <w:pPr>
              <w:spacing w:after="20" w:before="20"/>
              <w:jc w:val="right"/>
            </w:pPr>
            <w:r/>
            <w:r>
              <w:rPr>
                <w:rFonts w:ascii="맑은 고딕" w:hAnsi="맑은 고딕" w:eastAsia="맑은 고딕"/>
                <w:b w:val="0"/>
                <w:sz w:val="16"/>
              </w:rPr>
              <w:t>25.3배</w:t>
            </w:r>
          </w:p>
        </w:tc>
        <w:tc>
          <w:tcPr>
            <w:tcW w:type="dxa" w:w="1419"/>
          </w:tcPr>
          <w:p>
            <w:pPr>
              <w:spacing w:after="20" w:before="20"/>
              <w:jc w:val="right"/>
            </w:pPr>
            <w:r/>
            <w:r>
              <w:rPr>
                <w:rFonts w:ascii="맑은 고딕" w:hAnsi="맑은 고딕" w:eastAsia="맑은 고딕"/>
                <w:b w:val="0"/>
                <w:sz w:val="16"/>
              </w:rPr>
              <w:t>20%</w:t>
            </w:r>
          </w:p>
        </w:tc>
        <w:tc>
          <w:tcPr>
            <w:tcW w:type="dxa" w:w="1419"/>
          </w:tcPr>
          <w:p>
            <w:pPr>
              <w:spacing w:after="20" w:before="20"/>
              <w:jc w:val="right"/>
            </w:pPr>
            <w:r/>
            <w:r>
              <w:rPr>
                <w:rFonts w:ascii="맑은 고딕" w:hAnsi="맑은 고딕" w:eastAsia="맑은 고딕"/>
                <w:b w:val="0"/>
                <w:sz w:val="16"/>
              </w:rPr>
              <w:t>39%</w:t>
            </w:r>
          </w:p>
        </w:tc>
      </w:tr>
    </w:tbl>
    <w:p>
      <w:pPr>
        <w:spacing w:after="40"/>
      </w:pPr>
    </w:p>
    <w:p>
      <w:pPr>
        <w:spacing w:after="200"/>
      </w:pPr>
      <w:r>
        <w:rPr>
          <w:rFonts w:ascii="맑은 고딕" w:hAnsi="맑은 고딕" w:eastAsia="맑은 고딕"/>
          <w:i/>
          <w:color w:val="595959"/>
          <w:sz w:val="16"/>
        </w:rPr>
        <w:t>표 5 — 비교기업 (기준일 2026-07-18). GOOGL은 FY2027E 기준으로 피어 선행배수와 동일 기준 적용. 자료: Yahoo Finance, 모델.</w:t>
      </w:r>
    </w:p>
    <w:p>
      <w:pPr>
        <w:spacing w:before="160" w:after="80"/>
      </w:pPr>
      <w:r>
        <w:rPr>
          <w:rFonts w:ascii="맑은 고딕" w:hAnsi="맑은 고딕" w:eastAsia="맑은 고딕"/>
          <w:b/>
          <w:color w:val="1A1A1A"/>
          <w:sz w:val="25"/>
        </w:rPr>
        <w:t>밸류에이션 종합</w:t>
      </w:r>
    </w:p>
    <w:tbl>
      <w:tblPr>
        <w:tblStyle w:val="LightGrid-Accent1"/>
        <w:tblW w:type="auto" w:w="0"/>
        <w:tblLayout w:type="autofit"/>
        <w:tblLook w:firstColumn="1" w:firstRow="1" w:lastColumn="0" w:lastRow="0" w:noHBand="0" w:noVBand="1" w:val="04A0"/>
      </w:tblPr>
      <w:tblGrid>
        <w:gridCol w:w="1987"/>
        <w:gridCol w:w="1987"/>
        <w:gridCol w:w="1987"/>
        <w:gridCol w:w="1987"/>
        <w:gridCol w:w="1987"/>
      </w:tblGrid>
      <w:tr>
        <w:tc>
          <w:tcPr>
            <w:tcW w:type="dxa" w:w="1987"/>
            <w:shd w:fill="1F3864"/>
          </w:tcPr>
          <w:p>
            <w:pPr>
              <w:spacing w:after="20" w:before="20"/>
              <w:jc w:val="left"/>
            </w:pPr>
            <w:r/>
            <w:r>
              <w:rPr>
                <w:rFonts w:ascii="맑은 고딕" w:hAnsi="맑은 고딕" w:eastAsia="맑은 고딕"/>
                <w:b/>
                <w:color w:val="FFFFFF"/>
                <w:sz w:val="18"/>
              </w:rPr>
              <w:t>방법</w:t>
            </w:r>
          </w:p>
        </w:tc>
        <w:tc>
          <w:tcPr>
            <w:tcW w:type="dxa" w:w="1987"/>
            <w:shd w:fill="1F3864"/>
          </w:tcPr>
          <w:p>
            <w:pPr>
              <w:spacing w:after="20" w:before="20"/>
              <w:jc w:val="right"/>
            </w:pPr>
            <w:r/>
            <w:r>
              <w:rPr>
                <w:rFonts w:ascii="맑은 고딕" w:hAnsi="맑은 고딕" w:eastAsia="맑은 고딕"/>
                <w:b/>
                <w:color w:val="FFFFFF"/>
                <w:sz w:val="18"/>
              </w:rPr>
              <w:t>하단</w:t>
            </w:r>
          </w:p>
        </w:tc>
        <w:tc>
          <w:tcPr>
            <w:tcW w:type="dxa" w:w="1987"/>
            <w:shd w:fill="1F3864"/>
          </w:tcPr>
          <w:p>
            <w:pPr>
              <w:spacing w:after="20" w:before="20"/>
              <w:jc w:val="right"/>
            </w:pPr>
            <w:r/>
            <w:r>
              <w:rPr>
                <w:rFonts w:ascii="맑은 고딕" w:hAnsi="맑은 고딕" w:eastAsia="맑은 고딕"/>
                <w:b/>
                <w:color w:val="FFFFFF"/>
                <w:sz w:val="18"/>
              </w:rPr>
              <w:t>기본</w:t>
            </w:r>
          </w:p>
        </w:tc>
        <w:tc>
          <w:tcPr>
            <w:tcW w:type="dxa" w:w="1987"/>
            <w:shd w:fill="1F3864"/>
          </w:tcPr>
          <w:p>
            <w:pPr>
              <w:spacing w:after="20" w:before="20"/>
              <w:jc w:val="right"/>
            </w:pPr>
            <w:r/>
            <w:r>
              <w:rPr>
                <w:rFonts w:ascii="맑은 고딕" w:hAnsi="맑은 고딕" w:eastAsia="맑은 고딕"/>
                <w:b/>
                <w:color w:val="FFFFFF"/>
                <w:sz w:val="18"/>
              </w:rPr>
              <w:t>상단</w:t>
            </w:r>
          </w:p>
        </w:tc>
        <w:tc>
          <w:tcPr>
            <w:tcW w:type="dxa" w:w="1987"/>
            <w:shd w:fill="1F3864"/>
          </w:tcPr>
          <w:p>
            <w:pPr>
              <w:spacing w:after="20" w:before="20"/>
              <w:jc w:val="right"/>
            </w:pPr>
            <w:r/>
            <w:r>
              <w:rPr>
                <w:rFonts w:ascii="맑은 고딕" w:hAnsi="맑은 고딕" w:eastAsia="맑은 고딕"/>
                <w:b/>
                <w:color w:val="FFFFFF"/>
                <w:sz w:val="18"/>
              </w:rPr>
              <w:t>가중치</w:t>
            </w:r>
          </w:p>
        </w:tc>
      </w:tr>
      <w:tr>
        <w:tc>
          <w:tcPr>
            <w:tcW w:type="dxa" w:w="1987"/>
          </w:tcPr>
          <w:p>
            <w:pPr>
              <w:spacing w:after="20" w:before="20"/>
              <w:jc w:val="left"/>
            </w:pPr>
            <w:r/>
            <w:r>
              <w:rPr>
                <w:rFonts w:ascii="맑은 고딕" w:hAnsi="맑은 고딕" w:eastAsia="맑은 고딕"/>
                <w:b w:val="0"/>
                <w:sz w:val="18"/>
              </w:rPr>
              <w:t>DCF</w:t>
            </w:r>
          </w:p>
        </w:tc>
        <w:tc>
          <w:tcPr>
            <w:tcW w:type="dxa" w:w="1987"/>
          </w:tcPr>
          <w:p>
            <w:pPr>
              <w:spacing w:after="20" w:before="20"/>
              <w:jc w:val="right"/>
            </w:pPr>
            <w:r/>
            <w:r>
              <w:rPr>
                <w:rFonts w:ascii="맑은 고딕" w:hAnsi="맑은 고딕" w:eastAsia="맑은 고딕"/>
                <w:b w:val="0"/>
                <w:sz w:val="18"/>
              </w:rPr>
              <w:t>$147</w:t>
            </w:r>
          </w:p>
        </w:tc>
        <w:tc>
          <w:tcPr>
            <w:tcW w:type="dxa" w:w="1987"/>
          </w:tcPr>
          <w:p>
            <w:pPr>
              <w:spacing w:after="20" w:before="20"/>
              <w:jc w:val="right"/>
            </w:pPr>
            <w:r/>
            <w:r>
              <w:rPr>
                <w:rFonts w:ascii="맑은 고딕" w:hAnsi="맑은 고딕" w:eastAsia="맑은 고딕"/>
                <w:b w:val="0"/>
                <w:sz w:val="18"/>
              </w:rPr>
              <w:t>$193</w:t>
            </w:r>
          </w:p>
        </w:tc>
        <w:tc>
          <w:tcPr>
            <w:tcW w:type="dxa" w:w="1987"/>
          </w:tcPr>
          <w:p>
            <w:pPr>
              <w:spacing w:after="20" w:before="20"/>
              <w:jc w:val="right"/>
            </w:pPr>
            <w:r/>
            <w:r>
              <w:rPr>
                <w:rFonts w:ascii="맑은 고딕" w:hAnsi="맑은 고딕" w:eastAsia="맑은 고딕"/>
                <w:b w:val="0"/>
                <w:sz w:val="18"/>
              </w:rPr>
              <w:t>$245</w:t>
            </w:r>
          </w:p>
        </w:tc>
        <w:tc>
          <w:tcPr>
            <w:tcW w:type="dxa" w:w="1987"/>
          </w:tcPr>
          <w:p>
            <w:pPr>
              <w:spacing w:after="20" w:before="20"/>
              <w:jc w:val="right"/>
            </w:pPr>
            <w:r/>
            <w:r>
              <w:rPr>
                <w:rFonts w:ascii="맑은 고딕" w:hAnsi="맑은 고딕" w:eastAsia="맑은 고딕"/>
                <w:b w:val="0"/>
                <w:sz w:val="18"/>
              </w:rPr>
              <w:t>55%</w:t>
            </w:r>
          </w:p>
        </w:tc>
      </w:tr>
      <w:tr>
        <w:tc>
          <w:tcPr>
            <w:tcW w:type="dxa" w:w="1987"/>
          </w:tcPr>
          <w:p>
            <w:pPr>
              <w:spacing w:after="20" w:before="20"/>
              <w:jc w:val="left"/>
            </w:pPr>
            <w:r/>
            <w:r>
              <w:rPr>
                <w:rFonts w:ascii="맑은 고딕" w:hAnsi="맑은 고딕" w:eastAsia="맑은 고딕"/>
                <w:b w:val="0"/>
                <w:sz w:val="18"/>
              </w:rPr>
              <w:t>Comps</w:t>
            </w:r>
          </w:p>
        </w:tc>
        <w:tc>
          <w:tcPr>
            <w:tcW w:type="dxa" w:w="1987"/>
          </w:tcPr>
          <w:p>
            <w:pPr>
              <w:spacing w:after="20" w:before="20"/>
              <w:jc w:val="right"/>
            </w:pPr>
            <w:r/>
            <w:r>
              <w:rPr>
                <w:rFonts w:ascii="맑은 고딕" w:hAnsi="맑은 고딕" w:eastAsia="맑은 고딕"/>
                <w:b w:val="0"/>
                <w:sz w:val="18"/>
              </w:rPr>
              <w:t>$177</w:t>
            </w:r>
          </w:p>
        </w:tc>
        <w:tc>
          <w:tcPr>
            <w:tcW w:type="dxa" w:w="1987"/>
          </w:tcPr>
          <w:p>
            <w:pPr>
              <w:spacing w:after="20" w:before="20"/>
              <w:jc w:val="right"/>
            </w:pPr>
            <w:r/>
            <w:r>
              <w:rPr>
                <w:rFonts w:ascii="맑은 고딕" w:hAnsi="맑은 고딕" w:eastAsia="맑은 고딕"/>
                <w:b w:val="0"/>
                <w:sz w:val="18"/>
              </w:rPr>
              <w:t>$265</w:t>
            </w:r>
          </w:p>
        </w:tc>
        <w:tc>
          <w:tcPr>
            <w:tcW w:type="dxa" w:w="1987"/>
          </w:tcPr>
          <w:p>
            <w:pPr>
              <w:spacing w:after="20" w:before="20"/>
              <w:jc w:val="right"/>
            </w:pPr>
            <w:r/>
            <w:r>
              <w:rPr>
                <w:rFonts w:ascii="맑은 고딕" w:hAnsi="맑은 고딕" w:eastAsia="맑은 고딕"/>
                <w:b w:val="0"/>
                <w:sz w:val="18"/>
              </w:rPr>
              <w:t>$339</w:t>
            </w:r>
          </w:p>
        </w:tc>
        <w:tc>
          <w:tcPr>
            <w:tcW w:type="dxa" w:w="1987"/>
          </w:tcPr>
          <w:p>
            <w:pPr>
              <w:spacing w:after="20" w:before="20"/>
              <w:jc w:val="right"/>
            </w:pPr>
            <w:r/>
            <w:r>
              <w:rPr>
                <w:rFonts w:ascii="맑은 고딕" w:hAnsi="맑은 고딕" w:eastAsia="맑은 고딕"/>
                <w:b w:val="0"/>
                <w:sz w:val="18"/>
              </w:rPr>
              <w:t>45%</w:t>
            </w:r>
          </w:p>
        </w:tc>
      </w:tr>
      <w:tr>
        <w:tc>
          <w:tcPr>
            <w:tcW w:type="dxa" w:w="1987"/>
          </w:tcPr>
          <w:p>
            <w:pPr>
              <w:spacing w:after="20" w:before="20"/>
              <w:jc w:val="left"/>
            </w:pPr>
            <w:r/>
            <w:r>
              <w:rPr>
                <w:rFonts w:ascii="맑은 고딕" w:hAnsi="맑은 고딕" w:eastAsia="맑은 고딕"/>
                <w:b w:val="0"/>
                <w:sz w:val="18"/>
              </w:rPr>
              <w:t>가중 목표주가</w:t>
            </w:r>
          </w:p>
        </w:tc>
        <w:tc>
          <w:tcPr>
            <w:tcW w:type="dxa" w:w="1987"/>
          </w:tcPr>
          <w:p>
            <w:pPr>
              <w:spacing w:after="20" w:before="20"/>
              <w:jc w:val="right"/>
            </w:pPr>
            <w:r/>
            <w:r>
              <w:rPr>
                <w:rFonts w:ascii="맑은 고딕" w:hAnsi="맑은 고딕" w:eastAsia="맑은 고딕"/>
                <w:b w:val="0"/>
                <w:sz w:val="18"/>
              </w:rPr>
            </w:r>
          </w:p>
        </w:tc>
        <w:tc>
          <w:tcPr>
            <w:tcW w:type="dxa" w:w="1987"/>
          </w:tcPr>
          <w:p>
            <w:pPr>
              <w:spacing w:after="20" w:before="20"/>
              <w:jc w:val="right"/>
            </w:pPr>
            <w:r/>
            <w:r>
              <w:rPr>
                <w:rFonts w:ascii="맑은 고딕" w:hAnsi="맑은 고딕" w:eastAsia="맑은 고딕"/>
                <w:b w:val="0"/>
                <w:sz w:val="18"/>
              </w:rPr>
              <w:t>$225</w:t>
            </w:r>
          </w:p>
        </w:tc>
        <w:tc>
          <w:tcPr>
            <w:tcW w:type="dxa" w:w="1987"/>
          </w:tcPr>
          <w:p>
            <w:pPr>
              <w:spacing w:after="20" w:before="20"/>
              <w:jc w:val="right"/>
            </w:pPr>
            <w:r/>
            <w:r>
              <w:rPr>
                <w:rFonts w:ascii="맑은 고딕" w:hAnsi="맑은 고딕" w:eastAsia="맑은 고딕"/>
                <w:b w:val="0"/>
                <w:sz w:val="18"/>
              </w:rPr>
            </w:r>
          </w:p>
        </w:tc>
        <w:tc>
          <w:tcPr>
            <w:tcW w:type="dxa" w:w="1987"/>
          </w:tcPr>
          <w:p>
            <w:pPr>
              <w:spacing w:after="20" w:before="20"/>
              <w:jc w:val="right"/>
            </w:pPr>
            <w:r/>
            <w:r>
              <w:rPr>
                <w:rFonts w:ascii="맑은 고딕" w:hAnsi="맑은 고딕" w:eastAsia="맑은 고딕"/>
                <w:b w:val="0"/>
                <w:sz w:val="18"/>
              </w:rPr>
              <w:t>100%</w:t>
            </w:r>
          </w:p>
        </w:tc>
      </w:tr>
      <w:tr>
        <w:tc>
          <w:tcPr>
            <w:tcW w:type="dxa" w:w="1987"/>
          </w:tcPr>
          <w:p>
            <w:pPr>
              <w:spacing w:after="20" w:before="20"/>
              <w:jc w:val="left"/>
            </w:pPr>
            <w:r/>
            <w:r>
              <w:rPr>
                <w:rFonts w:ascii="맑은 고딕" w:hAnsi="맑은 고딕" w:eastAsia="맑은 고딕"/>
                <w:b w:val="0"/>
                <w:sz w:val="18"/>
              </w:rPr>
              <w:t>셀사이드 컨센서스</w:t>
            </w:r>
          </w:p>
        </w:tc>
        <w:tc>
          <w:tcPr>
            <w:tcW w:type="dxa" w:w="1987"/>
          </w:tcPr>
          <w:p>
            <w:pPr>
              <w:spacing w:after="20" w:before="20"/>
              <w:jc w:val="right"/>
            </w:pPr>
            <w:r/>
            <w:r>
              <w:rPr>
                <w:rFonts w:ascii="맑은 고딕" w:hAnsi="맑은 고딕" w:eastAsia="맑은 고딕"/>
                <w:b w:val="0"/>
                <w:sz w:val="18"/>
              </w:rPr>
            </w:r>
          </w:p>
        </w:tc>
        <w:tc>
          <w:tcPr>
            <w:tcW w:type="dxa" w:w="1987"/>
          </w:tcPr>
          <w:p>
            <w:pPr>
              <w:spacing w:after="20" w:before="20"/>
              <w:jc w:val="right"/>
            </w:pPr>
            <w:r/>
            <w:r>
              <w:rPr>
                <w:rFonts w:ascii="맑은 고딕" w:hAnsi="맑은 고딕" w:eastAsia="맑은 고딕"/>
                <w:b w:val="0"/>
                <w:sz w:val="18"/>
              </w:rPr>
              <w:t>$410</w:t>
            </w:r>
          </w:p>
        </w:tc>
        <w:tc>
          <w:tcPr>
            <w:tcW w:type="dxa" w:w="1987"/>
          </w:tcPr>
          <w:p>
            <w:pPr>
              <w:spacing w:after="20" w:before="20"/>
              <w:jc w:val="right"/>
            </w:pPr>
            <w:r/>
            <w:r>
              <w:rPr>
                <w:rFonts w:ascii="맑은 고딕" w:hAnsi="맑은 고딕" w:eastAsia="맑은 고딕"/>
                <w:b w:val="0"/>
                <w:sz w:val="18"/>
              </w:rPr>
            </w:r>
          </w:p>
        </w:tc>
        <w:tc>
          <w:tcPr>
            <w:tcW w:type="dxa" w:w="1987"/>
          </w:tcPr>
          <w:p>
            <w:pPr>
              <w:spacing w:after="20" w:before="20"/>
              <w:jc w:val="right"/>
            </w:pPr>
            <w:r/>
            <w:r>
              <w:rPr>
                <w:rFonts w:ascii="맑은 고딕" w:hAnsi="맑은 고딕" w:eastAsia="맑은 고딕"/>
                <w:b w:val="0"/>
                <w:sz w:val="18"/>
              </w:rPr>
              <w:t>참고</w:t>
            </w:r>
          </w:p>
        </w:tc>
      </w:tr>
    </w:tbl>
    <w:p>
      <w:pPr>
        <w:spacing w:after="40"/>
      </w:pPr>
    </w:p>
    <w:p>
      <w:pPr>
        <w:spacing w:after="200"/>
      </w:pPr>
      <w:r>
        <w:rPr>
          <w:rFonts w:ascii="맑은 고딕" w:hAnsi="맑은 고딕" w:eastAsia="맑은 고딕"/>
          <w:i/>
          <w:color w:val="595959"/>
          <w:sz w:val="16"/>
        </w:rPr>
        <w:t>표 6 — 밸류에이션 종합. 자료: 모델(Valuation Summary 탭).</w:t>
      </w:r>
    </w:p>
    <w:p>
      <w:pPr>
        <w:jc w:val="center"/>
      </w:pPr>
      <w:r>
        <w:drawing>
          <wp:inline xmlns:a="http://schemas.openxmlformats.org/drawingml/2006/main" xmlns:pic="http://schemas.openxmlformats.org/drawingml/2006/picture">
            <wp:extent cx="5852160" cy="2798432"/>
            <wp:docPr id="12" name="Picture 12"/>
            <wp:cNvGraphicFramePr>
              <a:graphicFrameLocks noChangeAspect="1"/>
            </wp:cNvGraphicFramePr>
            <a:graphic>
              <a:graphicData uri="http://schemas.openxmlformats.org/drawingml/2006/picture">
                <pic:pic>
                  <pic:nvPicPr>
                    <pic:cNvPr id="0" name="chart_10_football_field.png"/>
                    <pic:cNvPicPr/>
                  </pic:nvPicPr>
                  <pic:blipFill>
                    <a:blip r:embed="rId20"/>
                    <a:stretch>
                      <a:fillRect/>
                    </a:stretch>
                  </pic:blipFill>
                  <pic:spPr>
                    <a:xfrm>
                      <a:off x="0" y="0"/>
                      <a:ext cx="5852160" cy="2798432"/>
                    </a:xfrm>
                    <a:prstGeom prst="rect"/>
                  </pic:spPr>
                </pic:pic>
              </a:graphicData>
            </a:graphic>
          </wp:inline>
        </w:drawing>
      </w:r>
    </w:p>
    <w:p>
      <w:pPr>
        <w:spacing w:after="200"/>
      </w:pPr>
      <w:r>
        <w:rPr>
          <w:rFonts w:ascii="맑은 고딕" w:hAnsi="맑은 고딕" w:eastAsia="맑은 고딕"/>
          <w:i/>
          <w:color w:val="595959"/>
          <w:sz w:val="16"/>
        </w:rPr>
        <w:t>그림 10 — 밸류에이션 풋볼 필드. 자료: 모델. ⭐</w:t>
      </w:r>
    </w:p>
    <w:p>
      <w:pPr>
        <w:spacing w:before="160" w:after="80"/>
      </w:pPr>
      <w:r>
        <w:rPr>
          <w:rFonts w:ascii="맑은 고딕" w:hAnsi="맑은 고딕" w:eastAsia="맑은 고딕"/>
          <w:b/>
          <w:color w:val="1A1A1A"/>
          <w:sz w:val="25"/>
        </w:rPr>
        <w:t>목표주가 및 투자의견</w:t>
      </w:r>
    </w:p>
    <w:p>
      <w:pPr>
        <w:spacing w:after="140"/>
      </w:pPr>
      <w:r>
        <w:rPr>
          <w:rFonts w:ascii="맑은 고딕" w:hAnsi="맑은 고딕" w:eastAsia="맑은 고딕"/>
          <w:i w:val="0"/>
          <w:sz w:val="21"/>
        </w:rPr>
        <w:t>투자의견 매도(SELL), 12개월 목표주가 225달러를 제시한다. 현재가 354.46달러 대비 36.5%의 하락 여지에 해당한다. 목표주가는 DCF 산출치 193달러에 55%, 상대가치 산출치 265달러에 45%를 가중해 도출했다. DCF는 WACC 9.42%, 영구성장률 3.0%를 적용했으며, 영구가치가 기업가치의 79.3%를 차지해 잔존가치 의존도가 높다는 점을 명시한다. 상대가치는 FY2027E 희석 EPS 14.03달러에 피어 중앙값을 상회하는 프리미엄 배수를 적용한 결과다.</w:t>
      </w:r>
    </w:p>
    <w:p>
      <w:pPr>
        <w:spacing w:after="140"/>
      </w:pPr>
      <w:r>
        <w:rPr>
          <w:rFonts w:ascii="맑은 고딕" w:hAnsi="맑은 고딕" w:eastAsia="맑은 고딕"/>
          <w:i w:val="0"/>
          <w:sz w:val="21"/>
        </w:rPr>
        <w:t>현재 주가가 요구하는 조건을 역산하면 결론이 명확해진다. 354.46달러를 DCF로 정당화하려면 영구성장률이 6.26%이거나 WACC이 6.54%여야 한다. 전자는 알파벳이 영구히 미국 명목 GDP 성장률을 두 배 이상 상회한다는 가정이고, 후자는 무위험수익률과 주식위험프리미엄의 합을 부정하는 수준이다. 두 조건 모두 방어하기 어렵다. 배수 측면에서도 선행 P/E 25.3배는 피어 중앙값 17.9배를 41% 상회하고, EV/EBITDA 18.9배는 피어 중앙값 14.8배를 28% 상회한다.</w:t>
      </w:r>
    </w:p>
    <w:p>
      <w:pPr>
        <w:spacing w:after="140"/>
      </w:pPr>
      <w:r>
        <w:rPr>
          <w:rFonts w:ascii="맑은 고딕" w:hAnsi="맑은 고딕" w:eastAsia="맑은 고딕"/>
          <w:i w:val="0"/>
          <w:sz w:val="21"/>
        </w:rPr>
        <w:t>셀사이드 컨센서스 목표주가는 약 410달러로 우리 목표주가와 82%의 괴리가 있다. 이 괴리를 은폐할 의도는 없으며 원인을 명확히 밝힌다. 괴리는 실적 전망 차이에서 오지 않는다. 우리 FY2027E EPS 14.03달러와 FY2030E 22.05달러는 컨센서스와 유의미하게 다르지 않다. 차이는 배수에 있다. 시장은 알파벳에 25~29배를 적용하며 AI 승자 프리미엄을 부여하는 반면, 우리는 자본집약도 상승과 규제 불확실성을 반영해 정상화 이익 대비 18~20배가 적정하다고 판단한다. 또한 FY2025 순이익에 포함된 지분투자 평가익 약 298억 달러가 시장의 배수 계산을 낙관적으로 왜곡하고 있다고 본다.</w:t>
      </w:r>
    </w:p>
    <w:p>
      <w:pPr>
        <w:spacing w:after="140"/>
      </w:pPr>
      <w:r>
        <w:rPr>
          <w:rFonts w:ascii="맑은 고딕" w:hAnsi="맑은 고딕" w:eastAsia="맑은 고딕"/>
          <w:i w:val="0"/>
          <w:sz w:val="21"/>
        </w:rPr>
        <w:t>매수 전환 조건을 명시한다. 첫째, 주가가 260달러 이하로 조정되어 우리 기본 시나리오 대비 상승 여지가 확보되는 경우다. 둘째, 설비투자 비율이 매출 대비 15% 이하로 실제 하락하며 FCF 전환율이 순이익의 75%를 넘어서는 것이 두 개 분기 연속 확인되는 경우다. 셋째, 구글클라우드 세그먼트 영업이익률이 25%를 상회하며 우리 가정을 구조적으로 상회하는 경우다. 넷째, 진행 중인 반독점 소송이 구조적 구제 없이 종결되어 규제 할인이 해소되는 경우다.</w:t>
      </w:r>
    </w:p>
    <w:p>
      <w:pPr>
        <w:spacing w:after="140"/>
      </w:pPr>
      <w:r>
        <w:rPr>
          <w:rFonts w:ascii="맑은 고딕" w:hAnsi="맑은 고딕" w:eastAsia="맑은 고딕"/>
          <w:i w:val="0"/>
          <w:sz w:val="21"/>
        </w:rPr>
        <w:t>반대로 추가 하락 위험이 현실화되는 조건은 다음과 같다. 검색 매출 성장률이 두 개 분기 연속 한 자릿수 초반으로 둔화되는 경우, 설비투자가 매출 대비 20%를 상회한 채 FY2027까지 고착되는 경우, 애드테크 소송에서 사업 분리가 명령되는 경우, 그리고 애플 기본 검색 계약이 재협상되어 트래픽획득비용이 급증하는 경우다. 이 중 둘 이상이 동시에 발생하면 비관 시나리오의 주당가치 220달러도 하방 압력을 받는다. 본 목표주가는 12개월 기준이며, 사업의 질에 대한 부정이 아니라 현재 가격에 대한 판단임을 다시 강조한다.</w:t>
      </w:r>
    </w:p>
    <w:p>
      <w:r>
        <w:br w:type="page"/>
      </w:r>
    </w:p>
    <w:p>
      <w:pPr>
        <w:spacing w:before="240" w:after="80"/>
        <w:pBdr>
          <w:bottom w:val="single" w:sz="6" w:space="2" w:color="1F3864"/>
        </w:pBdr>
      </w:pPr>
      <w:r>
        <w:rPr>
          <w:rFonts w:ascii="맑은 고딕" w:hAnsi="맑은 고딕" w:eastAsia="맑은 고딕"/>
          <w:b/>
          <w:color w:val="1F3864"/>
          <w:sz w:val="30"/>
        </w:rPr>
        <w:t>데이터 출처 및 참고자료</w:t>
      </w:r>
    </w:p>
    <w:p>
      <w:pPr>
        <w:pStyle w:val="ListBullet"/>
        <w:spacing w:after="60"/>
      </w:pPr>
      <w:r>
        <w:rPr>
          <w:rFonts w:ascii="맑은 고딕" w:hAnsi="맑은 고딕" w:eastAsia="맑은 고딕"/>
          <w:sz w:val="21"/>
        </w:rPr>
        <w:t>Alphabet Inc., Form 8-K / 2026년 1분기 실적 발표 자료, SEC EDGAR — https://www.sec.gov/Archives/edgar/data/0001652044/000165204426000043/googexhibit991q12026.htm (조회일 2026-07-18)</w:t>
      </w:r>
    </w:p>
    <w:p>
      <w:pPr>
        <w:pStyle w:val="ListBullet"/>
        <w:spacing w:after="60"/>
      </w:pPr>
      <w:r>
        <w:rPr>
          <w:rFonts w:ascii="맑은 고딕" w:hAnsi="맑은 고딕" w:eastAsia="맑은 고딕"/>
          <w:sz w:val="21"/>
        </w:rPr>
        <w:t>Alphabet Inc., Form ARS FY2025 (연차보고서) — https://www.sec.gov/Archives/edgar/data/0001652044/000130817926000344/goog014907-ars.pdf (조회일 2026-07-18)</w:t>
      </w:r>
    </w:p>
    <w:p>
      <w:pPr>
        <w:pStyle w:val="ListBullet"/>
        <w:spacing w:after="60"/>
      </w:pPr>
      <w:r>
        <w:rPr>
          <w:rFonts w:ascii="맑은 고딕" w:hAnsi="맑은 고딕" w:eastAsia="맑은 고딕"/>
          <w:sz w:val="21"/>
        </w:rPr>
        <w:t>Alphabet Inc., Form DEF 14A FY2026 (주주총회 위임장 권유신고서, 경영진 이력·지배구조) — https://www.sec.gov/Archives/edgar/data/0001652044/000130817926000342/goog2025_courtesy-pdf.pdf (조회일 2026-07-18)</w:t>
      </w:r>
    </w:p>
    <w:p>
      <w:pPr>
        <w:pStyle w:val="ListBullet"/>
        <w:spacing w:after="60"/>
      </w:pPr>
      <w:r>
        <w:rPr>
          <w:rFonts w:ascii="맑은 고딕" w:hAnsi="맑은 고딕" w:eastAsia="맑은 고딕"/>
          <w:sz w:val="21"/>
        </w:rPr>
        <w:t>Sundar Pichai, "Alphabet earnings call, Q1 2026" — https://blog.google/company-news/inside-google/message-ceo/alphabet-earnings-q1-2026/ (조회일 2026-07-18)</w:t>
      </w:r>
    </w:p>
    <w:p>
      <w:pPr>
        <w:pStyle w:val="ListBullet"/>
        <w:spacing w:after="60"/>
      </w:pPr>
      <w:r>
        <w:rPr>
          <w:rFonts w:ascii="맑은 고딕" w:hAnsi="맑은 고딕" w:eastAsia="맑은 고딕"/>
          <w:sz w:val="21"/>
        </w:rPr>
        <w:t>Alphabet (GOOGL) Q1 2026 Earnings Call Transcript, The Motley Fool — https://www.fool.com/earnings/call-transcripts/2026/04/29/alphabet-googl-q1-2026-earnings-call-transcript/ (조회일 2026-07-18)</w:t>
      </w:r>
    </w:p>
    <w:p>
      <w:pPr>
        <w:pStyle w:val="ListBullet"/>
        <w:spacing w:after="60"/>
      </w:pPr>
      <w:r>
        <w:rPr>
          <w:rFonts w:ascii="맑은 고딕" w:hAnsi="맑은 고딕" w:eastAsia="맑은 고딕"/>
          <w:sz w:val="21"/>
        </w:rPr>
        <w:t>CNBC, "Alphabet (GOOGL) Q1 2026 earnings" (2026-04-29) — https://www.cnbc.com/2026/04/29/alphabet-googl-q1-2026-earnings.html (조회일 2026-07-18)</w:t>
      </w:r>
    </w:p>
    <w:p>
      <w:pPr>
        <w:pStyle w:val="ListBullet"/>
        <w:spacing w:after="60"/>
      </w:pPr>
      <w:r>
        <w:rPr>
          <w:rFonts w:ascii="맑은 고딕" w:hAnsi="맑은 고딕" w:eastAsia="맑은 고딕"/>
          <w:sz w:val="21"/>
        </w:rPr>
        <w:t>Congressional Research Service, "Federal Court Endorses Behavioral Remedies, Rejects Structural Relief, in Google Search Antitrust Litigation" — https://www.congress.gov/crs-product/LSB11362 (조회일 2026-07-18)</w:t>
      </w:r>
    </w:p>
    <w:p>
      <w:pPr>
        <w:pStyle w:val="ListBullet"/>
        <w:spacing w:after="60"/>
      </w:pPr>
      <w:r>
        <w:rPr>
          <w:rFonts w:ascii="맑은 고딕" w:hAnsi="맑은 고딕" w:eastAsia="맑은 고딕"/>
          <w:sz w:val="21"/>
        </w:rPr>
        <w:t>PYMNTS, "Justice Department to Appeal Ruling in Google Search Antitrust Case" (2026) — https://www.pymnts.com/google/2026/justice-department-to-appeal-ruling-in-google-search-antitrust-case/ (조회일 2026-07-18)</w:t>
      </w:r>
    </w:p>
    <w:p>
      <w:pPr>
        <w:pStyle w:val="ListBullet"/>
        <w:spacing w:after="60"/>
      </w:pPr>
      <w:r>
        <w:rPr>
          <w:rFonts w:ascii="맑은 고딕" w:hAnsi="맑은 고딕" w:eastAsia="맑은 고딕"/>
          <w:sz w:val="21"/>
        </w:rPr>
        <w:t>Bloomberg, "Google Search Remedy to Be Appealed by State Attorneys General" (2026-02-03) — https://www.bloomberg.com/news/articles/2026-02-03/google-search-remedy-to-be-appealed-by-state-attorneys-general (조회일 2026-07-18)</w:t>
      </w:r>
    </w:p>
    <w:p>
      <w:pPr>
        <w:pStyle w:val="ListBullet"/>
        <w:spacing w:after="60"/>
      </w:pPr>
      <w:r>
        <w:rPr>
          <w:rFonts w:ascii="맑은 고딕" w:hAnsi="맑은 고딕" w:eastAsia="맑은 고딕"/>
          <w:sz w:val="21"/>
        </w:rPr>
        <w:t>Google Blog, "Ironwood: The first Google TPU for the age of inference" — https://blog.google/innovation-and-ai/infrastructure-and-cloud/google-cloud/ironwood-tpu-age-of-inference/ (조회일 2026-07-18)</w:t>
      </w:r>
    </w:p>
    <w:p>
      <w:pPr>
        <w:pStyle w:val="ListBullet"/>
        <w:spacing w:after="60"/>
      </w:pPr>
      <w:r>
        <w:rPr>
          <w:rFonts w:ascii="맑은 고딕" w:hAnsi="맑은 고딕" w:eastAsia="맑은 고딕"/>
          <w:sz w:val="21"/>
        </w:rPr>
        <w:t>SemiAnalysis, "Google TPUv7: The 900lb Gorilla In the Room" — https://newsletter.semianalysis.com/p/tpuv7-google-takes-a-swing-at-the (조회일 2026-07-18)</w:t>
      </w:r>
    </w:p>
    <w:p>
      <w:pPr>
        <w:pStyle w:val="ListBullet"/>
        <w:spacing w:after="60"/>
      </w:pPr>
      <w:r>
        <w:rPr>
          <w:rFonts w:ascii="맑은 고딕" w:hAnsi="맑은 고딕" w:eastAsia="맑은 고딕"/>
          <w:sz w:val="21"/>
        </w:rPr>
        <w:t>Statista, "Worldwide market share of leading cloud infrastructure service providers" — https://www.statista.com/chart/18819/worldwide-market-share-of-leading-cloud-infrastructure-service-providers/ (조회일 2026-07-18)</w:t>
      </w:r>
    </w:p>
    <w:p>
      <w:pPr>
        <w:pStyle w:val="ListBullet"/>
        <w:spacing w:after="60"/>
      </w:pPr>
      <w:r>
        <w:rPr>
          <w:rFonts w:ascii="맑은 고딕" w:hAnsi="맑은 고딕" w:eastAsia="맑은 고딕"/>
          <w:sz w:val="21"/>
        </w:rPr>
        <w:t>Business of Apps, "Google Gemini Revenue and Usage Statistics (2026)" — https://www.businessofapps.com/data/google-gemini-statistics/ (조회일 2026-07-18)</w:t>
      </w:r>
    </w:p>
    <w:p>
      <w:pPr>
        <w:pStyle w:val="ListBullet"/>
        <w:spacing w:after="60"/>
      </w:pPr>
      <w:r>
        <w:rPr>
          <w:rFonts w:ascii="맑은 고딕" w:hAnsi="맑은 고딕" w:eastAsia="맑은 고딕"/>
          <w:sz w:val="21"/>
        </w:rPr>
        <w:t>Stackmatix, "AI Search Market Share 2026: ChatGPT, Gemini &amp; Perplexity Stats" — https://www.stackmatix.com/blog/ai-search-market-share-2026 (조회일 2026-07-18)</w:t>
      </w:r>
    </w:p>
    <w:p>
      <w:pPr>
        <w:pStyle w:val="ListBullet"/>
        <w:spacing w:after="60"/>
      </w:pPr>
      <w:r>
        <w:rPr>
          <w:rFonts w:ascii="맑은 고딕" w:hAnsi="맑은 고딕" w:eastAsia="맑은 고딕"/>
          <w:sz w:val="21"/>
        </w:rPr>
        <w:t>Precedence Research, "Digital Advertising Market Size, Share and Trends 2026" — https://www.precedenceresearch.com/digital-advertising-market (조회일 2026-07-18)</w:t>
      </w:r>
    </w:p>
    <w:p>
      <w:pPr>
        <w:spacing w:after="120"/>
      </w:pPr>
      <w:r>
        <w:rPr>
          <w:rFonts w:ascii="맑은 고딕" w:hAnsi="맑은 고딕" w:eastAsia="맑은 고딕"/>
          <w:b/>
          <w:i w:val="0"/>
          <w:sz w:val="21"/>
        </w:rPr>
        <w:t>주의:</w:t>
      </w:r>
      <w:r>
        <w:rPr>
          <w:rFonts w:ascii="맑은 고딕" w:hAnsi="맑은 고딕" w:eastAsia="맑은 고딕"/>
          <w:i w:val="0"/>
          <w:sz w:val="21"/>
        </w:rPr>
        <w:t xml:space="preserve"> 시장점유율·사용자수·시장규모 등 제3자 집계 수치는 조사기관별 방법론 차이로 편차가 존재하며, 감사받은 재무제표 수치와 동일한 신뢰도를 갖지 않는다. 투자 판단 시 원문 공시(10-K, 10-Q)를 우선 확인할 것을 권고한다.</w:t>
      </w:r>
    </w:p>
    <w:p>
      <w:pPr>
        <w:spacing w:after="120"/>
      </w:pPr>
      <w:r>
        <w:rPr>
          <w:rFonts w:ascii="맑은 고딕" w:hAnsi="맑은 고딕" w:eastAsia="맑은 고딕"/>
          <w:i w:val="0"/>
          <w:sz w:val="21"/>
        </w:rPr>
        <w:t>교육용입니다. 투자 자문이 아닙니다.</w:t>
      </w:r>
    </w:p>
    <w:p>
      <w:pPr>
        <w:spacing w:after="120"/>
      </w:pPr>
      <w:r>
        <w:rPr>
          <w:rFonts w:ascii="맑은 고딕" w:hAnsi="맑은 고딕" w:eastAsia="맑은 고딕"/>
          <w:i w:val="0"/>
          <w:color w:val="595959"/>
          <w:sz w:val="18"/>
        </w:rPr>
        <w:t>모델·밸류에이션 상세: 본 리포트와 함께 제공되는 Alphabet_Financial_Model_2026-07-18.xlsx(10개 탭) 및 Alphabet_밸류에이션_2026-07-18_KR.md 참조.</w:t>
      </w:r>
    </w:p>
    <w:p>
      <w:pPr>
        <w:spacing w:after="120"/>
      </w:pPr>
    </w:p>
    <w:p>
      <w:pPr>
        <w:spacing w:after="120"/>
      </w:pPr>
      <w:r>
        <w:rPr>
          <w:rFonts w:ascii="맑은 고딕" w:hAnsi="맑은 고딕" w:eastAsia="맑은 고딕"/>
          <w:i/>
          <w:color w:val="595959"/>
          <w:sz w:val="16"/>
        </w:rPr>
        <w:t>교육용입니다. 투자·재무·법률·세무 자문이 아닙니다. 본 자료의 수치는 모델 기반 추정치이며 실제 결과는 다를 수 있습니다. 특정 증권의 매매를 권유하지 않습니다. 목표주가는 셀사이드 컨센서스와 크게 상이하므로 가정 차이를 반드시 확인하십시오.</w:t>
      </w:r>
    </w:p>
    <w:sectPr w:rsidR="00FC693F" w:rsidRPr="0006063C" w:rsidSect="00034616">
      <w:footerReference w:type="default" r:id="rId2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olor w:val="595959"/>
        <w:sz w:val="16"/>
      </w:rPr>
      <w:t xml:space="preserve">Alphabet (GOOGL) — 커버리지 개시  |  교육용  |  페이지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