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맑은 고딕" w:hAnsi="맑은 고딕" w:eastAsia="맑은 고딕"/>
          <w:b/>
          <w:i w:val="0"/>
          <w:color w:val="4F7A00"/>
          <w:sz w:val="22"/>
        </w:rPr>
        <w:t>커버리지 개시 (INITIATING COVERAGE)</w:t>
      </w:r>
    </w:p>
    <w:p>
      <w:pPr>
        <w:spacing w:after="120"/>
      </w:pPr>
      <w:r>
        <w:rPr>
          <w:rFonts w:ascii="맑은 고딕" w:hAnsi="맑은 고딕" w:eastAsia="맑은 고딕"/>
          <w:i w:val="0"/>
          <w:color w:val="595959"/>
          <w:sz w:val="18"/>
        </w:rPr>
        <w:t>NVIDIA Corporation  (NASDAQ: NVDA)  |  반도체 / AI 컴퓨팅  |  2026-07-17</w:t>
      </w:r>
    </w:p>
    <w:p>
      <w:pPr>
        <w:spacing w:after="160"/>
      </w:pPr>
      <w:r>
        <w:rPr>
          <w:rFonts w:ascii="맑은 고딕" w:hAnsi="맑은 고딕" w:eastAsia="맑은 고딕"/>
          <w:b/>
          <w:color w:val="1F3864"/>
          <w:sz w:val="32"/>
        </w:rPr>
        <w:t>세계의 AI 컴퓨팅 플랫폼 — 완벽에 맞춰진 밸류에이션; 중립(HOLD) 개시, 목표주가 $208</w:t>
      </w:r>
    </w:p>
    <w:tbl>
      <w:tblPr>
        <w:tblStyle w:val="LightGrid-Accent1"/>
        <w:tblW w:type="auto" w:w="0"/>
        <w:tblLayout w:type="autofit"/>
        <w:tblLook w:firstColumn="1" w:firstRow="1" w:lastColumn="0" w:lastRow="0" w:noHBand="0" w:noVBand="1" w:val="04A0"/>
      </w:tblPr>
      <w:tblGrid>
        <w:gridCol w:w="2484"/>
        <w:gridCol w:w="2484"/>
        <w:gridCol w:w="2484"/>
        <w:gridCol w:w="2484"/>
      </w:tblGrid>
      <w:tr>
        <w:tc>
          <w:tcPr>
            <w:tcW w:type="dxa" w:w="2484"/>
          </w:tcPr>
          <w:p>
            <w:pPr>
              <w:spacing w:after="20" w:before="20"/>
              <w:jc w:val="left"/>
            </w:pPr>
            <w:r/>
            <w:r>
              <w:rPr>
                <w:rFonts w:ascii="맑은 고딕" w:hAnsi="맑은 고딕" w:eastAsia="맑은 고딕"/>
                <w:b w:val="0"/>
                <w:sz w:val="18"/>
              </w:rPr>
              <w:t>투자의견</w:t>
            </w:r>
          </w:p>
        </w:tc>
        <w:tc>
          <w:tcPr>
            <w:tcW w:type="dxa" w:w="2484"/>
          </w:tcPr>
          <w:p>
            <w:pPr>
              <w:spacing w:after="20" w:before="20"/>
              <w:jc w:val="right"/>
            </w:pPr>
            <w:r/>
            <w:r>
              <w:rPr>
                <w:rFonts w:ascii="맑은 고딕" w:hAnsi="맑은 고딕" w:eastAsia="맑은 고딕"/>
                <w:b w:val="0"/>
                <w:sz w:val="18"/>
              </w:rPr>
              <w:t>HOLD</w:t>
            </w:r>
          </w:p>
        </w:tc>
        <w:tc>
          <w:tcPr>
            <w:tcW w:type="dxa" w:w="2484"/>
          </w:tcPr>
          <w:p>
            <w:pPr>
              <w:spacing w:after="20" w:before="20"/>
              <w:jc w:val="right"/>
            </w:pPr>
            <w:r/>
            <w:r>
              <w:rPr>
                <w:rFonts w:ascii="맑은 고딕" w:hAnsi="맑은 고딕" w:eastAsia="맑은 고딕"/>
                <w:b w:val="0"/>
                <w:sz w:val="18"/>
              </w:rPr>
              <w:t>현재가</w:t>
            </w:r>
          </w:p>
        </w:tc>
        <w:tc>
          <w:tcPr>
            <w:tcW w:type="dxa" w:w="2484"/>
          </w:tcPr>
          <w:p>
            <w:pPr>
              <w:spacing w:after="20" w:before="20"/>
              <w:jc w:val="right"/>
            </w:pPr>
            <w:r/>
            <w:r>
              <w:rPr>
                <w:rFonts w:ascii="맑은 고딕" w:hAnsi="맑은 고딕" w:eastAsia="맑은 고딕"/>
                <w:b w:val="0"/>
                <w:sz w:val="18"/>
              </w:rPr>
              <w:t>$207.40</w:t>
            </w:r>
          </w:p>
        </w:tc>
      </w:tr>
      <w:tr>
        <w:tc>
          <w:tcPr>
            <w:tcW w:type="dxa" w:w="2484"/>
          </w:tcPr>
          <w:p>
            <w:pPr>
              <w:spacing w:after="20" w:before="20"/>
              <w:jc w:val="left"/>
            </w:pPr>
            <w:r/>
            <w:r>
              <w:rPr>
                <w:rFonts w:ascii="맑은 고딕" w:hAnsi="맑은 고딕" w:eastAsia="맑은 고딕"/>
                <w:b w:val="0"/>
                <w:sz w:val="18"/>
              </w:rPr>
              <w:t>목표가(12개월)</w:t>
            </w:r>
          </w:p>
        </w:tc>
        <w:tc>
          <w:tcPr>
            <w:tcW w:type="dxa" w:w="2484"/>
          </w:tcPr>
          <w:p>
            <w:pPr>
              <w:spacing w:after="20" w:before="20"/>
              <w:jc w:val="right"/>
            </w:pPr>
            <w:r/>
            <w:r>
              <w:rPr>
                <w:rFonts w:ascii="맑은 고딕" w:hAnsi="맑은 고딕" w:eastAsia="맑은 고딕"/>
                <w:b w:val="0"/>
                <w:sz w:val="18"/>
              </w:rPr>
              <w:t>$208</w:t>
            </w:r>
          </w:p>
        </w:tc>
        <w:tc>
          <w:tcPr>
            <w:tcW w:type="dxa" w:w="2484"/>
          </w:tcPr>
          <w:p>
            <w:pPr>
              <w:spacing w:after="20" w:before="20"/>
              <w:jc w:val="right"/>
            </w:pPr>
            <w:r/>
            <w:r>
              <w:rPr>
                <w:rFonts w:ascii="맑은 고딕" w:hAnsi="맑은 고딕" w:eastAsia="맑은 고딕"/>
                <w:b w:val="0"/>
                <w:sz w:val="18"/>
              </w:rPr>
              <w:t>기대수익률</w:t>
            </w:r>
          </w:p>
        </w:tc>
        <w:tc>
          <w:tcPr>
            <w:tcW w:type="dxa" w:w="2484"/>
          </w:tcPr>
          <w:p>
            <w:pPr>
              <w:spacing w:after="20" w:before="20"/>
              <w:jc w:val="right"/>
            </w:pPr>
            <w:r/>
            <w:r>
              <w:rPr>
                <w:rFonts w:ascii="맑은 고딕" w:hAnsi="맑은 고딕" w:eastAsia="맑은 고딕"/>
                <w:b w:val="0"/>
                <w:sz w:val="18"/>
              </w:rPr>
              <w:t>+0.2%</w:t>
            </w:r>
          </w:p>
        </w:tc>
      </w:tr>
      <w:tr>
        <w:tc>
          <w:tcPr>
            <w:tcW w:type="dxa" w:w="2484"/>
          </w:tcPr>
          <w:p>
            <w:pPr>
              <w:spacing w:after="20" w:before="20"/>
              <w:jc w:val="left"/>
            </w:pPr>
            <w:r/>
            <w:r>
              <w:rPr>
                <w:rFonts w:ascii="맑은 고딕" w:hAnsi="맑은 고딕" w:eastAsia="맑은 고딕"/>
                <w:b w:val="0"/>
                <w:sz w:val="18"/>
              </w:rPr>
              <w:t>52주 범위</w:t>
            </w:r>
          </w:p>
        </w:tc>
        <w:tc>
          <w:tcPr>
            <w:tcW w:type="dxa" w:w="2484"/>
          </w:tcPr>
          <w:p>
            <w:pPr>
              <w:spacing w:after="20" w:before="20"/>
              <w:jc w:val="right"/>
            </w:pPr>
            <w:r/>
            <w:r>
              <w:rPr>
                <w:rFonts w:ascii="맑은 고딕" w:hAnsi="맑은 고딕" w:eastAsia="맑은 고딕"/>
                <w:b w:val="0"/>
                <w:sz w:val="18"/>
              </w:rPr>
              <w:t>$164.98 – $235.47</w:t>
            </w:r>
          </w:p>
        </w:tc>
        <w:tc>
          <w:tcPr>
            <w:tcW w:type="dxa" w:w="2484"/>
          </w:tcPr>
          <w:p>
            <w:pPr>
              <w:spacing w:after="20" w:before="20"/>
              <w:jc w:val="right"/>
            </w:pPr>
            <w:r/>
            <w:r>
              <w:rPr>
                <w:rFonts w:ascii="맑은 고딕" w:hAnsi="맑은 고딕" w:eastAsia="맑은 고딕"/>
                <w:b w:val="0"/>
                <w:sz w:val="18"/>
              </w:rPr>
              <w:t>시가총액</w:t>
            </w:r>
          </w:p>
        </w:tc>
        <w:tc>
          <w:tcPr>
            <w:tcW w:type="dxa" w:w="2484"/>
          </w:tcPr>
          <w:p>
            <w:pPr>
              <w:spacing w:after="20" w:before="20"/>
              <w:jc w:val="right"/>
            </w:pPr>
            <w:r/>
            <w:r>
              <w:rPr>
                <w:rFonts w:ascii="맑은 고딕" w:hAnsi="맑은 고딕" w:eastAsia="맑은 고딕"/>
                <w:b w:val="0"/>
                <w:sz w:val="18"/>
              </w:rPr>
              <w:t>~$5.08T</w:t>
            </w:r>
          </w:p>
        </w:tc>
      </w:tr>
      <w:tr>
        <w:tc>
          <w:tcPr>
            <w:tcW w:type="dxa" w:w="2484"/>
          </w:tcPr>
          <w:p>
            <w:pPr>
              <w:spacing w:after="20" w:before="20"/>
              <w:jc w:val="left"/>
            </w:pPr>
            <w:r/>
            <w:r>
              <w:rPr>
                <w:rFonts w:ascii="맑은 고딕" w:hAnsi="맑은 고딕" w:eastAsia="맑은 고딕"/>
                <w:b w:val="0"/>
                <w:sz w:val="18"/>
              </w:rPr>
              <w:t>희석주식수</w:t>
            </w:r>
          </w:p>
        </w:tc>
        <w:tc>
          <w:tcPr>
            <w:tcW w:type="dxa" w:w="2484"/>
          </w:tcPr>
          <w:p>
            <w:pPr>
              <w:spacing w:after="20" w:before="20"/>
              <w:jc w:val="right"/>
            </w:pPr>
            <w:r/>
            <w:r>
              <w:rPr>
                <w:rFonts w:ascii="맑은 고딕" w:hAnsi="맑은 고딕" w:eastAsia="맑은 고딕"/>
                <w:b w:val="0"/>
                <w:sz w:val="18"/>
              </w:rPr>
              <w:t>24,514M</w:t>
            </w:r>
          </w:p>
        </w:tc>
        <w:tc>
          <w:tcPr>
            <w:tcW w:type="dxa" w:w="2484"/>
          </w:tcPr>
          <w:p>
            <w:pPr>
              <w:spacing w:after="20" w:before="20"/>
              <w:jc w:val="right"/>
            </w:pPr>
            <w:r/>
            <w:r>
              <w:rPr>
                <w:rFonts w:ascii="맑은 고딕" w:hAnsi="맑은 고딕" w:eastAsia="맑은 고딕"/>
                <w:b w:val="0"/>
                <w:sz w:val="18"/>
              </w:rPr>
              <w:t>순현금(FY2026)</w:t>
            </w:r>
          </w:p>
        </w:tc>
        <w:tc>
          <w:tcPr>
            <w:tcW w:type="dxa" w:w="2484"/>
          </w:tcPr>
          <w:p>
            <w:pPr>
              <w:spacing w:after="20" w:before="20"/>
              <w:jc w:val="right"/>
            </w:pPr>
            <w:r/>
            <w:r>
              <w:rPr>
                <w:rFonts w:ascii="맑은 고딕" w:hAnsi="맑은 고딕" w:eastAsia="맑은 고딕"/>
                <w:b w:val="0"/>
                <w:sz w:val="18"/>
              </w:rPr>
              <w:t>$54.1B</w:t>
            </w:r>
          </w:p>
        </w:tc>
      </w:tr>
      <w:tr>
        <w:tc>
          <w:tcPr>
            <w:tcW w:type="dxa" w:w="2484"/>
          </w:tcPr>
          <w:p>
            <w:pPr>
              <w:spacing w:after="20" w:before="20"/>
              <w:jc w:val="left"/>
            </w:pPr>
            <w:r/>
            <w:r>
              <w:rPr>
                <w:rFonts w:ascii="맑은 고딕" w:hAnsi="맑은 고딕" w:eastAsia="맑은 고딕"/>
                <w:b w:val="0"/>
                <w:sz w:val="18"/>
              </w:rPr>
              <w:t>방법론</w:t>
            </w:r>
          </w:p>
        </w:tc>
        <w:tc>
          <w:tcPr>
            <w:tcW w:type="dxa" w:w="2484"/>
          </w:tcPr>
          <w:p>
            <w:pPr>
              <w:spacing w:after="20" w:before="20"/>
              <w:jc w:val="right"/>
            </w:pPr>
            <w:r/>
            <w:r>
              <w:rPr>
                <w:rFonts w:ascii="맑은 고딕" w:hAnsi="맑은 고딕" w:eastAsia="맑은 고딕"/>
                <w:b w:val="0"/>
                <w:sz w:val="18"/>
              </w:rPr>
              <w:t>DCF 55% + Comps 45%</w:t>
            </w:r>
          </w:p>
        </w:tc>
        <w:tc>
          <w:tcPr>
            <w:tcW w:type="dxa" w:w="2484"/>
          </w:tcPr>
          <w:p>
            <w:pPr>
              <w:spacing w:after="20" w:before="20"/>
              <w:jc w:val="right"/>
            </w:pPr>
            <w:r/>
            <w:r>
              <w:rPr>
                <w:rFonts w:ascii="맑은 고딕" w:hAnsi="맑은 고딕" w:eastAsia="맑은 고딕"/>
                <w:b w:val="0"/>
                <w:sz w:val="18"/>
              </w:rPr>
              <w:t>기업가치</w:t>
            </w:r>
          </w:p>
        </w:tc>
        <w:tc>
          <w:tcPr>
            <w:tcW w:type="dxa" w:w="2484"/>
          </w:tcPr>
          <w:p>
            <w:pPr>
              <w:spacing w:after="20" w:before="20"/>
              <w:jc w:val="right"/>
            </w:pPr>
            <w:r/>
            <w:r>
              <w:rPr>
                <w:rFonts w:ascii="맑은 고딕" w:hAnsi="맑은 고딕" w:eastAsia="맑은 고딕"/>
                <w:b w:val="0"/>
                <w:sz w:val="18"/>
              </w:rPr>
              <w:t>~$5.03T</w:t>
            </w:r>
          </w:p>
        </w:tc>
      </w:tr>
    </w:tbl>
    <w:p>
      <w:pPr>
        <w:spacing w:after="40"/>
      </w:pPr>
    </w:p>
    <w:p>
      <w:pPr>
        <w:spacing w:after="160"/>
      </w:pPr>
      <w:r>
        <w:rPr>
          <w:rFonts w:ascii="맑은 고딕" w:hAnsi="맑은 고딕" w:eastAsia="맑은 고딕"/>
          <w:i/>
          <w:color w:val="595959"/>
          <w:sz w:val="16"/>
        </w:rPr>
        <w:t>AI 투자위원회 워크플로우로 작성된 교육용 리서치입니다. 투자 자문이 아닙니다.</w:t>
      </w:r>
    </w:p>
    <w:p>
      <w:pPr>
        <w:jc w:val="center"/>
      </w:pPr>
      <w:r>
        <w:drawing>
          <wp:inline xmlns:a="http://schemas.openxmlformats.org/drawingml/2006/main" xmlns:pic="http://schemas.openxmlformats.org/drawingml/2006/picture">
            <wp:extent cx="5669280" cy="2935469"/>
            <wp:docPr id="1" name="Picture 1"/>
            <wp:cNvGraphicFramePr>
              <a:graphicFrameLocks noChangeAspect="1"/>
            </wp:cNvGraphicFramePr>
            <a:graphic>
              <a:graphicData uri="http://schemas.openxmlformats.org/drawingml/2006/picture">
                <pic:pic>
                  <pic:nvPicPr>
                    <pic:cNvPr id="0" name="chart_01_stock_price_performance.png"/>
                    <pic:cNvPicPr/>
                  </pic:nvPicPr>
                  <pic:blipFill>
                    <a:blip r:embed="rId9"/>
                    <a:stretch>
                      <a:fillRect/>
                    </a:stretch>
                  </pic:blipFill>
                  <pic:spPr>
                    <a:xfrm>
                      <a:off x="0" y="0"/>
                      <a:ext cx="5669280" cy="2935469"/>
                    </a:xfrm>
                    <a:prstGeom prst="rect"/>
                  </pic:spPr>
                </pic:pic>
              </a:graphicData>
            </a:graphic>
          </wp:inline>
        </w:drawing>
      </w:r>
    </w:p>
    <w:p>
      <w:pPr>
        <w:spacing w:after="200"/>
      </w:pPr>
      <w:r>
        <w:rPr>
          <w:rFonts w:ascii="맑은 고딕" w:hAnsi="맑은 고딕" w:eastAsia="맑은 고딕"/>
          <w:i/>
          <w:color w:val="595959"/>
          <w:sz w:val="16"/>
        </w:rPr>
        <w:t>그림 1 — NVDA 주가(최근 24개월). 자료: 시장 데이터.</w:t>
      </w:r>
    </w:p>
    <w:p>
      <w:pPr>
        <w:spacing w:after="120"/>
      </w:pPr>
      <w:r>
        <w:rPr>
          <w:rFonts w:ascii="맑은 고딕" w:hAnsi="맑은 고딕" w:eastAsia="맑은 고딕"/>
          <w:b/>
          <w:color w:val="4F7A00"/>
          <w:sz w:val="21"/>
        </w:rPr>
        <w:t xml:space="preserve">■ </w:t>
      </w:r>
      <w:r>
        <w:rPr>
          <w:rFonts w:ascii="맑은 고딕" w:hAnsi="맑은 고딕" w:eastAsia="맑은 고딕"/>
          <w:b/>
          <w:sz w:val="21"/>
        </w:rPr>
        <w:t xml:space="preserve">중립(HOLD) 개시, 목표주가 $208, 종가 $207.40 대비 +0.2% </w:t>
      </w:r>
      <w:r>
        <w:rPr>
          <w:rFonts w:ascii="맑은 고딕" w:hAnsi="맑은 고딕" w:eastAsia="맑은 고딕"/>
          <w:sz w:val="21"/>
        </w:rPr>
        <w:t>당사는 NVIDIA에 대한 커버리지를 중립(HOLD)으로 개시하며, 12개월 목표주가를 $208로 제시한다. 이는 직전 종가 $207.40과 사실상 동일한 수준이다. 목표주가는 현금흐름할인(DCF) 방식의 주당 가치 $157(55% 가중치)과 유사기업비교(comparable-companies) 방식의 주당 가치 $271(45% 가중치)을 혼합하여 산출하였다. 내재가치와 상대가치 사이의 $114 격차는 반올림에 따른 부산물이 아니라 투자 스토리 그 자체이다. 이를 상쇄하면 주가는 적정 가치 수준으로 판단된다. 즉 내재가치를 상회하나 동종기업 함의 가치를 하회하며, 균형 잡힌 위험/보상 구조는 약 $5.1조 시가총액에서 추격 매수보다는 인내를 지지한다.</w:t>
      </w:r>
    </w:p>
    <w:p>
      <w:pPr>
        <w:spacing w:after="120"/>
      </w:pPr>
      <w:r>
        <w:rPr>
          <w:rFonts w:ascii="맑은 고딕" w:hAnsi="맑은 고딕" w:eastAsia="맑은 고딕"/>
          <w:b/>
          <w:color w:val="4F7A00"/>
          <w:sz w:val="21"/>
        </w:rPr>
        <w:t xml:space="preserve">■ </w:t>
      </w:r>
      <w:r>
        <w:rPr>
          <w:rFonts w:ascii="맑은 고딕" w:hAnsi="맑은 고딕" w:eastAsia="맑은 고딕"/>
          <w:b/>
          <w:sz w:val="21"/>
        </w:rPr>
        <w:t xml:space="preserve">초고속 성장은 실재하나 이미 주가에 반영 </w:t>
      </w:r>
      <w:r>
        <w:rPr>
          <w:rFonts w:ascii="맑은 고딕" w:hAnsi="맑은 고딕" w:eastAsia="맑은 고딕"/>
          <w:sz w:val="21"/>
        </w:rPr>
        <w:t>당사의 기본 모델은 매출액이 5년간 약 29% CAGR로 복리 성장하여 FY2026의 $215,938M에서 FY2031E까지 $769,473M에 이르고, 희석 EPS는 $4.90에서 $15.7로 상승하는 것으로 전제한다. 그러나 동일한 전망치를 10.9% WACC와 3.5% 영구성장률로 할인한 DCF는 현재 주가 대비 24.5% 낮은 $157에 도달한다. 주가에는 이미 수년간의 탁월한 실행 성과가 자본화되어 있으며, WACC가 9% 근방 혹은 그 이하일 때에만 $207을 넘어선다. 내재가치는 주가가 완벽에 맞춰져 있음을 시사한다.</w:t>
      </w:r>
    </w:p>
    <w:p>
      <w:pPr>
        <w:spacing w:after="120"/>
      </w:pPr>
      <w:r>
        <w:rPr>
          <w:rFonts w:ascii="맑은 고딕" w:hAnsi="맑은 고딕" w:eastAsia="맑은 고딕"/>
          <w:b/>
          <w:color w:val="4F7A00"/>
          <w:sz w:val="21"/>
        </w:rPr>
        <w:t xml:space="preserve">■ </w:t>
      </w:r>
      <w:r>
        <w:rPr>
          <w:rFonts w:ascii="맑은 고딕" w:hAnsi="맑은 고딕" w:eastAsia="맑은 고딕"/>
          <w:b/>
          <w:sz w:val="21"/>
        </w:rPr>
        <w:t xml:space="preserve">자신이 속한 비싼 동종 집단보다 저렴 </w:t>
      </w:r>
      <w:r>
        <w:rPr>
          <w:rFonts w:ascii="맑은 고딕" w:hAnsi="맑은 고딕" w:eastAsia="맑은 고딕"/>
          <w:sz w:val="21"/>
        </w:rPr>
        <w:t>NVIDIA는 NTM EV/EBITDA 22.3배와 선행 P/E 27.1배에 거래되고 있으며, 이는 AMD, AVGO, TSM, QCOM, MRVL, MU, INTC, ARM을 아우르는 AI/반도체 동종기업 중앙값 31.4배 및 32.6배를 하회한다. 그룹 내 최고 수준의 성장성과 마진을 보유했음에도 NVDA는 비싼 동네에서 합리적으로 가격이 매겨진 종목이다. 동종기업 중앙값은 EV/EBITDA 기준 약 $292, P/E 기준 약 $250을 함의하며, 평균 약 $271이다. 당사는 규모 효과를 반영해 이를 할인하나, 상대가치 신호는 실질적이며 내재가치 측면의 신중론을 상쇄한다.</w:t>
      </w:r>
    </w:p>
    <w:p>
      <w:pPr>
        <w:spacing w:after="120"/>
      </w:pPr>
      <w:r>
        <w:rPr>
          <w:rFonts w:ascii="맑은 고딕" w:hAnsi="맑은 고딕" w:eastAsia="맑은 고딕"/>
          <w:b/>
          <w:color w:val="4F7A00"/>
          <w:sz w:val="21"/>
        </w:rPr>
        <w:t xml:space="preserve">■ </w:t>
      </w:r>
      <w:r>
        <w:rPr>
          <w:rFonts w:ascii="맑은 고딕" w:hAnsi="맑은 고딕" w:eastAsia="맑은 고딕"/>
          <w:b/>
          <w:sz w:val="21"/>
        </w:rPr>
        <w:t xml:space="preserve">고객 집중도와 자본지출 지속성이 리스크를 규정 </w:t>
      </w:r>
      <w:r>
        <w:rPr>
          <w:rFonts w:ascii="맑은 고딕" w:hAnsi="맑은 고딕" w:eastAsia="맑은 고딕"/>
          <w:sz w:val="21"/>
        </w:rPr>
        <w:t>직접 고객 3사가 Q1 FY2027 매출액의 54%(21%/17%/16%)를 차지했으며, Data Center는 전체의 약 90%로 그 비중이 상승하고 있다. 투자 논리는 하이퍼스케일러 및 국가 주도 AI 자본지출이 약 $725B 규모의 2026년 인프라 구축(전년 대비 +77%)을 지탱한다는 데 있는데, 이는 AI 매출보다 훨씬 빠르게 성장하고 있다. 자본지출 소화 신호, 추론(inference) 부문에서의 ASIC 점유율 상실, 또는 AI 금융 관련 신용 이벤트는 성장을 급격히 압박할 것이며, WACC가 9% 방향으로 재평가되거나 자본지출 지속성이 확인되면 당사는 매수(BUY)로 전환할 것이다. 당사는 그러한 해소를 기다리는 편을 선호한다.</w:t>
      </w:r>
    </w:p>
    <w:p>
      <w:pPr>
        <w:spacing w:before="160" w:after="80"/>
      </w:pPr>
      <w:r>
        <w:rPr>
          <w:rFonts w:ascii="맑은 고딕" w:hAnsi="맑은 고딕" w:eastAsia="맑은 고딕"/>
          <w:b/>
          <w:color w:val="1A1A1A"/>
          <w:sz w:val="25"/>
        </w:rPr>
        <w:t>재무 요약</w:t>
      </w:r>
    </w:p>
    <w:tbl>
      <w:tblPr>
        <w:tblStyle w:val="LightGrid-Accent1"/>
        <w:tblW w:type="auto" w:w="0"/>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3864"/>
          </w:tcPr>
          <w:p>
            <w:pPr>
              <w:spacing w:after="20" w:before="20"/>
              <w:jc w:val="left"/>
            </w:pPr>
            <w:r/>
            <w:r>
              <w:rPr>
                <w:rFonts w:ascii="맑은 고딕" w:hAnsi="맑은 고딕" w:eastAsia="맑은 고딕"/>
                <w:b/>
                <w:color w:val="FFFFFF"/>
                <w:sz w:val="15"/>
              </w:rPr>
              <w:t>$B (별도 표기 외)</w:t>
            </w:r>
          </w:p>
        </w:tc>
        <w:tc>
          <w:tcPr>
            <w:tcW w:type="dxa" w:w="994"/>
            <w:shd w:fill="1F3864"/>
          </w:tcPr>
          <w:p>
            <w:pPr>
              <w:spacing w:after="20" w:before="20"/>
              <w:jc w:val="right"/>
            </w:pPr>
            <w:r/>
            <w:r>
              <w:rPr>
                <w:rFonts w:ascii="맑은 고딕" w:hAnsi="맑은 고딕" w:eastAsia="맑은 고딕"/>
                <w:b/>
                <w:color w:val="FFFFFF"/>
                <w:sz w:val="15"/>
              </w:rPr>
              <w:t>FY23</w:t>
            </w:r>
          </w:p>
        </w:tc>
        <w:tc>
          <w:tcPr>
            <w:tcW w:type="dxa" w:w="994"/>
            <w:shd w:fill="1F3864"/>
          </w:tcPr>
          <w:p>
            <w:pPr>
              <w:spacing w:after="20" w:before="20"/>
              <w:jc w:val="right"/>
            </w:pPr>
            <w:r/>
            <w:r>
              <w:rPr>
                <w:rFonts w:ascii="맑은 고딕" w:hAnsi="맑은 고딕" w:eastAsia="맑은 고딕"/>
                <w:b/>
                <w:color w:val="FFFFFF"/>
                <w:sz w:val="15"/>
              </w:rPr>
              <w:t>FY24</w:t>
            </w:r>
          </w:p>
        </w:tc>
        <w:tc>
          <w:tcPr>
            <w:tcW w:type="dxa" w:w="994"/>
            <w:shd w:fill="1F3864"/>
          </w:tcPr>
          <w:p>
            <w:pPr>
              <w:spacing w:after="20" w:before="20"/>
              <w:jc w:val="right"/>
            </w:pPr>
            <w:r/>
            <w:r>
              <w:rPr>
                <w:rFonts w:ascii="맑은 고딕" w:hAnsi="맑은 고딕" w:eastAsia="맑은 고딕"/>
                <w:b/>
                <w:color w:val="FFFFFF"/>
                <w:sz w:val="15"/>
              </w:rPr>
              <w:t>FY25</w:t>
            </w:r>
          </w:p>
        </w:tc>
        <w:tc>
          <w:tcPr>
            <w:tcW w:type="dxa" w:w="994"/>
            <w:shd w:fill="1F3864"/>
          </w:tcPr>
          <w:p>
            <w:pPr>
              <w:spacing w:after="20" w:before="20"/>
              <w:jc w:val="right"/>
            </w:pPr>
            <w:r/>
            <w:r>
              <w:rPr>
                <w:rFonts w:ascii="맑은 고딕" w:hAnsi="맑은 고딕" w:eastAsia="맑은 고딕"/>
                <w:b/>
                <w:color w:val="FFFFFF"/>
                <w:sz w:val="15"/>
              </w:rPr>
              <w:t>FY26</w:t>
            </w:r>
          </w:p>
        </w:tc>
        <w:tc>
          <w:tcPr>
            <w:tcW w:type="dxa" w:w="994"/>
            <w:shd w:fill="1F3864"/>
          </w:tcPr>
          <w:p>
            <w:pPr>
              <w:spacing w:after="20" w:before="20"/>
              <w:jc w:val="right"/>
            </w:pPr>
            <w:r/>
            <w:r>
              <w:rPr>
                <w:rFonts w:ascii="맑은 고딕" w:hAnsi="맑은 고딕" w:eastAsia="맑은 고딕"/>
                <w:b/>
                <w:color w:val="FFFFFF"/>
                <w:sz w:val="15"/>
              </w:rPr>
              <w:t>FY27E</w:t>
            </w:r>
          </w:p>
        </w:tc>
        <w:tc>
          <w:tcPr>
            <w:tcW w:type="dxa" w:w="994"/>
            <w:shd w:fill="1F3864"/>
          </w:tcPr>
          <w:p>
            <w:pPr>
              <w:spacing w:after="20" w:before="20"/>
              <w:jc w:val="right"/>
            </w:pPr>
            <w:r/>
            <w:r>
              <w:rPr>
                <w:rFonts w:ascii="맑은 고딕" w:hAnsi="맑은 고딕" w:eastAsia="맑은 고딕"/>
                <w:b/>
                <w:color w:val="FFFFFF"/>
                <w:sz w:val="15"/>
              </w:rPr>
              <w:t>FY28E</w:t>
            </w:r>
          </w:p>
        </w:tc>
        <w:tc>
          <w:tcPr>
            <w:tcW w:type="dxa" w:w="994"/>
            <w:shd w:fill="1F3864"/>
          </w:tcPr>
          <w:p>
            <w:pPr>
              <w:spacing w:after="20" w:before="20"/>
              <w:jc w:val="right"/>
            </w:pPr>
            <w:r/>
            <w:r>
              <w:rPr>
                <w:rFonts w:ascii="맑은 고딕" w:hAnsi="맑은 고딕" w:eastAsia="맑은 고딕"/>
                <w:b/>
                <w:color w:val="FFFFFF"/>
                <w:sz w:val="15"/>
              </w:rPr>
              <w:t>FY29E</w:t>
            </w:r>
          </w:p>
        </w:tc>
        <w:tc>
          <w:tcPr>
            <w:tcW w:type="dxa" w:w="994"/>
            <w:shd w:fill="1F3864"/>
          </w:tcPr>
          <w:p>
            <w:pPr>
              <w:spacing w:after="20" w:before="20"/>
              <w:jc w:val="right"/>
            </w:pPr>
            <w:r/>
            <w:r>
              <w:rPr>
                <w:rFonts w:ascii="맑은 고딕" w:hAnsi="맑은 고딕" w:eastAsia="맑은 고딕"/>
                <w:b/>
                <w:color w:val="FFFFFF"/>
                <w:sz w:val="15"/>
              </w:rPr>
              <w:t>FY30E</w:t>
            </w:r>
          </w:p>
        </w:tc>
        <w:tc>
          <w:tcPr>
            <w:tcW w:type="dxa" w:w="994"/>
            <w:shd w:fill="1F3864"/>
          </w:tcPr>
          <w:p>
            <w:pPr>
              <w:spacing w:after="20" w:before="20"/>
              <w:jc w:val="right"/>
            </w:pPr>
            <w:r/>
            <w:r>
              <w:rPr>
                <w:rFonts w:ascii="맑은 고딕" w:hAnsi="맑은 고딕" w:eastAsia="맑은 고딕"/>
                <w:b/>
                <w:color w:val="FFFFFF"/>
                <w:sz w:val="15"/>
              </w:rPr>
              <w:t>FY31E</w:t>
            </w:r>
          </w:p>
        </w:tc>
      </w:tr>
      <w:tr>
        <w:tc>
          <w:tcPr>
            <w:tcW w:type="dxa" w:w="994"/>
          </w:tcPr>
          <w:p>
            <w:pPr>
              <w:spacing w:after="20" w:before="20"/>
              <w:jc w:val="left"/>
            </w:pPr>
            <w:r/>
            <w:r>
              <w:rPr>
                <w:rFonts w:ascii="맑은 고딕" w:hAnsi="맑은 고딕" w:eastAsia="맑은 고딕"/>
                <w:b w:val="0"/>
                <w:sz w:val="15"/>
              </w:rPr>
              <w:t>매출</w:t>
            </w:r>
          </w:p>
        </w:tc>
        <w:tc>
          <w:tcPr>
            <w:tcW w:type="dxa" w:w="994"/>
          </w:tcPr>
          <w:p>
            <w:pPr>
              <w:spacing w:after="20" w:before="20"/>
              <w:jc w:val="right"/>
            </w:pPr>
            <w:r/>
            <w:r>
              <w:rPr>
                <w:rFonts w:ascii="맑은 고딕" w:hAnsi="맑은 고딕" w:eastAsia="맑은 고딕"/>
                <w:b w:val="0"/>
                <w:sz w:val="15"/>
              </w:rPr>
              <w:t>27.0</w:t>
            </w:r>
          </w:p>
        </w:tc>
        <w:tc>
          <w:tcPr>
            <w:tcW w:type="dxa" w:w="994"/>
          </w:tcPr>
          <w:p>
            <w:pPr>
              <w:spacing w:after="20" w:before="20"/>
              <w:jc w:val="right"/>
            </w:pPr>
            <w:r/>
            <w:r>
              <w:rPr>
                <w:rFonts w:ascii="맑은 고딕" w:hAnsi="맑은 고딕" w:eastAsia="맑은 고딕"/>
                <w:b w:val="0"/>
                <w:sz w:val="15"/>
              </w:rPr>
              <w:t>60.9</w:t>
            </w:r>
          </w:p>
        </w:tc>
        <w:tc>
          <w:tcPr>
            <w:tcW w:type="dxa" w:w="994"/>
          </w:tcPr>
          <w:p>
            <w:pPr>
              <w:spacing w:after="20" w:before="20"/>
              <w:jc w:val="right"/>
            </w:pPr>
            <w:r/>
            <w:r>
              <w:rPr>
                <w:rFonts w:ascii="맑은 고딕" w:hAnsi="맑은 고딕" w:eastAsia="맑은 고딕"/>
                <w:b w:val="0"/>
                <w:sz w:val="15"/>
              </w:rPr>
              <w:t>130.5</w:t>
            </w:r>
          </w:p>
        </w:tc>
        <w:tc>
          <w:tcPr>
            <w:tcW w:type="dxa" w:w="994"/>
          </w:tcPr>
          <w:p>
            <w:pPr>
              <w:spacing w:after="20" w:before="20"/>
              <w:jc w:val="right"/>
            </w:pPr>
            <w:r/>
            <w:r>
              <w:rPr>
                <w:rFonts w:ascii="맑은 고딕" w:hAnsi="맑은 고딕" w:eastAsia="맑은 고딕"/>
                <w:b w:val="0"/>
                <w:sz w:val="15"/>
              </w:rPr>
              <w:t>215.9</w:t>
            </w:r>
          </w:p>
        </w:tc>
        <w:tc>
          <w:tcPr>
            <w:tcW w:type="dxa" w:w="994"/>
          </w:tcPr>
          <w:p>
            <w:pPr>
              <w:spacing w:after="20" w:before="20"/>
              <w:jc w:val="right"/>
            </w:pPr>
            <w:r/>
            <w:r>
              <w:rPr>
                <w:rFonts w:ascii="맑은 고딕" w:hAnsi="맑은 고딕" w:eastAsia="맑은 고딕"/>
                <w:b w:val="0"/>
                <w:sz w:val="15"/>
              </w:rPr>
              <w:t>370.6</w:t>
            </w:r>
          </w:p>
        </w:tc>
        <w:tc>
          <w:tcPr>
            <w:tcW w:type="dxa" w:w="994"/>
          </w:tcPr>
          <w:p>
            <w:pPr>
              <w:spacing w:after="20" w:before="20"/>
              <w:jc w:val="right"/>
            </w:pPr>
            <w:r/>
            <w:r>
              <w:rPr>
                <w:rFonts w:ascii="맑은 고딕" w:hAnsi="맑은 고딕" w:eastAsia="맑은 고딕"/>
                <w:b w:val="0"/>
                <w:sz w:val="15"/>
              </w:rPr>
              <w:t>494.5</w:t>
            </w:r>
          </w:p>
        </w:tc>
        <w:tc>
          <w:tcPr>
            <w:tcW w:type="dxa" w:w="994"/>
          </w:tcPr>
          <w:p>
            <w:pPr>
              <w:spacing w:after="20" w:before="20"/>
              <w:jc w:val="right"/>
            </w:pPr>
            <w:r/>
            <w:r>
              <w:rPr>
                <w:rFonts w:ascii="맑은 고딕" w:hAnsi="맑은 고딕" w:eastAsia="맑은 고딕"/>
                <w:b w:val="0"/>
                <w:sz w:val="15"/>
              </w:rPr>
              <w:t>600.0</w:t>
            </w:r>
          </w:p>
        </w:tc>
        <w:tc>
          <w:tcPr>
            <w:tcW w:type="dxa" w:w="994"/>
          </w:tcPr>
          <w:p>
            <w:pPr>
              <w:spacing w:after="20" w:before="20"/>
              <w:jc w:val="right"/>
            </w:pPr>
            <w:r/>
            <w:r>
              <w:rPr>
                <w:rFonts w:ascii="맑은 고딕" w:hAnsi="맑은 고딕" w:eastAsia="맑은 고딕"/>
                <w:b w:val="0"/>
                <w:sz w:val="15"/>
              </w:rPr>
              <w:t>688.1</w:t>
            </w:r>
          </w:p>
        </w:tc>
        <w:tc>
          <w:tcPr>
            <w:tcW w:type="dxa" w:w="994"/>
          </w:tcPr>
          <w:p>
            <w:pPr>
              <w:spacing w:after="20" w:before="20"/>
              <w:jc w:val="right"/>
            </w:pPr>
            <w:r/>
            <w:r>
              <w:rPr>
                <w:rFonts w:ascii="맑은 고딕" w:hAnsi="맑은 고딕" w:eastAsia="맑은 고딕"/>
                <w:b w:val="0"/>
                <w:sz w:val="15"/>
              </w:rPr>
              <w:t>769.5</w:t>
            </w:r>
          </w:p>
        </w:tc>
      </w:tr>
      <w:tr>
        <w:tc>
          <w:tcPr>
            <w:tcW w:type="dxa" w:w="994"/>
          </w:tcPr>
          <w:p>
            <w:pPr>
              <w:spacing w:after="20" w:before="20"/>
              <w:jc w:val="left"/>
            </w:pPr>
            <w:r/>
            <w:r>
              <w:rPr>
                <w:rFonts w:ascii="맑은 고딕" w:hAnsi="맑은 고딕" w:eastAsia="맑은 고딕"/>
                <w:b w:val="0"/>
                <w:sz w:val="15"/>
              </w:rPr>
              <w:t xml:space="preserve">  성장률 %</w:t>
            </w:r>
          </w:p>
        </w:tc>
        <w:tc>
          <w:tcPr>
            <w:tcW w:type="dxa" w:w="994"/>
          </w:tcPr>
          <w:p>
            <w:pPr>
              <w:spacing w:after="20" w:before="20"/>
              <w:jc w:val="right"/>
            </w:pPr>
            <w:r/>
            <w:r>
              <w:rPr>
                <w:rFonts w:ascii="맑은 고딕" w:hAnsi="맑은 고딕" w:eastAsia="맑은 고딕"/>
                <w:b w:val="0"/>
                <w:sz w:val="15"/>
              </w:rPr>
              <w:t>—</w:t>
            </w:r>
          </w:p>
        </w:tc>
        <w:tc>
          <w:tcPr>
            <w:tcW w:type="dxa" w:w="994"/>
          </w:tcPr>
          <w:p>
            <w:pPr>
              <w:spacing w:after="20" w:before="20"/>
              <w:jc w:val="right"/>
            </w:pPr>
            <w:r/>
            <w:r>
              <w:rPr>
                <w:rFonts w:ascii="맑은 고딕" w:hAnsi="맑은 고딕" w:eastAsia="맑은 고딕"/>
                <w:b w:val="0"/>
                <w:sz w:val="15"/>
              </w:rPr>
              <w:t>126%</w:t>
            </w:r>
          </w:p>
        </w:tc>
        <w:tc>
          <w:tcPr>
            <w:tcW w:type="dxa" w:w="994"/>
          </w:tcPr>
          <w:p>
            <w:pPr>
              <w:spacing w:after="20" w:before="20"/>
              <w:jc w:val="right"/>
            </w:pPr>
            <w:r/>
            <w:r>
              <w:rPr>
                <w:rFonts w:ascii="맑은 고딕" w:hAnsi="맑은 고딕" w:eastAsia="맑은 고딕"/>
                <w:b w:val="0"/>
                <w:sz w:val="15"/>
              </w:rPr>
              <w:t>114%</w:t>
            </w:r>
          </w:p>
        </w:tc>
        <w:tc>
          <w:tcPr>
            <w:tcW w:type="dxa" w:w="994"/>
          </w:tcPr>
          <w:p>
            <w:pPr>
              <w:spacing w:after="20" w:before="20"/>
              <w:jc w:val="right"/>
            </w:pPr>
            <w:r/>
            <w:r>
              <w:rPr>
                <w:rFonts w:ascii="맑은 고딕" w:hAnsi="맑은 고딕" w:eastAsia="맑은 고딕"/>
                <w:b w:val="0"/>
                <w:sz w:val="15"/>
              </w:rPr>
              <w:t>65%</w:t>
            </w:r>
          </w:p>
        </w:tc>
        <w:tc>
          <w:tcPr>
            <w:tcW w:type="dxa" w:w="994"/>
          </w:tcPr>
          <w:p>
            <w:pPr>
              <w:spacing w:after="20" w:before="20"/>
              <w:jc w:val="right"/>
            </w:pPr>
            <w:r/>
            <w:r>
              <w:rPr>
                <w:rFonts w:ascii="맑은 고딕" w:hAnsi="맑은 고딕" w:eastAsia="맑은 고딕"/>
                <w:b w:val="0"/>
                <w:sz w:val="15"/>
              </w:rPr>
              <w:t>72%</w:t>
            </w:r>
          </w:p>
        </w:tc>
        <w:tc>
          <w:tcPr>
            <w:tcW w:type="dxa" w:w="994"/>
          </w:tcPr>
          <w:p>
            <w:pPr>
              <w:spacing w:after="20" w:before="20"/>
              <w:jc w:val="right"/>
            </w:pPr>
            <w:r/>
            <w:r>
              <w:rPr>
                <w:rFonts w:ascii="맑은 고딕" w:hAnsi="맑은 고딕" w:eastAsia="맑은 고딕"/>
                <w:b w:val="0"/>
                <w:sz w:val="15"/>
              </w:rPr>
              <w:t>33%</w:t>
            </w:r>
          </w:p>
        </w:tc>
        <w:tc>
          <w:tcPr>
            <w:tcW w:type="dxa" w:w="994"/>
          </w:tcPr>
          <w:p>
            <w:pPr>
              <w:spacing w:after="20" w:before="20"/>
              <w:jc w:val="right"/>
            </w:pPr>
            <w:r/>
            <w:r>
              <w:rPr>
                <w:rFonts w:ascii="맑은 고딕" w:hAnsi="맑은 고딕" w:eastAsia="맑은 고딕"/>
                <w:b w:val="0"/>
                <w:sz w:val="15"/>
              </w:rPr>
              <w:t>21%</w:t>
            </w:r>
          </w:p>
        </w:tc>
        <w:tc>
          <w:tcPr>
            <w:tcW w:type="dxa" w:w="994"/>
          </w:tcPr>
          <w:p>
            <w:pPr>
              <w:spacing w:after="20" w:before="20"/>
              <w:jc w:val="right"/>
            </w:pPr>
            <w:r/>
            <w:r>
              <w:rPr>
                <w:rFonts w:ascii="맑은 고딕" w:hAnsi="맑은 고딕" w:eastAsia="맑은 고딕"/>
                <w:b w:val="0"/>
                <w:sz w:val="15"/>
              </w:rPr>
              <w:t>15%</w:t>
            </w:r>
          </w:p>
        </w:tc>
        <w:tc>
          <w:tcPr>
            <w:tcW w:type="dxa" w:w="994"/>
          </w:tcPr>
          <w:p>
            <w:pPr>
              <w:spacing w:after="20" w:before="20"/>
              <w:jc w:val="right"/>
            </w:pPr>
            <w:r/>
            <w:r>
              <w:rPr>
                <w:rFonts w:ascii="맑은 고딕" w:hAnsi="맑은 고딕" w:eastAsia="맑은 고딕"/>
                <w:b w:val="0"/>
                <w:sz w:val="15"/>
              </w:rPr>
              <w:t>12%</w:t>
            </w:r>
          </w:p>
        </w:tc>
      </w:tr>
      <w:tr>
        <w:tc>
          <w:tcPr>
            <w:tcW w:type="dxa" w:w="994"/>
          </w:tcPr>
          <w:p>
            <w:pPr>
              <w:spacing w:after="20" w:before="20"/>
              <w:jc w:val="left"/>
            </w:pPr>
            <w:r/>
            <w:r>
              <w:rPr>
                <w:rFonts w:ascii="맑은 고딕" w:hAnsi="맑은 고딕" w:eastAsia="맑은 고딕"/>
                <w:b w:val="0"/>
                <w:sz w:val="15"/>
              </w:rPr>
              <w:t>매출총이익</w:t>
            </w:r>
          </w:p>
        </w:tc>
        <w:tc>
          <w:tcPr>
            <w:tcW w:type="dxa" w:w="994"/>
          </w:tcPr>
          <w:p>
            <w:pPr>
              <w:spacing w:after="20" w:before="20"/>
              <w:jc w:val="right"/>
            </w:pPr>
            <w:r/>
            <w:r>
              <w:rPr>
                <w:rFonts w:ascii="맑은 고딕" w:hAnsi="맑은 고딕" w:eastAsia="맑은 고딕"/>
                <w:b w:val="0"/>
                <w:sz w:val="15"/>
              </w:rPr>
              <w:t>15.4</w:t>
            </w:r>
          </w:p>
        </w:tc>
        <w:tc>
          <w:tcPr>
            <w:tcW w:type="dxa" w:w="994"/>
          </w:tcPr>
          <w:p>
            <w:pPr>
              <w:spacing w:after="20" w:before="20"/>
              <w:jc w:val="right"/>
            </w:pPr>
            <w:r/>
            <w:r>
              <w:rPr>
                <w:rFonts w:ascii="맑은 고딕" w:hAnsi="맑은 고딕" w:eastAsia="맑은 고딕"/>
                <w:b w:val="0"/>
                <w:sz w:val="15"/>
              </w:rPr>
              <w:t>44.3</w:t>
            </w:r>
          </w:p>
        </w:tc>
        <w:tc>
          <w:tcPr>
            <w:tcW w:type="dxa" w:w="994"/>
          </w:tcPr>
          <w:p>
            <w:pPr>
              <w:spacing w:after="20" w:before="20"/>
              <w:jc w:val="right"/>
            </w:pPr>
            <w:r/>
            <w:r>
              <w:rPr>
                <w:rFonts w:ascii="맑은 고딕" w:hAnsi="맑은 고딕" w:eastAsia="맑은 고딕"/>
                <w:b w:val="0"/>
                <w:sz w:val="15"/>
              </w:rPr>
              <w:t>97.9</w:t>
            </w:r>
          </w:p>
        </w:tc>
        <w:tc>
          <w:tcPr>
            <w:tcW w:type="dxa" w:w="994"/>
          </w:tcPr>
          <w:p>
            <w:pPr>
              <w:spacing w:after="20" w:before="20"/>
              <w:jc w:val="right"/>
            </w:pPr>
            <w:r/>
            <w:r>
              <w:rPr>
                <w:rFonts w:ascii="맑은 고딕" w:hAnsi="맑은 고딕" w:eastAsia="맑은 고딕"/>
                <w:b w:val="0"/>
                <w:sz w:val="15"/>
              </w:rPr>
              <w:t>153.5</w:t>
            </w:r>
          </w:p>
        </w:tc>
        <w:tc>
          <w:tcPr>
            <w:tcW w:type="dxa" w:w="994"/>
          </w:tcPr>
          <w:p>
            <w:pPr>
              <w:spacing w:after="20" w:before="20"/>
              <w:jc w:val="right"/>
            </w:pPr>
            <w:r/>
            <w:r>
              <w:rPr>
                <w:rFonts w:ascii="맑은 고딕" w:hAnsi="맑은 고딕" w:eastAsia="맑은 고딕"/>
                <w:b w:val="0"/>
                <w:sz w:val="15"/>
              </w:rPr>
              <w:t>272.4</w:t>
            </w:r>
          </w:p>
        </w:tc>
        <w:tc>
          <w:tcPr>
            <w:tcW w:type="dxa" w:w="994"/>
          </w:tcPr>
          <w:p>
            <w:pPr>
              <w:spacing w:after="20" w:before="20"/>
              <w:jc w:val="right"/>
            </w:pPr>
            <w:r/>
            <w:r>
              <w:rPr>
                <w:rFonts w:ascii="맑은 고딕" w:hAnsi="맑은 고딕" w:eastAsia="맑은 고딕"/>
                <w:b w:val="0"/>
                <w:sz w:val="15"/>
              </w:rPr>
              <w:t>363.5</w:t>
            </w:r>
          </w:p>
        </w:tc>
        <w:tc>
          <w:tcPr>
            <w:tcW w:type="dxa" w:w="994"/>
          </w:tcPr>
          <w:p>
            <w:pPr>
              <w:spacing w:after="20" w:before="20"/>
              <w:jc w:val="right"/>
            </w:pPr>
            <w:r/>
            <w:r>
              <w:rPr>
                <w:rFonts w:ascii="맑은 고딕" w:hAnsi="맑은 고딕" w:eastAsia="맑은 고딕"/>
                <w:b w:val="0"/>
                <w:sz w:val="15"/>
              </w:rPr>
              <w:t>438.0</w:t>
            </w:r>
          </w:p>
        </w:tc>
        <w:tc>
          <w:tcPr>
            <w:tcW w:type="dxa" w:w="994"/>
          </w:tcPr>
          <w:p>
            <w:pPr>
              <w:spacing w:after="20" w:before="20"/>
              <w:jc w:val="right"/>
            </w:pPr>
            <w:r/>
            <w:r>
              <w:rPr>
                <w:rFonts w:ascii="맑은 고딕" w:hAnsi="맑은 고딕" w:eastAsia="맑은 고딕"/>
                <w:b w:val="0"/>
                <w:sz w:val="15"/>
              </w:rPr>
              <w:t>498.9</w:t>
            </w:r>
          </w:p>
        </w:tc>
        <w:tc>
          <w:tcPr>
            <w:tcW w:type="dxa" w:w="994"/>
          </w:tcPr>
          <w:p>
            <w:pPr>
              <w:spacing w:after="20" w:before="20"/>
              <w:jc w:val="right"/>
            </w:pPr>
            <w:r/>
            <w:r>
              <w:rPr>
                <w:rFonts w:ascii="맑은 고딕" w:hAnsi="맑은 고딕" w:eastAsia="맑은 고딕"/>
                <w:b w:val="0"/>
                <w:sz w:val="15"/>
              </w:rPr>
              <w:t>554.0</w:t>
            </w:r>
          </w:p>
        </w:tc>
      </w:tr>
      <w:tr>
        <w:tc>
          <w:tcPr>
            <w:tcW w:type="dxa" w:w="994"/>
          </w:tcPr>
          <w:p>
            <w:pPr>
              <w:spacing w:after="20" w:before="20"/>
              <w:jc w:val="left"/>
            </w:pPr>
            <w:r/>
            <w:r>
              <w:rPr>
                <w:rFonts w:ascii="맑은 고딕" w:hAnsi="맑은 고딕" w:eastAsia="맑은 고딕"/>
                <w:b w:val="0"/>
                <w:sz w:val="15"/>
              </w:rPr>
              <w:t>EBITDA</w:t>
            </w:r>
          </w:p>
        </w:tc>
        <w:tc>
          <w:tcPr>
            <w:tcW w:type="dxa" w:w="994"/>
          </w:tcPr>
          <w:p>
            <w:pPr>
              <w:spacing w:after="20" w:before="20"/>
              <w:jc w:val="right"/>
            </w:pPr>
            <w:r/>
            <w:r>
              <w:rPr>
                <w:rFonts w:ascii="맑은 고딕" w:hAnsi="맑은 고딕" w:eastAsia="맑은 고딕"/>
                <w:b w:val="0"/>
                <w:sz w:val="15"/>
              </w:rPr>
              <w:t>5.8</w:t>
            </w:r>
          </w:p>
        </w:tc>
        <w:tc>
          <w:tcPr>
            <w:tcW w:type="dxa" w:w="994"/>
          </w:tcPr>
          <w:p>
            <w:pPr>
              <w:spacing w:after="20" w:before="20"/>
              <w:jc w:val="right"/>
            </w:pPr>
            <w:r/>
            <w:r>
              <w:rPr>
                <w:rFonts w:ascii="맑은 고딕" w:hAnsi="맑은 고딕" w:eastAsia="맑은 고딕"/>
                <w:b w:val="0"/>
                <w:sz w:val="15"/>
              </w:rPr>
              <w:t>34.5</w:t>
            </w:r>
          </w:p>
        </w:tc>
        <w:tc>
          <w:tcPr>
            <w:tcW w:type="dxa" w:w="994"/>
          </w:tcPr>
          <w:p>
            <w:pPr>
              <w:spacing w:after="20" w:before="20"/>
              <w:jc w:val="right"/>
            </w:pPr>
            <w:r/>
            <w:r>
              <w:rPr>
                <w:rFonts w:ascii="맑은 고딕" w:hAnsi="맑은 고딕" w:eastAsia="맑은 고딕"/>
                <w:b w:val="0"/>
                <w:sz w:val="15"/>
              </w:rPr>
              <w:t>83.3</w:t>
            </w:r>
          </w:p>
        </w:tc>
        <w:tc>
          <w:tcPr>
            <w:tcW w:type="dxa" w:w="994"/>
          </w:tcPr>
          <w:p>
            <w:pPr>
              <w:spacing w:after="20" w:before="20"/>
              <w:jc w:val="right"/>
            </w:pPr>
            <w:r/>
            <w:r>
              <w:rPr>
                <w:rFonts w:ascii="맑은 고딕" w:hAnsi="맑은 고딕" w:eastAsia="맑은 고딕"/>
                <w:b w:val="0"/>
                <w:sz w:val="15"/>
              </w:rPr>
              <w:t>133.2</w:t>
            </w:r>
          </w:p>
        </w:tc>
        <w:tc>
          <w:tcPr>
            <w:tcW w:type="dxa" w:w="994"/>
          </w:tcPr>
          <w:p>
            <w:pPr>
              <w:spacing w:after="20" w:before="20"/>
              <w:jc w:val="right"/>
            </w:pPr>
            <w:r/>
            <w:r>
              <w:rPr>
                <w:rFonts w:ascii="맑은 고딕" w:hAnsi="맑은 고딕" w:eastAsia="맑은 고딕"/>
                <w:b w:val="0"/>
                <w:sz w:val="15"/>
              </w:rPr>
              <w:t>226.1</w:t>
            </w:r>
          </w:p>
        </w:tc>
        <w:tc>
          <w:tcPr>
            <w:tcW w:type="dxa" w:w="994"/>
          </w:tcPr>
          <w:p>
            <w:pPr>
              <w:spacing w:after="20" w:before="20"/>
              <w:jc w:val="right"/>
            </w:pPr>
            <w:r/>
            <w:r>
              <w:rPr>
                <w:rFonts w:ascii="맑은 고딕" w:hAnsi="맑은 고딕" w:eastAsia="맑은 고딕"/>
                <w:b w:val="0"/>
                <w:sz w:val="15"/>
              </w:rPr>
              <w:t>299.2</w:t>
            </w:r>
          </w:p>
        </w:tc>
        <w:tc>
          <w:tcPr>
            <w:tcW w:type="dxa" w:w="994"/>
          </w:tcPr>
          <w:p>
            <w:pPr>
              <w:spacing w:after="20" w:before="20"/>
              <w:jc w:val="right"/>
            </w:pPr>
            <w:r/>
            <w:r>
              <w:rPr>
                <w:rFonts w:ascii="맑은 고딕" w:hAnsi="맑은 고딕" w:eastAsia="맑은 고딕"/>
                <w:b w:val="0"/>
                <w:sz w:val="15"/>
              </w:rPr>
              <w:t>357.0</w:t>
            </w:r>
          </w:p>
        </w:tc>
        <w:tc>
          <w:tcPr>
            <w:tcW w:type="dxa" w:w="994"/>
          </w:tcPr>
          <w:p>
            <w:pPr>
              <w:spacing w:after="20" w:before="20"/>
              <w:jc w:val="right"/>
            </w:pPr>
            <w:r/>
            <w:r>
              <w:rPr>
                <w:rFonts w:ascii="맑은 고딕" w:hAnsi="맑은 고딕" w:eastAsia="맑은 고딕"/>
                <w:b w:val="0"/>
                <w:sz w:val="15"/>
              </w:rPr>
              <w:t>402.5</w:t>
            </w:r>
          </w:p>
        </w:tc>
        <w:tc>
          <w:tcPr>
            <w:tcW w:type="dxa" w:w="994"/>
          </w:tcPr>
          <w:p>
            <w:pPr>
              <w:spacing w:after="20" w:before="20"/>
              <w:jc w:val="right"/>
            </w:pPr>
            <w:r/>
            <w:r>
              <w:rPr>
                <w:rFonts w:ascii="맑은 고딕" w:hAnsi="맑은 고딕" w:eastAsia="맑은 고딕"/>
                <w:b w:val="0"/>
                <w:sz w:val="15"/>
              </w:rPr>
              <w:t>446.3</w:t>
            </w:r>
          </w:p>
        </w:tc>
      </w:tr>
      <w:tr>
        <w:tc>
          <w:tcPr>
            <w:tcW w:type="dxa" w:w="994"/>
          </w:tcPr>
          <w:p>
            <w:pPr>
              <w:spacing w:after="20" w:before="20"/>
              <w:jc w:val="left"/>
            </w:pPr>
            <w:r/>
            <w:r>
              <w:rPr>
                <w:rFonts w:ascii="맑은 고딕" w:hAnsi="맑은 고딕" w:eastAsia="맑은 고딕"/>
                <w:b w:val="0"/>
                <w:sz w:val="15"/>
              </w:rPr>
              <w:t xml:space="preserve">  EBITDA 마진</w:t>
            </w:r>
          </w:p>
        </w:tc>
        <w:tc>
          <w:tcPr>
            <w:tcW w:type="dxa" w:w="994"/>
          </w:tcPr>
          <w:p>
            <w:pPr>
              <w:spacing w:after="20" w:before="20"/>
              <w:jc w:val="right"/>
            </w:pPr>
            <w:r/>
            <w:r>
              <w:rPr>
                <w:rFonts w:ascii="맑은 고딕" w:hAnsi="맑은 고딕" w:eastAsia="맑은 고딕"/>
                <w:b w:val="0"/>
                <w:sz w:val="15"/>
              </w:rPr>
              <w:t>21%</w:t>
            </w:r>
          </w:p>
        </w:tc>
        <w:tc>
          <w:tcPr>
            <w:tcW w:type="dxa" w:w="994"/>
          </w:tcPr>
          <w:p>
            <w:pPr>
              <w:spacing w:after="20" w:before="20"/>
              <w:jc w:val="right"/>
            </w:pPr>
            <w:r/>
            <w:r>
              <w:rPr>
                <w:rFonts w:ascii="맑은 고딕" w:hAnsi="맑은 고딕" w:eastAsia="맑은 고딕"/>
                <w:b w:val="0"/>
                <w:sz w:val="15"/>
              </w:rPr>
              <w:t>57%</w:t>
            </w:r>
          </w:p>
        </w:tc>
        <w:tc>
          <w:tcPr>
            <w:tcW w:type="dxa" w:w="994"/>
          </w:tcPr>
          <w:p>
            <w:pPr>
              <w:spacing w:after="20" w:before="20"/>
              <w:jc w:val="right"/>
            </w:pPr>
            <w:r/>
            <w:r>
              <w:rPr>
                <w:rFonts w:ascii="맑은 고딕" w:hAnsi="맑은 고딕" w:eastAsia="맑은 고딕"/>
                <w:b w:val="0"/>
                <w:sz w:val="15"/>
              </w:rPr>
              <w:t>64%</w:t>
            </w:r>
          </w:p>
        </w:tc>
        <w:tc>
          <w:tcPr>
            <w:tcW w:type="dxa" w:w="994"/>
          </w:tcPr>
          <w:p>
            <w:pPr>
              <w:spacing w:after="20" w:before="20"/>
              <w:jc w:val="right"/>
            </w:pPr>
            <w:r/>
            <w:r>
              <w:rPr>
                <w:rFonts w:ascii="맑은 고딕" w:hAnsi="맑은 고딕" w:eastAsia="맑은 고딕"/>
                <w:b w:val="0"/>
                <w:sz w:val="15"/>
              </w:rPr>
              <w:t>62%</w:t>
            </w:r>
          </w:p>
        </w:tc>
        <w:tc>
          <w:tcPr>
            <w:tcW w:type="dxa" w:w="994"/>
          </w:tcPr>
          <w:p>
            <w:pPr>
              <w:spacing w:after="20" w:before="20"/>
              <w:jc w:val="right"/>
            </w:pPr>
            <w:r/>
            <w:r>
              <w:rPr>
                <w:rFonts w:ascii="맑은 고딕" w:hAnsi="맑은 고딕" w:eastAsia="맑은 고딕"/>
                <w:b w:val="0"/>
                <w:sz w:val="15"/>
              </w:rPr>
              <w:t>61%</w:t>
            </w:r>
          </w:p>
        </w:tc>
        <w:tc>
          <w:tcPr>
            <w:tcW w:type="dxa" w:w="994"/>
          </w:tcPr>
          <w:p>
            <w:pPr>
              <w:spacing w:after="20" w:before="20"/>
              <w:jc w:val="right"/>
            </w:pPr>
            <w:r/>
            <w:r>
              <w:rPr>
                <w:rFonts w:ascii="맑은 고딕" w:hAnsi="맑은 고딕" w:eastAsia="맑은 고딕"/>
                <w:b w:val="0"/>
                <w:sz w:val="15"/>
              </w:rPr>
              <w:t>60%</w:t>
            </w:r>
          </w:p>
        </w:tc>
        <w:tc>
          <w:tcPr>
            <w:tcW w:type="dxa" w:w="994"/>
          </w:tcPr>
          <w:p>
            <w:pPr>
              <w:spacing w:after="20" w:before="20"/>
              <w:jc w:val="right"/>
            </w:pPr>
            <w:r/>
            <w:r>
              <w:rPr>
                <w:rFonts w:ascii="맑은 고딕" w:hAnsi="맑은 고딕" w:eastAsia="맑은 고딕"/>
                <w:b w:val="0"/>
                <w:sz w:val="15"/>
              </w:rPr>
              <w:t>60%</w:t>
            </w:r>
          </w:p>
        </w:tc>
        <w:tc>
          <w:tcPr>
            <w:tcW w:type="dxa" w:w="994"/>
          </w:tcPr>
          <w:p>
            <w:pPr>
              <w:spacing w:after="20" w:before="20"/>
              <w:jc w:val="right"/>
            </w:pPr>
            <w:r/>
            <w:r>
              <w:rPr>
                <w:rFonts w:ascii="맑은 고딕" w:hAnsi="맑은 고딕" w:eastAsia="맑은 고딕"/>
                <w:b w:val="0"/>
                <w:sz w:val="15"/>
              </w:rPr>
              <w:t>58%</w:t>
            </w:r>
          </w:p>
        </w:tc>
        <w:tc>
          <w:tcPr>
            <w:tcW w:type="dxa" w:w="994"/>
          </w:tcPr>
          <w:p>
            <w:pPr>
              <w:spacing w:after="20" w:before="20"/>
              <w:jc w:val="right"/>
            </w:pPr>
            <w:r/>
            <w:r>
              <w:rPr>
                <w:rFonts w:ascii="맑은 고딕" w:hAnsi="맑은 고딕" w:eastAsia="맑은 고딕"/>
                <w:b w:val="0"/>
                <w:sz w:val="15"/>
              </w:rPr>
              <w:t>58%</w:t>
            </w:r>
          </w:p>
        </w:tc>
      </w:tr>
      <w:tr>
        <w:tc>
          <w:tcPr>
            <w:tcW w:type="dxa" w:w="994"/>
          </w:tcPr>
          <w:p>
            <w:pPr>
              <w:spacing w:after="20" w:before="20"/>
              <w:jc w:val="left"/>
            </w:pPr>
            <w:r/>
            <w:r>
              <w:rPr>
                <w:rFonts w:ascii="맑은 고딕" w:hAnsi="맑은 고딕" w:eastAsia="맑은 고딕"/>
                <w:b w:val="0"/>
                <w:sz w:val="15"/>
              </w:rPr>
              <w:t>순이익</w:t>
            </w:r>
          </w:p>
        </w:tc>
        <w:tc>
          <w:tcPr>
            <w:tcW w:type="dxa" w:w="994"/>
          </w:tcPr>
          <w:p>
            <w:pPr>
              <w:spacing w:after="20" w:before="20"/>
              <w:jc w:val="right"/>
            </w:pPr>
            <w:r/>
            <w:r>
              <w:rPr>
                <w:rFonts w:ascii="맑은 고딕" w:hAnsi="맑은 고딕" w:eastAsia="맑은 고딕"/>
                <w:b w:val="0"/>
                <w:sz w:val="15"/>
              </w:rPr>
              <w:t>4.4</w:t>
            </w:r>
          </w:p>
        </w:tc>
        <w:tc>
          <w:tcPr>
            <w:tcW w:type="dxa" w:w="994"/>
          </w:tcPr>
          <w:p>
            <w:pPr>
              <w:spacing w:after="20" w:before="20"/>
              <w:jc w:val="right"/>
            </w:pPr>
            <w:r/>
            <w:r>
              <w:rPr>
                <w:rFonts w:ascii="맑은 고딕" w:hAnsi="맑은 고딕" w:eastAsia="맑은 고딕"/>
                <w:b w:val="0"/>
                <w:sz w:val="15"/>
              </w:rPr>
              <w:t>29.8</w:t>
            </w:r>
          </w:p>
        </w:tc>
        <w:tc>
          <w:tcPr>
            <w:tcW w:type="dxa" w:w="994"/>
          </w:tcPr>
          <w:p>
            <w:pPr>
              <w:spacing w:after="20" w:before="20"/>
              <w:jc w:val="right"/>
            </w:pPr>
            <w:r/>
            <w:r>
              <w:rPr>
                <w:rFonts w:ascii="맑은 고딕" w:hAnsi="맑은 고딕" w:eastAsia="맑은 고딕"/>
                <w:b w:val="0"/>
                <w:sz w:val="15"/>
              </w:rPr>
              <w:t>72.9</w:t>
            </w:r>
          </w:p>
        </w:tc>
        <w:tc>
          <w:tcPr>
            <w:tcW w:type="dxa" w:w="994"/>
          </w:tcPr>
          <w:p>
            <w:pPr>
              <w:spacing w:after="20" w:before="20"/>
              <w:jc w:val="right"/>
            </w:pPr>
            <w:r/>
            <w:r>
              <w:rPr>
                <w:rFonts w:ascii="맑은 고딕" w:hAnsi="맑은 고딕" w:eastAsia="맑은 고딕"/>
                <w:b w:val="0"/>
                <w:sz w:val="15"/>
              </w:rPr>
              <w:t>120.1</w:t>
            </w:r>
          </w:p>
        </w:tc>
        <w:tc>
          <w:tcPr>
            <w:tcW w:type="dxa" w:w="994"/>
          </w:tcPr>
          <w:p>
            <w:pPr>
              <w:spacing w:after="20" w:before="20"/>
              <w:jc w:val="right"/>
            </w:pPr>
            <w:r/>
            <w:r>
              <w:rPr>
                <w:rFonts w:ascii="맑은 고딕" w:hAnsi="맑은 고딕" w:eastAsia="맑은 고딕"/>
                <w:b w:val="0"/>
                <w:sz w:val="15"/>
              </w:rPr>
              <w:t>185.6</w:t>
            </w:r>
          </w:p>
        </w:tc>
        <w:tc>
          <w:tcPr>
            <w:tcW w:type="dxa" w:w="994"/>
          </w:tcPr>
          <w:p>
            <w:pPr>
              <w:spacing w:after="20" w:before="20"/>
              <w:jc w:val="right"/>
            </w:pPr>
            <w:r/>
            <w:r>
              <w:rPr>
                <w:rFonts w:ascii="맑은 고딕" w:hAnsi="맑은 고딕" w:eastAsia="맑은 고딕"/>
                <w:b w:val="0"/>
                <w:sz w:val="15"/>
              </w:rPr>
              <w:t>244.3</w:t>
            </w:r>
          </w:p>
        </w:tc>
        <w:tc>
          <w:tcPr>
            <w:tcW w:type="dxa" w:w="994"/>
          </w:tcPr>
          <w:p>
            <w:pPr>
              <w:spacing w:after="20" w:before="20"/>
              <w:jc w:val="right"/>
            </w:pPr>
            <w:r/>
            <w:r>
              <w:rPr>
                <w:rFonts w:ascii="맑은 고딕" w:hAnsi="맑은 고딕" w:eastAsia="맑은 고딕"/>
                <w:b w:val="0"/>
                <w:sz w:val="15"/>
              </w:rPr>
              <w:t>290.0</w:t>
            </w:r>
          </w:p>
        </w:tc>
        <w:tc>
          <w:tcPr>
            <w:tcW w:type="dxa" w:w="994"/>
          </w:tcPr>
          <w:p>
            <w:pPr>
              <w:spacing w:after="20" w:before="20"/>
              <w:jc w:val="right"/>
            </w:pPr>
            <w:r/>
            <w:r>
              <w:rPr>
                <w:rFonts w:ascii="맑은 고딕" w:hAnsi="맑은 고딕" w:eastAsia="맑은 고딕"/>
                <w:b w:val="0"/>
                <w:sz w:val="15"/>
              </w:rPr>
              <w:t>326.1</w:t>
            </w:r>
          </w:p>
        </w:tc>
        <w:tc>
          <w:tcPr>
            <w:tcW w:type="dxa" w:w="994"/>
          </w:tcPr>
          <w:p>
            <w:pPr>
              <w:spacing w:after="20" w:before="20"/>
              <w:jc w:val="right"/>
            </w:pPr>
            <w:r/>
            <w:r>
              <w:rPr>
                <w:rFonts w:ascii="맑은 고딕" w:hAnsi="맑은 고딕" w:eastAsia="맑은 고딕"/>
                <w:b w:val="0"/>
                <w:sz w:val="15"/>
              </w:rPr>
              <w:t>361.3</w:t>
            </w:r>
          </w:p>
        </w:tc>
      </w:tr>
      <w:tr>
        <w:tc>
          <w:tcPr>
            <w:tcW w:type="dxa" w:w="994"/>
          </w:tcPr>
          <w:p>
            <w:pPr>
              <w:spacing w:after="20" w:before="20"/>
              <w:jc w:val="left"/>
            </w:pPr>
            <w:r/>
            <w:r>
              <w:rPr>
                <w:rFonts w:ascii="맑은 고딕" w:hAnsi="맑은 고딕" w:eastAsia="맑은 고딕"/>
                <w:b w:val="0"/>
                <w:sz w:val="15"/>
              </w:rPr>
              <w:t>희석 EPS ($)</w:t>
            </w:r>
          </w:p>
        </w:tc>
        <w:tc>
          <w:tcPr>
            <w:tcW w:type="dxa" w:w="994"/>
          </w:tcPr>
          <w:p>
            <w:pPr>
              <w:spacing w:after="20" w:before="20"/>
              <w:jc w:val="right"/>
            </w:pPr>
            <w:r/>
            <w:r>
              <w:rPr>
                <w:rFonts w:ascii="맑은 고딕" w:hAnsi="맑은 고딕" w:eastAsia="맑은 고딕"/>
                <w:b w:val="0"/>
                <w:sz w:val="15"/>
              </w:rPr>
              <w:t>0.17</w:t>
            </w:r>
          </w:p>
        </w:tc>
        <w:tc>
          <w:tcPr>
            <w:tcW w:type="dxa" w:w="994"/>
          </w:tcPr>
          <w:p>
            <w:pPr>
              <w:spacing w:after="20" w:before="20"/>
              <w:jc w:val="right"/>
            </w:pPr>
            <w:r/>
            <w:r>
              <w:rPr>
                <w:rFonts w:ascii="맑은 고딕" w:hAnsi="맑은 고딕" w:eastAsia="맑은 고딕"/>
                <w:b w:val="0"/>
                <w:sz w:val="15"/>
              </w:rPr>
              <w:t>1.19</w:t>
            </w:r>
          </w:p>
        </w:tc>
        <w:tc>
          <w:tcPr>
            <w:tcW w:type="dxa" w:w="994"/>
          </w:tcPr>
          <w:p>
            <w:pPr>
              <w:spacing w:after="20" w:before="20"/>
              <w:jc w:val="right"/>
            </w:pPr>
            <w:r/>
            <w:r>
              <w:rPr>
                <w:rFonts w:ascii="맑은 고딕" w:hAnsi="맑은 고딕" w:eastAsia="맑은 고딕"/>
                <w:b w:val="0"/>
                <w:sz w:val="15"/>
              </w:rPr>
              <w:t>2.94</w:t>
            </w:r>
          </w:p>
        </w:tc>
        <w:tc>
          <w:tcPr>
            <w:tcW w:type="dxa" w:w="994"/>
          </w:tcPr>
          <w:p>
            <w:pPr>
              <w:spacing w:after="20" w:before="20"/>
              <w:jc w:val="right"/>
            </w:pPr>
            <w:r/>
            <w:r>
              <w:rPr>
                <w:rFonts w:ascii="맑은 고딕" w:hAnsi="맑은 고딕" w:eastAsia="맑은 고딕"/>
                <w:b w:val="0"/>
                <w:sz w:val="15"/>
              </w:rPr>
              <w:t>4.90</w:t>
            </w:r>
          </w:p>
        </w:tc>
        <w:tc>
          <w:tcPr>
            <w:tcW w:type="dxa" w:w="994"/>
          </w:tcPr>
          <w:p>
            <w:pPr>
              <w:spacing w:after="20" w:before="20"/>
              <w:jc w:val="right"/>
            </w:pPr>
            <w:r/>
            <w:r>
              <w:rPr>
                <w:rFonts w:ascii="맑은 고딕" w:hAnsi="맑은 고딕" w:eastAsia="맑은 고딕"/>
                <w:b w:val="0"/>
                <w:sz w:val="15"/>
              </w:rPr>
              <w:t>7.66</w:t>
            </w:r>
          </w:p>
        </w:tc>
        <w:tc>
          <w:tcPr>
            <w:tcW w:type="dxa" w:w="994"/>
          </w:tcPr>
          <w:p>
            <w:pPr>
              <w:spacing w:after="20" w:before="20"/>
              <w:jc w:val="right"/>
            </w:pPr>
            <w:r/>
            <w:r>
              <w:rPr>
                <w:rFonts w:ascii="맑은 고딕" w:hAnsi="맑은 고딕" w:eastAsia="맑은 고딕"/>
                <w:b w:val="0"/>
                <w:sz w:val="15"/>
              </w:rPr>
              <w:t>10.21</w:t>
            </w:r>
          </w:p>
        </w:tc>
        <w:tc>
          <w:tcPr>
            <w:tcW w:type="dxa" w:w="994"/>
          </w:tcPr>
          <w:p>
            <w:pPr>
              <w:spacing w:after="20" w:before="20"/>
              <w:jc w:val="right"/>
            </w:pPr>
            <w:r/>
            <w:r>
              <w:rPr>
                <w:rFonts w:ascii="맑은 고딕" w:hAnsi="맑은 고딕" w:eastAsia="맑은 고딕"/>
                <w:b w:val="0"/>
                <w:sz w:val="15"/>
              </w:rPr>
              <w:t>12.27</w:t>
            </w:r>
          </w:p>
        </w:tc>
        <w:tc>
          <w:tcPr>
            <w:tcW w:type="dxa" w:w="994"/>
          </w:tcPr>
          <w:p>
            <w:pPr>
              <w:spacing w:after="20" w:before="20"/>
              <w:jc w:val="right"/>
            </w:pPr>
            <w:r/>
            <w:r>
              <w:rPr>
                <w:rFonts w:ascii="맑은 고딕" w:hAnsi="맑은 고딕" w:eastAsia="맑은 고딕"/>
                <w:b w:val="0"/>
                <w:sz w:val="15"/>
              </w:rPr>
              <w:t>13.96</w:t>
            </w:r>
          </w:p>
        </w:tc>
        <w:tc>
          <w:tcPr>
            <w:tcW w:type="dxa" w:w="994"/>
          </w:tcPr>
          <w:p>
            <w:pPr>
              <w:spacing w:after="20" w:before="20"/>
              <w:jc w:val="right"/>
            </w:pPr>
            <w:r/>
            <w:r>
              <w:rPr>
                <w:rFonts w:ascii="맑은 고딕" w:hAnsi="맑은 고딕" w:eastAsia="맑은 고딕"/>
                <w:b w:val="0"/>
                <w:sz w:val="15"/>
              </w:rPr>
              <w:t>15.66</w:t>
            </w:r>
          </w:p>
        </w:tc>
      </w:tr>
      <w:tr>
        <w:tc>
          <w:tcPr>
            <w:tcW w:type="dxa" w:w="994"/>
          </w:tcPr>
          <w:p>
            <w:pPr>
              <w:spacing w:after="20" w:before="20"/>
              <w:jc w:val="left"/>
            </w:pPr>
            <w:r/>
            <w:r>
              <w:rPr>
                <w:rFonts w:ascii="맑은 고딕" w:hAnsi="맑은 고딕" w:eastAsia="맑은 고딕"/>
                <w:b w:val="0"/>
                <w:sz w:val="15"/>
              </w:rPr>
              <w:t>잉여현금흐름</w:t>
            </w:r>
          </w:p>
        </w:tc>
        <w:tc>
          <w:tcPr>
            <w:tcW w:type="dxa" w:w="994"/>
          </w:tcPr>
          <w:p>
            <w:pPr>
              <w:spacing w:after="20" w:before="20"/>
              <w:jc w:val="right"/>
            </w:pPr>
            <w:r/>
            <w:r>
              <w:rPr>
                <w:rFonts w:ascii="맑은 고딕" w:hAnsi="맑은 고딕" w:eastAsia="맑은 고딕"/>
                <w:b w:val="0"/>
                <w:sz w:val="15"/>
              </w:rPr>
              <w:t>3.8</w:t>
            </w:r>
          </w:p>
        </w:tc>
        <w:tc>
          <w:tcPr>
            <w:tcW w:type="dxa" w:w="994"/>
          </w:tcPr>
          <w:p>
            <w:pPr>
              <w:spacing w:after="20" w:before="20"/>
              <w:jc w:val="right"/>
            </w:pPr>
            <w:r/>
            <w:r>
              <w:rPr>
                <w:rFonts w:ascii="맑은 고딕" w:hAnsi="맑은 고딕" w:eastAsia="맑은 고딕"/>
                <w:b w:val="0"/>
                <w:sz w:val="15"/>
              </w:rPr>
              <w:t>27.0</w:t>
            </w:r>
          </w:p>
        </w:tc>
        <w:tc>
          <w:tcPr>
            <w:tcW w:type="dxa" w:w="994"/>
          </w:tcPr>
          <w:p>
            <w:pPr>
              <w:spacing w:after="20" w:before="20"/>
              <w:jc w:val="right"/>
            </w:pPr>
            <w:r/>
            <w:r>
              <w:rPr>
                <w:rFonts w:ascii="맑은 고딕" w:hAnsi="맑은 고딕" w:eastAsia="맑은 고딕"/>
                <w:b w:val="0"/>
                <w:sz w:val="15"/>
              </w:rPr>
              <w:t>60.9</w:t>
            </w:r>
          </w:p>
        </w:tc>
        <w:tc>
          <w:tcPr>
            <w:tcW w:type="dxa" w:w="994"/>
          </w:tcPr>
          <w:p>
            <w:pPr>
              <w:spacing w:after="20" w:before="20"/>
              <w:jc w:val="right"/>
            </w:pPr>
            <w:r/>
            <w:r>
              <w:rPr>
                <w:rFonts w:ascii="맑은 고딕" w:hAnsi="맑은 고딕" w:eastAsia="맑은 고딕"/>
                <w:b w:val="0"/>
                <w:sz w:val="15"/>
              </w:rPr>
              <w:t>96.7</w:t>
            </w:r>
          </w:p>
        </w:tc>
        <w:tc>
          <w:tcPr>
            <w:tcW w:type="dxa" w:w="994"/>
          </w:tcPr>
          <w:p>
            <w:pPr>
              <w:spacing w:after="20" w:before="20"/>
              <w:jc w:val="right"/>
            </w:pPr>
            <w:r/>
            <w:r>
              <w:rPr>
                <w:rFonts w:ascii="맑은 고딕" w:hAnsi="맑은 고딕" w:eastAsia="맑은 고딕"/>
                <w:b w:val="0"/>
                <w:sz w:val="15"/>
              </w:rPr>
              <w:t>182.5</w:t>
            </w:r>
          </w:p>
        </w:tc>
        <w:tc>
          <w:tcPr>
            <w:tcW w:type="dxa" w:w="994"/>
          </w:tcPr>
          <w:p>
            <w:pPr>
              <w:spacing w:after="20" w:before="20"/>
              <w:jc w:val="right"/>
            </w:pPr>
            <w:r/>
            <w:r>
              <w:rPr>
                <w:rFonts w:ascii="맑은 고딕" w:hAnsi="맑은 고딕" w:eastAsia="맑은 고딕"/>
                <w:b w:val="0"/>
                <w:sz w:val="15"/>
              </w:rPr>
              <w:t>247.7</w:t>
            </w:r>
          </w:p>
        </w:tc>
        <w:tc>
          <w:tcPr>
            <w:tcW w:type="dxa" w:w="994"/>
          </w:tcPr>
          <w:p>
            <w:pPr>
              <w:spacing w:after="20" w:before="20"/>
              <w:jc w:val="right"/>
            </w:pPr>
            <w:r/>
            <w:r>
              <w:rPr>
                <w:rFonts w:ascii="맑은 고딕" w:hAnsi="맑은 고딕" w:eastAsia="맑은 고딕"/>
                <w:b w:val="0"/>
                <w:sz w:val="15"/>
              </w:rPr>
              <w:t>300.2</w:t>
            </w:r>
          </w:p>
        </w:tc>
        <w:tc>
          <w:tcPr>
            <w:tcW w:type="dxa" w:w="994"/>
          </w:tcPr>
          <w:p>
            <w:pPr>
              <w:spacing w:after="20" w:before="20"/>
              <w:jc w:val="right"/>
            </w:pPr>
            <w:r/>
            <w:r>
              <w:rPr>
                <w:rFonts w:ascii="맑은 고딕" w:hAnsi="맑은 고딕" w:eastAsia="맑은 고딕"/>
                <w:b w:val="0"/>
                <w:sz w:val="15"/>
              </w:rPr>
              <w:t>343.2</w:t>
            </w:r>
          </w:p>
        </w:tc>
        <w:tc>
          <w:tcPr>
            <w:tcW w:type="dxa" w:w="994"/>
          </w:tcPr>
          <w:p>
            <w:pPr>
              <w:spacing w:after="20" w:before="20"/>
              <w:jc w:val="right"/>
            </w:pPr>
            <w:r/>
            <w:r>
              <w:rPr>
                <w:rFonts w:ascii="맑은 고딕" w:hAnsi="맑은 고딕" w:eastAsia="맑은 고딕"/>
                <w:b w:val="0"/>
                <w:sz w:val="15"/>
              </w:rPr>
              <w:t>381.8</w:t>
            </w:r>
          </w:p>
        </w:tc>
      </w:tr>
    </w:tbl>
    <w:p>
      <w:pPr>
        <w:spacing w:after="40"/>
      </w:pPr>
    </w:p>
    <w:p>
      <w:pPr>
        <w:spacing w:after="200"/>
      </w:pPr>
      <w:r>
        <w:rPr>
          <w:rFonts w:ascii="맑은 고딕" w:hAnsi="맑은 고딕" w:eastAsia="맑은 고딕"/>
          <w:i/>
          <w:color w:val="595959"/>
          <w:sz w:val="16"/>
        </w:rPr>
        <w:t>표 1 — 재무 요약($B). A=실적, E=추정. 회계연도는 1월 말 종료. 자료: 회사 공시; 모델(Task 2).</w:t>
      </w:r>
    </w:p>
    <w:p>
      <w:r>
        <w:br w:type="page"/>
      </w:r>
    </w:p>
    <w:p>
      <w:pPr>
        <w:spacing w:before="240" w:after="80"/>
        <w:pBdr>
          <w:bottom w:val="single" w:sz="6" w:space="2" w:color="1F3864"/>
        </w:pBdr>
      </w:pPr>
      <w:r>
        <w:rPr>
          <w:rFonts w:ascii="맑은 고딕" w:hAnsi="맑은 고딕" w:eastAsia="맑은 고딕"/>
          <w:b/>
          <w:color w:val="1F3864"/>
          <w:sz w:val="30"/>
        </w:rPr>
        <w:t>목차</w:t>
      </w:r>
    </w:p>
    <w:p>
      <w:r/>
      <w:fldSimple w:instr="TOC \o &quot;1-2&quot; \h \z \u"/>
    </w:p>
    <w:p>
      <w:pPr>
        <w:spacing w:after="120"/>
      </w:pPr>
      <w:r>
        <w:rPr>
          <w:rFonts w:ascii="맑은 고딕" w:hAnsi="맑은 고딕" w:eastAsia="맑은 고딕"/>
          <w:i/>
          <w:color w:val="595959"/>
          <w:sz w:val="16"/>
        </w:rPr>
        <w:t>(Word에서 목차를 우클릭 → 필드 업데이트하면 페이지 번호가 채워집니다.)</w:t>
      </w:r>
    </w:p>
    <w:p>
      <w:r>
        <w:br w:type="page"/>
      </w:r>
    </w:p>
    <w:p>
      <w:pPr>
        <w:spacing w:before="240" w:after="80"/>
        <w:pBdr>
          <w:bottom w:val="single" w:sz="6" w:space="2" w:color="1F3864"/>
        </w:pBdr>
      </w:pPr>
      <w:r>
        <w:rPr>
          <w:rFonts w:ascii="맑은 고딕" w:hAnsi="맑은 고딕" w:eastAsia="맑은 고딕"/>
          <w:b/>
          <w:color w:val="1F3864"/>
          <w:sz w:val="30"/>
        </w:rPr>
        <w:t>투자 논거</w:t>
      </w:r>
    </w:p>
    <w:p>
      <w:pPr>
        <w:spacing w:after="140"/>
      </w:pPr>
      <w:r>
        <w:rPr>
          <w:rFonts w:ascii="맑은 고딕" w:hAnsi="맑은 고딕" w:eastAsia="맑은 고딕"/>
          <w:i w:val="0"/>
          <w:sz w:val="21"/>
        </w:rPr>
        <w:t>당사는 NVIDIA(NVDA)에 대한 커버리지를 중립(HOLD)으로 개시하며, 직전 종가 $207.40 대비 12개월 목표주가 $208을 제시한다. 이는 +0.2%의 함의 수익률에 해당한다. 이 투자의견은 무관심의 표현이 아니라, 서로 반대 방향을 가리키며 거의 정확히 상쇄되는 두 가지 견고한 밸류에이션 방법론에서 도출된 의도적 결과이다. Q1 FY2027 실적과 Q2 가이던스에 기반해 상향식(bottom-up)으로 구축한 당사의 현금흐름할인(DCF) 분석은 주가를 현재 대비 24.5% 낮은 $157로 평가한다. NVDA를 8개 AI/반도체 동종기업과 벤치마킹한 유사기업비교 분석은 주가를 현재 대비 30% 높은 $271로 평가한다. 주가는 내재가치와 상대가치 사이에 정확히 위치하며, 이것이 55/45 혼합 목표주가가 시장 가격 위에 놓이는 이유이다. 투자 논리는 네 가지 축에 기반한다. 즉 비교 불가한 풀스택 플랫폼과 CUDA 해자, 실재하나 이미 반영된 초고속 성장 궤적, 내재가치와 상대가치 관점 간의 대치 국면, 그리고 자본지출 지속성과 고객 집중도가 지배하는 리스크 프로파일이다. 각 축은 아래에서 정량화된다.</w:t>
      </w:r>
    </w:p>
    <w:p>
      <w:pPr>
        <w:spacing w:after="140"/>
      </w:pPr>
      <w:r>
        <w:rPr>
          <w:rFonts w:ascii="맑은 고딕" w:hAnsi="맑은 고딕" w:eastAsia="맑은 고딕"/>
          <w:i w:val="0"/>
          <w:sz w:val="21"/>
        </w:rPr>
        <w:t>첫 번째 축 — 플랫폼 해자는 기술 업계에서 가장 넓으며 계속 확대되고 있다. NVIDIA는 이제 대략 매년 새로운 데이터센터 아키텍처를 출시하며, 각각을 칩이 아닌 완전한 랙 규모 시스템으로 판매한다. 현재의 GB200/GB300 NVL72 폼팩터 기반 Blackwell 및 Blackwell Ultra, 2026년 하반기 양산에 들어가는 Vera Rubin, 그리고 2027년 로드맵에 오른 Rubin Ultra용 144-GPU Kyber 랙이 그것이다. Data Center 매출액은 FY2026에 $193,737M에 달했으며 이는 회사 전체 매출 $215,938M의 약 90%에 해당하고, 네트워킹만으로도 Q1 FY2027에 사상 최대인 $14.8B를 기록해 전년 대비 199% 증가했다. 해자는 어느 단일 칩이 아니라 GPU, Arm 기반 CPU, NVLink 패브릭, 랙, 그리고 거의 모든 AI 개발자가 20년간 학습해 온 CUDA 소프트웨어 스택의 공동 설계이다. 경쟁사들은 소프트웨어 포팅을 지원하고 NVIDIA 수준의 인터커넥트를 넘어서면서 동시에 움직이는 1년 주기를 따라잡아야 한다. 그 결과가 70% 중반대의 총이익률 — FY2026 71.1%, 당사는 이를 FY2028E까지 73.5%로 유지 — 이며, 이는 하드웨어에서는 이례적인 경제성으로 공격적 대차대조표를 뒷받침한다. 이 축이 NVDA가 프리미엄 프랜차이즈 멀티플을 받을 자격이 있는 이유이며, 역설적으로 시장이 이미 거의 완벽한 실행을 가격에 반영한 이유이기도 하다.</w:t>
      </w:r>
    </w:p>
    <w:p>
      <w:pPr>
        <w:spacing w:after="140"/>
      </w:pPr>
      <w:r>
        <w:rPr>
          <w:rFonts w:ascii="맑은 고딕" w:hAnsi="맑은 고딕" w:eastAsia="맑은 고딕"/>
          <w:i w:val="0"/>
          <w:sz w:val="21"/>
        </w:rPr>
        <w:t>두 번째 축 — 성장은 비범하나 시장은 이를 선반영해 자본화했다. 당사의 기본 시나리오는 매출액이 5년간 약 29% CAGR로 복리 성장하여 FY2026의 $215,938M에서 FY2031E의 $769,473M에 이르는 것으로 전제하며, 전년 대비 성장률은 대수의 법칙이 작용함에 따라 FY2027E +72%, FY2028E +33%, FY2029E +21%, FY2030E +15%, FY2031E +12%로 나타난다. 희석 EPS는 전망 기간에 걸쳐 대략 세 배로 늘어 FY2026 $4.90에서 FY2027E $7.66, FY2031E $15.7에 이르고, 잉여현금흐름(FCF)은 $96,669M에서 $376,254M로 확대된다. 이는 보수적인 수치가 아니다. FY2027E 매출액 $370,576M은 Q1 FY2027 실적 $75.2B에 회사 전체 매출 약 $91B를 함의하는 Q2 가이던스를 더한 것과 부합하는, Data Center +78% 성장을 함의한다. 그럼에도 정확히 이 흐름을 10.9% WACC로 할인한 DCF는 주당 $157에 불과하다. 여기서 얻는 교훈은, 약 $5.1조 시가총액에서는 약 29%의 5년 복리 성장 경로조차 이미 주가에 반영되어 있다는 점이다. 성장은 프랜차이즈를 10년에 걸쳐 보유할 이유이지, 그 자체로 $207에서 추가 매수할 이유는 아니다.</w:t>
      </w:r>
    </w:p>
    <w:p>
      <w:pPr>
        <w:spacing w:after="140"/>
      </w:pPr>
      <w:r>
        <w:rPr>
          <w:rFonts w:ascii="맑은 고딕" w:hAnsi="맑은 고딕" w:eastAsia="맑은 고딕"/>
          <w:i w:val="0"/>
          <w:sz w:val="21"/>
        </w:rPr>
        <w:t>세 번째 축 — 밸류에이션 대치 국면이 곧 투자 논리이다. 내재가치 기준으로 NVDA는 완벽에 맞춰져 있다. 기본 DCF는 시장 대비 24.5% 낮게 도달하며, 주가가 $207 근방에서 정당화되는 것은 당사 기본값 10.9%가 아닌 대략 9% 이하의 WACC에서만이다. 상대가치 기준으로 NVDA는 비싼 집단 내에서 저렴한 종목이다. NTM EV/EBITDA 22.3배와 선행 P/E 27.1배에 거래되어 우월한 성장성과 마진에도 불구하고 동종기업 중앙값 31.4배 및 32.6배를 하회하며, 중앙값 멀티플 기준 약 $271을 함의한다. 두 진술은 동시에 참이다. 내재가치 관점은 주가의 절대 수준이 시장이 유지하지 못할 수도 있는 할인율을 요구한다고 말하고, 상대가치 관점은 AI/반도체 그룹 내에서 NVDA가 과열이 자리한 곳이 아니라고 말한다. 당사는 DCF에 55% 가중치를 부여하는데, 이는 보고 실적에 연동된 투명한 상향식 전망이기 때문이나, 기업가치의 75.7%가 영구가치에 놓여 WACC와 영구성장률 조합에 구조적으로 취약하므로 지배적 가중치 이하로 제한한다. 당사는 유사기업비교에 45%를 부여하는데, 동종 집단이 직접적으로 관련되기 때문이나, 그룹 전체가 고평가되어 있고 NVIDIA의 훨씬 큰 EBITDA 기반에 규모 할인이 적용되므로 절반 이하로 유지한다. 이를 조정하면 두 관점은 상쇄되며 주가는 적정 가치 수준이다.</w:t>
      </w:r>
    </w:p>
    <w:p>
      <w:pPr>
        <w:spacing w:after="140"/>
      </w:pPr>
      <w:r>
        <w:rPr>
          <w:rFonts w:ascii="맑은 고딕" w:hAnsi="맑은 고딕" w:eastAsia="맑은 고딕"/>
          <w:i w:val="0"/>
          <w:sz w:val="21"/>
        </w:rPr>
        <w:t>네 번째 축 — 리스크 프로파일은 집중되어 있고 자본지출에 의존적이며, 이는 양방향 모두에서 위험/보상 비대칭성을 제한한다. 직접 고객 3사가 Q1 FY2027 매출액의 54%(21%/17%/16%)를 차지했고, 간접 최종 수요는 5~6개 하이퍼스케일러와 2개 모델 연구소에 집중되어 있으며, 이들의 2026년 합산 자본지출 약 $725B는 전년 대비 +77% 성장하여 이를 정당화해야 할 AI 매출보다 훨씬 빠르게 늘고 있다. 그 격차가 핵심적 매크로 논쟁이다. BofA 펀드매니저 서베이의 48%가 AI 자본지출 지속성 또는 관련 신용 이벤트를 최대 시스템 리스크로 지목한다. 그 위에 겹쳐진 것들로는, 맞춤형 ASIC(Google TPU, AWS Trainium, Broadcom 설계 가속기)이 이제 다수 워크로드이자 2026년 서버 출하량의 약 28%를 차지하는 표준화된 추론을 잠식함에 따른 구조적 점유율 상실 리스크, 데이터센터 컴퓨팅 매출을 0으로 가정한 가이던스에 따른 약 $50B 규모 중국 시장의 봉쇄, 후계자가 지명되지 않은 63세 창업자 겸 CEO에 대한 핵심 인물 의존, 그리고 대만/TSMC 공급 집중이 있다. 이들 중 오늘날 급박한 것은 없으며 약 $1조 규모의 Blackwell/Rubin 수주 잔고는 실질적 완충이나, 이들을 종합하면 하방 꼬리가 충분히 두꺼워 당사는 상방을 위해 내재가치를 상회하는 값을 지불하지 않을 것이다.</w:t>
      </w:r>
    </w:p>
    <w:p>
      <w:pPr>
        <w:spacing w:after="140"/>
      </w:pPr>
      <w:r>
        <w:rPr>
          <w:rFonts w:ascii="맑은 고딕" w:hAnsi="맑은 고딕" w:eastAsia="맑은 고딕"/>
          <w:i w:val="0"/>
          <w:sz w:val="21"/>
        </w:rPr>
        <w:t>네 축을 상쇄하면 NVIDIA는 적정 가격에 거래되는 최상급 프랜차이즈이다. 당사는 WACC가 약 9% 방향으로 지속적으로 재평가되거나, 하이퍼스케일러 및 국가 주도 자본지출이 소화되기보다 FY2028~29까지 지속됨이 확인되거나, 현재 0으로 반영된 중국 재개방이 이루어질 경우 매수자로 전환할 것이다. 당사는 자본지출 소화 신호, 표본 외(out-of-sample) 매출 또는 수주 감속 — 특히 ASIC 추론 이전에 의한 경우 — 또는 총이익률이 70% 초반 아래로 붕괴할 경우 매도자로 전환할 것이다. 이러한 트리거 중 하나가 없다면, $207에서의 균형 잡힌 구도는 기존 포지션을 보유하고 시장에서 가장 붐비는 롱 포지션을 추격하기보다 더 명확한 진입점을 기다릴 것을 지지한다.</w:t>
      </w:r>
    </w:p>
    <w:p>
      <w:pPr>
        <w:jc w:val="center"/>
      </w:pPr>
      <w:r>
        <w:drawing>
          <wp:inline xmlns:a="http://schemas.openxmlformats.org/drawingml/2006/main" xmlns:pic="http://schemas.openxmlformats.org/drawingml/2006/picture">
            <wp:extent cx="5303520" cy="2744243"/>
            <wp:docPr id="2" name="Picture 2"/>
            <wp:cNvGraphicFramePr>
              <a:graphicFrameLocks noChangeAspect="1"/>
            </wp:cNvGraphicFramePr>
            <a:graphic>
              <a:graphicData uri="http://schemas.openxmlformats.org/drawingml/2006/picture">
                <pic:pic>
                  <pic:nvPicPr>
                    <pic:cNvPr id="0" name="chart_05_company_overview.png"/>
                    <pic:cNvPicPr/>
                  </pic:nvPicPr>
                  <pic:blipFill>
                    <a:blip r:embed="rId10"/>
                    <a:stretch>
                      <a:fillRect/>
                    </a:stretch>
                  </pic:blipFill>
                  <pic:spPr>
                    <a:xfrm>
                      <a:off x="0" y="0"/>
                      <a:ext cx="5303520" cy="2744243"/>
                    </a:xfrm>
                    <a:prstGeom prst="rect"/>
                  </pic:spPr>
                </pic:pic>
              </a:graphicData>
            </a:graphic>
          </wp:inline>
        </w:drawing>
      </w:r>
    </w:p>
    <w:p>
      <w:pPr>
        <w:spacing w:after="200"/>
      </w:pPr>
      <w:r>
        <w:rPr>
          <w:rFonts w:ascii="맑은 고딕" w:hAnsi="맑은 고딕" w:eastAsia="맑은 고딕"/>
          <w:i/>
          <w:color w:val="595959"/>
          <w:sz w:val="16"/>
        </w:rPr>
        <w:t>그림 5 — 매출·EPS 개요. 자료: 모델(Task 2).</w:t>
      </w:r>
    </w:p>
    <w:p>
      <w:pPr>
        <w:spacing w:before="240" w:after="80"/>
        <w:pBdr>
          <w:bottom w:val="single" w:sz="6" w:space="2" w:color="1F3864"/>
        </w:pBdr>
      </w:pPr>
      <w:r>
        <w:rPr>
          <w:rFonts w:ascii="맑은 고딕" w:hAnsi="맑은 고딕" w:eastAsia="맑은 고딕"/>
          <w:b/>
          <w:color w:val="1F3864"/>
          <w:sz w:val="30"/>
        </w:rPr>
        <w:t>리스크 평가</w:t>
      </w:r>
    </w:p>
    <w:p>
      <w:pPr>
        <w:spacing w:before="160" w:after="80"/>
      </w:pPr>
      <w:r>
        <w:rPr>
          <w:rFonts w:ascii="맑은 고딕" w:hAnsi="맑은 고딕" w:eastAsia="맑은 고딕"/>
          <w:b/>
          <w:color w:val="1A1A1A"/>
          <w:sz w:val="22"/>
        </w:rPr>
        <w:t>기업 고유 리스크</w:t>
      </w:r>
    </w:p>
    <w:p>
      <w:pPr>
        <w:spacing w:after="120"/>
      </w:pPr>
      <w:r>
        <w:rPr>
          <w:rFonts w:ascii="맑은 고딕" w:hAnsi="맑은 고딕" w:eastAsia="맑은 고딕"/>
          <w:b/>
          <w:i w:val="0"/>
          <w:sz w:val="21"/>
        </w:rPr>
        <w:t>1. 고객 집중도.</w:t>
      </w:r>
      <w:r>
        <w:rPr>
          <w:rFonts w:ascii="맑은 고딕" w:hAnsi="맑은 고딕" w:eastAsia="맑은 고딕"/>
          <w:i w:val="0"/>
          <w:sz w:val="21"/>
        </w:rPr>
        <w:t xml:space="preserve"> 세 직접 고객이 FY2027 1분기 매출의 21%, 17%, 16%(합산 54%)를 차지했고; 간접 최종 수요는 5–6개 하이퍼스케일러와 두 개 모델 랩에 집중되어 있다. 단일 대형 고객이 — 예산, 실리콘 다변화, 또는 모델 경제성 이유로 — 주문을 중단하면 연결 실적이 크게 움직일 것이다. *완화 요인*: 소버린/엔터프라이즈 다변화, 약 $1조 주문 가시성, 그리고 네오클라우드 계층의 폭 [NVIDIA 10-Q, 2026].</w:t>
      </w:r>
    </w:p>
    <w:p>
      <w:pPr>
        <w:spacing w:after="120"/>
      </w:pPr>
      <w:r>
        <w:rPr>
          <w:rFonts w:ascii="맑은 고딕" w:hAnsi="맑은 고딕" w:eastAsia="맑은 고딕"/>
          <w:b/>
          <w:i w:val="0"/>
          <w:sz w:val="21"/>
        </w:rPr>
        <w:t>2. Jensen Huang에 대한 핵심 인물 의존.</w:t>
      </w:r>
      <w:r>
        <w:rPr>
          <w:rFonts w:ascii="맑은 고딕" w:hAnsi="맑은 고딕" w:eastAsia="맑은 고딕"/>
          <w:i w:val="0"/>
          <w:sz w:val="21"/>
        </w:rPr>
        <w:t xml:space="preserve"> 전략, 공급망 선점, 수요 전도, 지정학적 협상이 모두 후계자를 발표하지 않은 63세 창업자 겸 CEO 한 명을 통한다. 그의 이탈은 상상 가능한 최대의 단일 인물 시가총액 이벤트 중 하나가 될 것이다. *완화 요인*: 두터운 기술 벤치(다만 Jay Puri의 은퇴가 GTM 리더십을 얇게 함), 제도화된 주기, 승계에 대한 이사회의 주의.</w:t>
      </w:r>
    </w:p>
    <w:p>
      <w:pPr>
        <w:spacing w:after="120"/>
      </w:pPr>
      <w:r>
        <w:rPr>
          <w:rFonts w:ascii="맑은 고딕" w:hAnsi="맑은 고딕" w:eastAsia="맑은 고딕"/>
          <w:b/>
          <w:i w:val="0"/>
          <w:sz w:val="21"/>
        </w:rPr>
        <w:t>3. 제품 주기 실행.</w:t>
      </w:r>
      <w:r>
        <w:rPr>
          <w:rFonts w:ascii="맑은 고딕" w:hAnsi="맑은 고딕" w:eastAsia="맑은 고딕"/>
          <w:i w:val="0"/>
          <w:sz w:val="21"/>
        </w:rPr>
        <w:t xml:space="preserve"> 1년 리듬(Blackwell→Rubin→Rubin Ultra/Kyber→Feynman)은 여유를 남기지 않는다: Rubin/HBM4 또는 Kyber(120 kW 랙, NVLink 7)의 지연은 AMD의 MI450/Helios와 하이퍼스케일러 ASIC에게 첫 깨끗한 기회를 넘겨줄 것이다. *완화 요인*: Rubin은 CES 2026에서 완전 양산으로 보고됨; Blackwell의 2024년 패키징 문제는 수 분기 내에 해결됨.</w:t>
      </w:r>
    </w:p>
    <w:p>
      <w:pPr>
        <w:spacing w:after="120"/>
      </w:pPr>
      <w:r>
        <w:rPr>
          <w:rFonts w:ascii="맑은 고딕" w:hAnsi="맑은 고딕" w:eastAsia="맑은 고딕"/>
          <w:b/>
          <w:i w:val="0"/>
          <w:sz w:val="21"/>
        </w:rPr>
        <w:t>4. 중국 봉쇄와 정책 급변.</w:t>
      </w:r>
      <w:r>
        <w:rPr>
          <w:rFonts w:ascii="맑은 고딕" w:hAnsi="맑은 고딕" w:eastAsia="맑은 고딕"/>
          <w:i w:val="0"/>
          <w:sz w:val="21"/>
        </w:rPr>
        <w:t xml:space="preserve"> NVIDIA는 약 $50B 시장에서 "사실상 배제"되었으며; 가이던스는 중국 데이터센터 컴퓨팅 매출을 0으로 가정한다. 리스크는 양방향이다: 영구적 손실은 규모를 Huawei에 넘기고 글로벌 경쟁자에 씨앗을 뿌릴 수 있으며; 갑작스러운 B30A 승인은 기대치를 급변시키고 새로운 중국 맞대응 제한을 부를 수 있다. 15% 매출 배분 선례 또한 NVIDIA의 수출 경제성을 정치화한다 [NVIDIA 10-K FY2026; CNBC, 2026-02-26].</w:t>
      </w:r>
    </w:p>
    <w:p>
      <w:pPr>
        <w:spacing w:before="160" w:after="80"/>
      </w:pPr>
      <w:r>
        <w:rPr>
          <w:rFonts w:ascii="맑은 고딕" w:hAnsi="맑은 고딕" w:eastAsia="맑은 고딕"/>
          <w:b/>
          <w:color w:val="1A1A1A"/>
          <w:sz w:val="22"/>
        </w:rPr>
        <w:t>산업 / 시장 리스크</w:t>
      </w:r>
    </w:p>
    <w:p>
      <w:pPr>
        <w:spacing w:after="120"/>
      </w:pPr>
      <w:r>
        <w:rPr>
          <w:rFonts w:ascii="맑은 고딕" w:hAnsi="맑은 고딕" w:eastAsia="맑은 고딕"/>
          <w:b/>
          <w:i w:val="0"/>
          <w:sz w:val="21"/>
        </w:rPr>
        <w:t>5. 추론에서의 ASIC 경쟁.</w:t>
      </w:r>
      <w:r>
        <w:rPr>
          <w:rFonts w:ascii="맑은 고딕" w:hAnsi="맑은 고딕" w:eastAsia="맑은 고딕"/>
          <w:i w:val="0"/>
          <w:sz w:val="21"/>
        </w:rPr>
        <w:t xml:space="preserve"> 추론은 이제 다수 워크로드이자 가장 비용에 민감하며; TPU v7, Trainium 3(약 40–50% 비용 우위 주장), Maia 200, MTIA가 모두 이를 겨냥하고, ASIC 서버는 2026년 출하량의 약 28%다. 표준화된 추론이 GPU에서 이탈하는 것이 가장 개연성 있는 구조적 점유율 손실 벡터다. *완화 요인*: Rubin의 주장된 10배 토큰 비용 절감, Groq LPU 인수, CUDA 배치 관성.</w:t>
      </w:r>
    </w:p>
    <w:p>
      <w:pPr>
        <w:spacing w:after="120"/>
      </w:pPr>
      <w:r>
        <w:rPr>
          <w:rFonts w:ascii="맑은 고딕" w:hAnsi="맑은 고딕" w:eastAsia="맑은 고딕"/>
          <w:b/>
          <w:i w:val="0"/>
          <w:sz w:val="21"/>
        </w:rPr>
        <w:t>6. 자본지출 사이클 지속가능성.</w:t>
      </w:r>
      <w:r>
        <w:rPr>
          <w:rFonts w:ascii="맑은 고딕" w:hAnsi="맑은 고딕" w:eastAsia="맑은 고딕"/>
          <w:i w:val="0"/>
          <w:sz w:val="21"/>
        </w:rPr>
        <w:t xml:space="preserve"> 2026년의 약 $725B 4대 자본지출(+77%)은 AI 매출보다 훨씬 빠르게 성장하고 있다; AI 수익화가 실망스러우면 2027–28년 예산이 정체되거나 삭감되어 NVIDIA의 성장을 급격히 압축할 수 있다(반도체는 역사적으로 양방향으로 과잉 반응한다). *완화 요인*: 다년 약정 프로그램, ROI 규율에 덜 얽매인 소버린 수요, 프론티어 랩의 지속되는 컴퓨팅 희소성.</w:t>
      </w:r>
    </w:p>
    <w:p>
      <w:pPr>
        <w:spacing w:after="120"/>
      </w:pPr>
      <w:r>
        <w:rPr>
          <w:rFonts w:ascii="맑은 고딕" w:hAnsi="맑은 고딕" w:eastAsia="맑은 고딕"/>
          <w:b/>
          <w:i w:val="0"/>
          <w:sz w:val="21"/>
        </w:rPr>
        <w:t>7. AI 자본지출 신용 사건 / 순환 금융.</w:t>
      </w:r>
      <w:r>
        <w:rPr>
          <w:rFonts w:ascii="맑은 고딕" w:hAnsi="맑은 고딕" w:eastAsia="맑은 고딕"/>
          <w:i w:val="0"/>
          <w:sz w:val="21"/>
        </w:rPr>
        <w:t xml:space="preserve"> 갈수록 큰 몫의 수요가 부채로 조달되고(네오클라우드, Oracle, 모델 랩) 부분적으로 NVIDIA가 자금을 댄다(OpenAI 최대 $100B, Anthropic $10B, CoreWeave 약정, NVIDIA 클라우드 서비스 약정 $30B). 대형 AI 차입자의 자금 조달 실패는 주문을 삭감하고, NVIDIA의 투자를 손상시키며, 금융 사슬을 동결시킬 수 있다 — 2026년 중반 시장 논평이 지적한 시스템적 꼬리 리스크다 [Forbes, 2026-06-02; Introl, 2026].</w:t>
      </w:r>
    </w:p>
    <w:p>
      <w:pPr>
        <w:spacing w:before="160" w:after="80"/>
      </w:pPr>
      <w:r>
        <w:rPr>
          <w:rFonts w:ascii="맑은 고딕" w:hAnsi="맑은 고딕" w:eastAsia="맑은 고딕"/>
          <w:b/>
          <w:color w:val="1A1A1A"/>
          <w:sz w:val="22"/>
        </w:rPr>
        <w:t>재무 리스크</w:t>
      </w:r>
    </w:p>
    <w:p>
      <w:pPr>
        <w:spacing w:after="120"/>
      </w:pPr>
      <w:r>
        <w:rPr>
          <w:rFonts w:ascii="맑은 고딕" w:hAnsi="맑은 고딕" w:eastAsia="맑은 고딕"/>
          <w:b/>
          <w:i w:val="0"/>
          <w:sz w:val="21"/>
        </w:rPr>
        <w:t>8. 마진 지속가능성.</w:t>
      </w:r>
      <w:r>
        <w:rPr>
          <w:rFonts w:ascii="맑은 고딕" w:hAnsi="맑은 고딕" w:eastAsia="맑은 고딕"/>
          <w:i w:val="0"/>
          <w:sz w:val="21"/>
        </w:rPr>
        <w:t xml:space="preserve"> 70%대 중반 매출총이익률은 독점 경제성을 반영하는데, 그동안 HBM/메모리 비용이 인플레이션("memflation")하고 신뢰할 만한 제2 공급원이 램프업한다; 역사상 모든 반도체 가격 우산은 결국 이를 압축할 만큼의 진입을 불렀다. *완화 요인*: 시스템/소프트웨어 믹스 전환, 가격-성능을 재설정하는 1년 주기, 네트워킹 부가.</w:t>
      </w:r>
    </w:p>
    <w:p>
      <w:pPr>
        <w:spacing w:after="120"/>
      </w:pPr>
      <w:r>
        <w:rPr>
          <w:rFonts w:ascii="맑은 고딕" w:hAnsi="맑은 고딕" w:eastAsia="맑은 고딕"/>
          <w:b/>
          <w:i w:val="0"/>
          <w:sz w:val="21"/>
        </w:rPr>
        <w:t>9. 재고 및 구매 약정.</w:t>
      </w:r>
      <w:r>
        <w:rPr>
          <w:rFonts w:ascii="맑은 고딕" w:hAnsi="맑은 고딕" w:eastAsia="맑은 고딕"/>
          <w:i w:val="0"/>
          <w:sz w:val="21"/>
        </w:rPr>
        <w:t xml:space="preserve"> $119B의 제조/공급 약정($95B은 FY2027 내 지급) 여기에 $30B 클라우드와 $6B 벤더 약정 — 총 약 $155B — 이 변곡될 수 있는 수요에 맞서 있다. 2018년 암호화폐형 또는 2025년 H20형 수요 충격은 수십억 달러 규모의 상각을 촉발할 것이다; H20 사건만으로도 $4.5B이 들었다. *완화 요인*: 주문 백로그가 약정을 초과한다는 보도; 지금까지의 상각이 마진 체제 변화 없이 흡수됨 [NVIDIA 10-Q, 2026년 4월].</w:t>
      </w:r>
    </w:p>
    <w:p>
      <w:pPr>
        <w:spacing w:before="160" w:after="80"/>
      </w:pPr>
      <w:r>
        <w:rPr>
          <w:rFonts w:ascii="맑은 고딕" w:hAnsi="맑은 고딕" w:eastAsia="맑은 고딕"/>
          <w:b/>
          <w:color w:val="1A1A1A"/>
          <w:sz w:val="22"/>
        </w:rPr>
        <w:t>거시 리스크</w:t>
      </w:r>
    </w:p>
    <w:p>
      <w:pPr>
        <w:spacing w:after="120"/>
      </w:pPr>
      <w:r>
        <w:rPr>
          <w:rFonts w:ascii="맑은 고딕" w:hAnsi="맑은 고딕" w:eastAsia="맑은 고딕"/>
          <w:b/>
          <w:i w:val="0"/>
          <w:sz w:val="21"/>
        </w:rPr>
        <w:t>10. 금리와 AI 주식 밸류에이션.</w:t>
      </w:r>
      <w:r>
        <w:rPr>
          <w:rFonts w:ascii="맑은 고딕" w:hAnsi="맑은 고딕" w:eastAsia="맑은 고딕"/>
          <w:i w:val="0"/>
          <w:sz w:val="21"/>
        </w:rPr>
        <w:t xml:space="preserve"> 시가총액 약 $5.1조와 초고속 성장 추정치에 대한 약 25배 선행 이익 배수로, NVDA는 지수의 최대 단일 듀레이션·심리 익스포저다; 더 오래 지속되는 고금리 또는 AI 심리 붕괴는 펀더멘털과 무관하게 배수를 하향 재평가하고 NVIDIA의 부채 의존 고객에 대한 금융을 조인다.</w:t>
      </w:r>
    </w:p>
    <w:p>
      <w:pPr>
        <w:spacing w:after="120"/>
      </w:pPr>
      <w:r>
        <w:rPr>
          <w:rFonts w:ascii="맑은 고딕" w:hAnsi="맑은 고딕" w:eastAsia="맑은 고딕"/>
          <w:b/>
          <w:i w:val="0"/>
          <w:sz w:val="21"/>
        </w:rPr>
        <w:t>11. 대만 / 지정학적 집중.</w:t>
      </w:r>
      <w:r>
        <w:rPr>
          <w:rFonts w:ascii="맑은 고딕" w:hAnsi="맑은 고딕" w:eastAsia="맑은 고딕"/>
          <w:i w:val="0"/>
          <w:sz w:val="21"/>
        </w:rPr>
        <w:t xml:space="preserve"> 사실상 모든 선단 NVIDIA 실리콘은 TSMC에 의해 주로 대만에서 제조되며, CoWoS 패키징도 유사하게 집중되어 있다; 대만 해협 분쟁이나 봉쇄는 근시일 내 대체재가 없는 실존적 공급 충격이다. *완화 요인*: TSMC Arizona 램프(Blackwell 웨이퍼가 이제 미국에서 생산됨), 다년 전략 재고, 그러나 풀스택 복제는 여전히 수년 뒤의 일이다.</w:t>
      </w:r>
    </w:p>
    <w:p>
      <w:pPr>
        <w:spacing w:after="120"/>
      </w:pPr>
      <w:r>
        <w:rPr>
          <w:rFonts w:ascii="맑은 고딕" w:hAnsi="맑은 고딕" w:eastAsia="맑은 고딕"/>
          <w:b/>
          <w:i w:val="0"/>
          <w:sz w:val="21"/>
        </w:rPr>
        <w:t>12. 환율 및 글로벌 수요 전이.</w:t>
      </w:r>
      <w:r>
        <w:rPr>
          <w:rFonts w:ascii="맑은 고딕" w:hAnsi="맑은 고딕" w:eastAsia="맑은 고딕"/>
          <w:i w:val="0"/>
          <w:sz w:val="21"/>
        </w:rPr>
        <w:t xml:space="preserve"> 매출의 약 30%가 비미국 본사 고객에서 나오고 소버린 거래가 현지 예산 대비로 표시되므로, 강달러, 유가 하락발 걸프 예산 삭감, 또는 일본의 재정 긴축은 소버린 AI 파이프라인을 축소할 것이다; USD 강세는 또한 해외의 실효 가격을 높인다. *완화 요인*: 현재 수요가 공급 제약 상태여서 가격에 여유가 있다.</w:t>
      </w:r>
    </w:p>
    <w:p>
      <w:pPr>
        <w:spacing w:after="120"/>
      </w:pPr>
      <w:r>
        <w:rPr>
          <w:rFonts w:ascii="맑은 고딕" w:hAnsi="맑은 고딕" w:eastAsia="맑은 고딕"/>
          <w:i w:val="0"/>
          <w:sz w:val="21"/>
        </w:rPr>
        <w:t>---</w:t>
      </w:r>
    </w:p>
    <w:p>
      <w:r>
        <w:br w:type="page"/>
      </w:r>
    </w:p>
    <w:p>
      <w:pPr>
        <w:spacing w:before="240" w:after="80"/>
        <w:pBdr>
          <w:bottom w:val="single" w:sz="6" w:space="2" w:color="1F3864"/>
        </w:pBdr>
      </w:pPr>
      <w:r>
        <w:rPr>
          <w:rFonts w:ascii="맑은 고딕" w:hAnsi="맑은 고딕" w:eastAsia="맑은 고딕"/>
          <w:b/>
          <w:color w:val="1F3864"/>
          <w:sz w:val="30"/>
        </w:rPr>
        <w:t>회사 개요</w:t>
      </w:r>
    </w:p>
    <w:p>
      <w:pPr>
        <w:spacing w:after="120"/>
      </w:pPr>
      <w:r>
        <w:rPr>
          <w:rFonts w:ascii="맑은 고딕" w:hAnsi="맑은 고딕" w:eastAsia="맑은 고딕"/>
          <w:i w:val="0"/>
          <w:sz w:val="21"/>
        </w:rPr>
        <w:t>NVIDIA Corporation (NASDAQ: NVDA)은 인공지능의 학습과 배포를 구동하는 가속 컴퓨팅 플랫폼 — 그래픽 처리 장치(GPU), 네트워킹 장비, 시스템, 소프트웨어 — 의 세계 지배적 공급업체다. 쉽게 말해, Microsoft, OpenAI, Meta 또는 어느 국가 정부가 "AI 팩토리" — 웹 페이지가 아니라 지능을 산출물로 하는 데이터센터 — 를 구축하고자 할 때, NVIDIA는 그 내부에 들어가는 대부분을 판매한다. 연산을 수행하는 칩, 수만 개의 칩이 하나의 컴퓨터처럼 작동하게 하는 스위치와 케이블, 그것들이 장착되는 랙, 그리고 지구상 거의 모든 AI 개발자가 사용하도록 훈련받은 소프트웨어 계층(CUDA)이다. 1993년 PC 게임용 3D 그래픽 칩 제조사로 설립된 NVIDIA는 30여 년에 걸쳐 AI 시대의 핵심 인프라 공급자로 탈바꿈했으며, 오늘날 약 $5.1조의 시가총액(2026-07-16 종가 $207.40 기준)으로 세계에서 가장 가치 있는 상장 기업으로 자리 잡았다.</w:t>
      </w:r>
    </w:p>
    <w:p>
      <w:pPr>
        <w:spacing w:before="160" w:after="80"/>
      </w:pPr>
      <w:r>
        <w:rPr>
          <w:rFonts w:ascii="맑은 고딕" w:hAnsi="맑은 고딕" w:eastAsia="맑은 고딕"/>
          <w:b/>
          <w:color w:val="1A1A1A"/>
          <w:sz w:val="22"/>
        </w:rPr>
        <w:t>사업 모델 및 매출 구성</w:t>
      </w:r>
    </w:p>
    <w:p>
      <w:pPr>
        <w:spacing w:after="120"/>
      </w:pPr>
      <w:r>
        <w:rPr>
          <w:rFonts w:ascii="맑은 고딕" w:hAnsi="맑은 고딕" w:eastAsia="맑은 고딕"/>
          <w:i w:val="0"/>
          <w:sz w:val="21"/>
        </w:rPr>
        <w:t>NVIDIA는 "팹리스(fabless)" 반도체·시스템 기업이다. 칩과 시스템을 설계하되 제조는 외주로 돌리며, 주로 Taiwan Semiconductor Manufacturing Company (TSMC)에, 메모리는 SK hynix, Samsung, Micron에 맡긴다. 두 개의 사업 부문 — Compute &amp; Networking과 Graphics — 을 보고하지만, 매출은 다섯 개 최종 시장에 걸쳐 공시한다.</w:t>
      </w:r>
    </w:p>
    <w:p>
      <w:pPr>
        <w:pStyle w:val="ListBullet"/>
        <w:spacing w:after="60"/>
      </w:pPr>
      <w:r>
        <w:rPr>
          <w:rFonts w:ascii="맑은 고딕" w:hAnsi="맑은 고딕" w:eastAsia="맑은 고딕"/>
          <w:b/>
          <w:sz w:val="21"/>
        </w:rPr>
        <w:t>Data Center</w:t>
      </w:r>
      <w:r>
        <w:rPr>
          <w:rFonts w:ascii="맑은 고딕" w:hAnsi="맑은 고딕" w:eastAsia="맑은 고딕"/>
          <w:sz w:val="21"/>
        </w:rPr>
        <w:t xml:space="preserve"> — 사업의 압도적 핵심: GPU 컴퓨팅 플랫폼(Blackwell, 그리고 이제 Rubin), 네트워킹(NVLink, InfiniBand, Spectrum-X Ethernet), 그리고 클라우드 사업자, 소비자 인터넷 기업, 엔터프라이즈, 정부에 판매되는 완전한 랙 규모 시스템. Data Center 매출은 </w:t>
      </w:r>
      <w:r>
        <w:rPr>
          <w:rFonts w:ascii="맑은 고딕" w:hAnsi="맑은 고딕" w:eastAsia="맑은 고딕"/>
          <w:b/>
          <w:sz w:val="21"/>
        </w:rPr>
        <w:t>2026 회계연도(2026-01-25 종료)에 $193.7B</w:t>
      </w:r>
      <w:r>
        <w:rPr>
          <w:rFonts w:ascii="맑은 고딕" w:hAnsi="맑은 고딕" w:eastAsia="맑은 고딕"/>
          <w:sz w:val="21"/>
        </w:rPr>
        <w:t xml:space="preserve">로 전년 대비 68% 증가했으며, 이는 총매출의 약 </w:t>
      </w:r>
      <w:r>
        <w:rPr>
          <w:rFonts w:ascii="맑은 고딕" w:hAnsi="맑은 고딕" w:eastAsia="맑은 고딕"/>
          <w:b/>
          <w:sz w:val="21"/>
        </w:rPr>
        <w:t>90%</w:t>
      </w:r>
      <w:r>
        <w:rPr>
          <w:rFonts w:ascii="맑은 고딕" w:hAnsi="맑은 고딕" w:eastAsia="맑은 고딕"/>
          <w:sz w:val="21"/>
        </w:rPr>
        <w:t xml:space="preserve">에 해당한다 [NVIDIA Q4 FY2026 보도자료, 2026년 2월]. FY2027 1분기(2026-04-26 종료 분기)에 Data Center 매출은 </w:t>
      </w:r>
      <w:r>
        <w:rPr>
          <w:rFonts w:ascii="맑은 고딕" w:hAnsi="맑은 고딕" w:eastAsia="맑은 고딕"/>
          <w:b/>
          <w:sz w:val="21"/>
        </w:rPr>
        <w:t>$75.2B, 전년 대비 92% 증가</w:t>
      </w:r>
      <w:r>
        <w:rPr>
          <w:rFonts w:ascii="맑은 고딕" w:hAnsi="맑은 고딕" w:eastAsia="맑은 고딕"/>
          <w:sz w:val="21"/>
        </w:rPr>
        <w:t xml:space="preserve">에 달했으며, 이 중 네트워킹만으로도 사상 최대인 </w:t>
      </w:r>
      <w:r>
        <w:rPr>
          <w:rFonts w:ascii="맑은 고딕" w:hAnsi="맑은 고딕" w:eastAsia="맑은 고딕"/>
          <w:b/>
          <w:sz w:val="21"/>
        </w:rPr>
        <w:t>$14.8B, 전년 대비 199% 증가</w:t>
      </w:r>
      <w:r>
        <w:rPr>
          <w:rFonts w:ascii="맑은 고딕" w:hAnsi="맑은 고딕" w:eastAsia="맑은 고딕"/>
          <w:sz w:val="21"/>
        </w:rPr>
        <w:t>를 기록했다 [NVIDIA Q1 FY2027 보도자료, 2026년 5월].</w:t>
      </w:r>
    </w:p>
    <w:p>
      <w:pPr>
        <w:pStyle w:val="ListBullet"/>
        <w:spacing w:after="60"/>
      </w:pPr>
      <w:r>
        <w:rPr>
          <w:rFonts w:ascii="맑은 고딕" w:hAnsi="맑은 고딕" w:eastAsia="맑은 고딕"/>
          <w:b/>
          <w:sz w:val="21"/>
        </w:rPr>
        <w:t>Gaming</w:t>
      </w:r>
      <w:r>
        <w:rPr>
          <w:rFonts w:ascii="맑은 고딕" w:hAnsi="맑은 고딕" w:eastAsia="맑은 고딕"/>
          <w:sz w:val="21"/>
        </w:rPr>
        <w:t xml:space="preserve"> — PC 게이머를 위한 GeForce RTX GPU, 회사의 원조 프랜차이즈: RTX 50 시리즈(Blackwell 아키텍처) 출시 사이클에 힘입어 </w:t>
      </w:r>
      <w:r>
        <w:rPr>
          <w:rFonts w:ascii="맑은 고딕" w:hAnsi="맑은 고딕" w:eastAsia="맑은 고딕"/>
          <w:b/>
          <w:sz w:val="21"/>
        </w:rPr>
        <w:t>FY2026에 $16.0B, 41% 증가</w:t>
      </w:r>
      <w:r>
        <w:rPr>
          <w:rFonts w:ascii="맑은 고딕" w:hAnsi="맑은 고딕" w:eastAsia="맑은 고딕"/>
          <w:sz w:val="21"/>
        </w:rPr>
        <w:t>.</w:t>
      </w:r>
    </w:p>
    <w:p>
      <w:pPr>
        <w:pStyle w:val="ListBullet"/>
        <w:spacing w:after="60"/>
      </w:pPr>
      <w:r>
        <w:rPr>
          <w:rFonts w:ascii="맑은 고딕" w:hAnsi="맑은 고딕" w:eastAsia="맑은 고딕"/>
          <w:b/>
          <w:sz w:val="21"/>
        </w:rPr>
        <w:t>Professional Visualization</w:t>
      </w:r>
      <w:r>
        <w:rPr>
          <w:rFonts w:ascii="맑은 고딕" w:hAnsi="맑은 고딕" w:eastAsia="맑은 고딕"/>
          <w:sz w:val="21"/>
        </w:rPr>
        <w:t xml:space="preserve"> — 디자이너, 엔지니어, 디지털 트윈 애플리케이션을 위한 RTX 워크스테이션 GPU와 Omniverse 소프트웨어: </w:t>
      </w:r>
      <w:r>
        <w:rPr>
          <w:rFonts w:ascii="맑은 고딕" w:hAnsi="맑은 고딕" w:eastAsia="맑은 고딕"/>
          <w:b/>
          <w:sz w:val="21"/>
        </w:rPr>
        <w:t>FY2026에 $3.2B, 70% 증가</w:t>
      </w:r>
      <w:r>
        <w:rPr>
          <w:rFonts w:ascii="맑은 고딕" w:hAnsi="맑은 고딕" w:eastAsia="맑은 고딕"/>
          <w:sz w:val="21"/>
        </w:rPr>
        <w:t>.</w:t>
      </w:r>
    </w:p>
    <w:p>
      <w:pPr>
        <w:pStyle w:val="ListBullet"/>
        <w:spacing w:after="60"/>
      </w:pPr>
      <w:r>
        <w:rPr>
          <w:rFonts w:ascii="맑은 고딕" w:hAnsi="맑은 고딕" w:eastAsia="맑은 고딕"/>
          <w:b/>
          <w:sz w:val="21"/>
        </w:rPr>
        <w:t>Automotive &amp; Robotics</w:t>
      </w:r>
      <w:r>
        <w:rPr>
          <w:rFonts w:ascii="맑은 고딕" w:hAnsi="맑은 고딕" w:eastAsia="맑은 고딕"/>
          <w:sz w:val="21"/>
        </w:rPr>
        <w:t xml:space="preserve"> — DRIVE 자율주행 컴퓨터(현재 DRIVE AGX Thor 출하 중)와 Jetson/IGX 로보틱스 플랫폼: </w:t>
      </w:r>
      <w:r>
        <w:rPr>
          <w:rFonts w:ascii="맑은 고딕" w:hAnsi="맑은 고딕" w:eastAsia="맑은 고딕"/>
          <w:b/>
          <w:sz w:val="21"/>
        </w:rPr>
        <w:t>FY2026에 $2.3B, 39% 증가</w:t>
      </w:r>
      <w:r>
        <w:rPr>
          <w:rFonts w:ascii="맑은 고딕" w:hAnsi="맑은 고딕" w:eastAsia="맑은 고딕"/>
          <w:sz w:val="21"/>
        </w:rPr>
        <w:t>.</w:t>
      </w:r>
    </w:p>
    <w:p>
      <w:pPr>
        <w:pStyle w:val="ListBullet"/>
        <w:spacing w:after="60"/>
      </w:pPr>
      <w:r>
        <w:rPr>
          <w:rFonts w:ascii="맑은 고딕" w:hAnsi="맑은 고딕" w:eastAsia="맑은 고딕"/>
          <w:b/>
          <w:sz w:val="21"/>
        </w:rPr>
        <w:t>OEM &amp; Other</w:t>
      </w:r>
      <w:r>
        <w:rPr>
          <w:rFonts w:ascii="맑은 고딕" w:hAnsi="맑은 고딕" w:eastAsia="맑은 고딕"/>
          <w:sz w:val="21"/>
        </w:rPr>
        <w:t xml:space="preserve"> — 임베디드 및 OEM 판매의 잔여 부문(&lt;$1B).</w:t>
      </w:r>
    </w:p>
    <w:p>
      <w:pPr>
        <w:spacing w:after="120"/>
      </w:pPr>
      <w:r>
        <w:rPr>
          <w:rFonts w:ascii="맑은 고딕" w:hAnsi="맑은 고딕" w:eastAsia="맑은 고딕"/>
          <w:i w:val="0"/>
          <w:sz w:val="21"/>
        </w:rPr>
        <w:t xml:space="preserve">NVIDIA가 갈수록 칩이 아니라 *시스템과 소프트웨어*를 판매하기 때문에, 이 경제 엔진은 하드웨어 기업치고는 이례적으로 높은 수익성을 지닌다. 매출총이익률은 70%대 중반(FY2027 1분기 GAAP 기준 74.9%)이며, FY2026 GAAP 영업이익은 </w:t>
      </w:r>
      <w:r>
        <w:rPr>
          <w:rFonts w:ascii="맑은 고딕" w:hAnsi="맑은 고딕" w:eastAsia="맑은 고딕"/>
          <w:b/>
          <w:i w:val="0"/>
          <w:sz w:val="21"/>
        </w:rPr>
        <w:t>매출 $215.9B에 대해 $130.4B</w:t>
      </w:r>
      <w:r>
        <w:rPr>
          <w:rFonts w:ascii="맑은 고딕" w:hAnsi="맑은 고딕" w:eastAsia="맑은 고딕"/>
          <w:i w:val="0"/>
          <w:sz w:val="21"/>
        </w:rPr>
        <w:t xml:space="preserve"> — 약 60%의 영업이익률 — 였고, 순이익은 </w:t>
      </w:r>
      <w:r>
        <w:rPr>
          <w:rFonts w:ascii="맑은 고딕" w:hAnsi="맑은 고딕" w:eastAsia="맑은 고딕"/>
          <w:b/>
          <w:i w:val="0"/>
          <w:sz w:val="21"/>
        </w:rPr>
        <w:t>$120.1B</w:t>
      </w:r>
      <w:r>
        <w:rPr>
          <w:rFonts w:ascii="맑은 고딕" w:hAnsi="맑은 고딕" w:eastAsia="맑은 고딕"/>
          <w:i w:val="0"/>
          <w:sz w:val="21"/>
        </w:rPr>
        <w:t>였다 [Fortune, 2026-02-25; NVIDIA FY2026 실적]. 수익화 계층에는 하드웨어(GPU, DPU, CPU, 스위치, 완전한 NVL72 랙), 반복 매출 소프트웨어(NVIDIA AI Enterprise, NIM 마이크로서비스, Omniverse 라이선스), 클라우드 서비스(DGX Cloud), 기술 라이선싱이 포함된다.</w:t>
      </w:r>
    </w:p>
    <w:p>
      <w:pPr>
        <w:spacing w:before="160" w:after="80"/>
      </w:pPr>
      <w:r>
        <w:rPr>
          <w:rFonts w:ascii="맑은 고딕" w:hAnsi="맑은 고딕" w:eastAsia="맑은 고딕"/>
          <w:b/>
          <w:color w:val="1A1A1A"/>
          <w:sz w:val="22"/>
        </w:rPr>
        <w:t>규모 및 재무 실적 추이</w:t>
      </w:r>
    </w:p>
    <w:p>
      <w:pPr>
        <w:spacing w:after="120"/>
      </w:pPr>
      <w:r>
        <w:rPr>
          <w:rFonts w:ascii="맑은 고딕" w:hAnsi="맑은 고딕" w:eastAsia="맑은 고딕"/>
          <w:i w:val="0"/>
          <w:sz w:val="21"/>
        </w:rPr>
        <w:t xml:space="preserve">현재의 매출 추이는 역사상 어떤 기업 기준으로 보아도 이례적이다. FY2027 1분기 매출 </w:t>
      </w:r>
      <w:r>
        <w:rPr>
          <w:rFonts w:ascii="맑은 고딕" w:hAnsi="맑은 고딕" w:eastAsia="맑은 고딕"/>
          <w:b/>
          <w:i w:val="0"/>
          <w:sz w:val="21"/>
        </w:rPr>
        <w:t>$81.6B (+85% 전년비, +20% 전분기비)</w:t>
      </w:r>
      <w:r>
        <w:rPr>
          <w:rFonts w:ascii="맑은 고딕" w:hAnsi="맑은 고딕" w:eastAsia="맑은 고딕"/>
          <w:i w:val="0"/>
          <w:sz w:val="21"/>
        </w:rPr>
        <w:t xml:space="preserve">는 연환산 $325B 이상에 해당하며, 경영진은 FY2027 2분기를 </w:t>
      </w:r>
      <w:r>
        <w:rPr>
          <w:rFonts w:ascii="맑은 고딕" w:hAnsi="맑은 고딕" w:eastAsia="맑은 고딕"/>
          <w:b/>
          <w:i w:val="0"/>
          <w:sz w:val="21"/>
        </w:rPr>
        <w:t>$91.0B ±2%</w:t>
      </w:r>
      <w:r>
        <w:rPr>
          <w:rFonts w:ascii="맑은 고딕" w:hAnsi="맑은 고딕" w:eastAsia="맑은 고딕"/>
          <w:i w:val="0"/>
          <w:sz w:val="21"/>
        </w:rPr>
        <w:t xml:space="preserve">로 가이던스를 제시했다 — 이는 2026년 하반기 진입 시점에 약 $360B 이상의 연환산 속도를 시사한다 [NVIDIA Q1 FY2027 보도자료, 2026년 5월]. 1분기 실적과 함께 이사회는 추가로 </w:t>
      </w:r>
      <w:r>
        <w:rPr>
          <w:rFonts w:ascii="맑은 고딕" w:hAnsi="맑은 고딕" w:eastAsia="맑은 고딕"/>
          <w:b/>
          <w:i w:val="0"/>
          <w:sz w:val="21"/>
        </w:rPr>
        <w:t>$80B 규모의 자사주 매입</w:t>
      </w:r>
      <w:r>
        <w:rPr>
          <w:rFonts w:ascii="맑은 고딕" w:hAnsi="맑은 고딕" w:eastAsia="맑은 고딕"/>
          <w:i w:val="0"/>
          <w:sz w:val="21"/>
        </w:rPr>
        <w:t xml:space="preserve">을 승인했고, 분기 배당을 25배 상향해 </w:t>
      </w:r>
      <w:r>
        <w:rPr>
          <w:rFonts w:ascii="맑은 고딕" w:hAnsi="맑은 고딕" w:eastAsia="맑은 고딕"/>
          <w:b/>
          <w:i w:val="0"/>
          <w:sz w:val="21"/>
        </w:rPr>
        <w:t>주당 $0.25</w:t>
      </w:r>
      <w:r>
        <w:rPr>
          <w:rFonts w:ascii="맑은 고딕" w:hAnsi="맑은 고딕" w:eastAsia="맑은 고딕"/>
          <w:i w:val="0"/>
          <w:sz w:val="21"/>
        </w:rPr>
        <w:t xml:space="preserve">로 인상했으며, 이는 FY2026에 주주에게 $41.1B을 환원한 데 이은 것이다. GTC 2026(3월)에서 CEO Jensen Huang은 투자자들에게 NVIDIA가 </w:t>
      </w:r>
      <w:r>
        <w:rPr>
          <w:rFonts w:ascii="맑은 고딕" w:hAnsi="맑은 고딕" w:eastAsia="맑은 고딕"/>
          <w:b/>
          <w:i w:val="0"/>
          <w:sz w:val="21"/>
        </w:rPr>
        <w:t>2027년까지 Blackwell 및 Rubin 플랫폼에 대해 누적 약 $1조의 주문</w:t>
      </w:r>
      <w:r>
        <w:rPr>
          <w:rFonts w:ascii="맑은 고딕" w:hAnsi="맑은 고딕" w:eastAsia="맑은 고딕"/>
          <w:i w:val="0"/>
          <w:sz w:val="21"/>
        </w:rPr>
        <w:t>에 대한 가시성을 확보했다고 밝혔다 [CNBC, 2026-03-16].</w:t>
      </w:r>
    </w:p>
    <w:p>
      <w:pPr>
        <w:spacing w:before="160" w:after="80"/>
      </w:pPr>
      <w:r>
        <w:rPr>
          <w:rFonts w:ascii="맑은 고딕" w:hAnsi="맑은 고딕" w:eastAsia="맑은 고딕"/>
          <w:b/>
          <w:color w:val="1A1A1A"/>
          <w:sz w:val="22"/>
        </w:rPr>
        <w:t>지역별 사업 현황</w:t>
      </w:r>
    </w:p>
    <w:p>
      <w:pPr>
        <w:spacing w:after="120"/>
      </w:pPr>
      <w:r>
        <w:rPr>
          <w:rFonts w:ascii="맑은 고딕" w:hAnsi="맑은 고딕" w:eastAsia="맑은 고딕"/>
          <w:i w:val="0"/>
          <w:sz w:val="21"/>
        </w:rPr>
        <w:t xml:space="preserve">NVIDIA는 캘리포니아주 Santa Clara에 본사를 두고 있으며, 2026 회계연도 말 기준 약 </w:t>
      </w:r>
      <w:r>
        <w:rPr>
          <w:rFonts w:ascii="맑은 고딕" w:hAnsi="맑은 고딕" w:eastAsia="맑은 고딕"/>
          <w:b/>
          <w:i w:val="0"/>
          <w:sz w:val="21"/>
        </w:rPr>
        <w:t>42,000명</w:t>
      </w:r>
      <w:r>
        <w:rPr>
          <w:rFonts w:ascii="맑은 고딕" w:hAnsi="맑은 고딕" w:eastAsia="맑은 고딕"/>
          <w:i w:val="0"/>
          <w:sz w:val="21"/>
        </w:rPr>
        <w:t xml:space="preserve">을 고용했다(전년 대비 약 17% 증가) [NVIDIA FY2026 10-K]. FY2026에 고객 본사 소재지 기준 보고 매출은 미국(약 $149.6B, 매출의 약 69%)과 대만(약 $42.4B, 약 20%)이 주도했다 — 다만 대만 수치는 대체로 ODM/시스템 통합업체 청구를 반영하며, NVIDIA는 대만 본사 고객으로부터의 Data Center 매출 중 약 76%가 궁극적으로 미국과 유럽의 최종 고객에게 서비스된다고 추정한다 [NVIDIA 10-K/10-Q 공시, 2026]. 전략적으로 가장 중요한 지리적 사실은 부정적인 것이다: 잇따른 미국 수출 통제와 중국 정부의 맞대응 압박에 따라, NVIDIA의 FY2026 10-K는 회사가 중국 데이터센터 시장에서 </w:t>
      </w:r>
      <w:r>
        <w:rPr>
          <w:rFonts w:ascii="맑은 고딕" w:hAnsi="맑은 고딕" w:eastAsia="맑은 고딕"/>
          <w:b/>
          <w:i w:val="0"/>
          <w:sz w:val="21"/>
        </w:rPr>
        <w:t>"사실상 배제되었다(effectively foreclosed)"</w:t>
      </w:r>
      <w:r>
        <w:rPr>
          <w:rFonts w:ascii="맑은 고딕" w:hAnsi="맑은 고딕" w:eastAsia="맑은 고딕"/>
          <w:i w:val="0"/>
          <w:sz w:val="21"/>
        </w:rPr>
        <w:t>고 밝히며, 경영진은 이 시장을 약 $50B 규모로 추산한다 — 즉, 현재의 실적은 세계 2위 AI 시장 없이 본질적으로 달성되고 있으며, 그동안 중동, 일본, 유럽 등지의 소버린 AI 프로그램이 빠르게 성장하는 상쇄 요인이 되었다.</w:t>
      </w:r>
    </w:p>
    <w:p>
      <w:pPr>
        <w:spacing w:after="120"/>
      </w:pPr>
      <w:r>
        <w:rPr>
          <w:rFonts w:ascii="맑은 고딕" w:hAnsi="맑은 고딕" w:eastAsia="맑은 고딕"/>
          <w:i w:val="0"/>
          <w:sz w:val="21"/>
        </w:rPr>
        <w:t>---</w:t>
      </w:r>
    </w:p>
    <w:p>
      <w:pPr>
        <w:jc w:val="center"/>
      </w:pPr>
      <w:r>
        <w:drawing>
          <wp:inline xmlns:a="http://schemas.openxmlformats.org/drawingml/2006/main" xmlns:pic="http://schemas.openxmlformats.org/drawingml/2006/picture">
            <wp:extent cx="5120640" cy="2945991"/>
            <wp:docPr id="3" name="Picture 3"/>
            <wp:cNvGraphicFramePr>
              <a:graphicFrameLocks noChangeAspect="1"/>
            </wp:cNvGraphicFramePr>
            <a:graphic>
              <a:graphicData uri="http://schemas.openxmlformats.org/drawingml/2006/picture">
                <pic:pic>
                  <pic:nvPicPr>
                    <pic:cNvPr id="0" name="chart_07_organizational_structure.png"/>
                    <pic:cNvPicPr/>
                  </pic:nvPicPr>
                  <pic:blipFill>
                    <a:blip r:embed="rId11"/>
                    <a:stretch>
                      <a:fillRect/>
                    </a:stretch>
                  </pic:blipFill>
                  <pic:spPr>
                    <a:xfrm>
                      <a:off x="0" y="0"/>
                      <a:ext cx="5120640" cy="2945991"/>
                    </a:xfrm>
                    <a:prstGeom prst="rect"/>
                  </pic:spPr>
                </pic:pic>
              </a:graphicData>
            </a:graphic>
          </wp:inline>
        </w:drawing>
      </w:r>
    </w:p>
    <w:p>
      <w:pPr>
        <w:spacing w:after="200"/>
      </w:pPr>
      <w:r>
        <w:rPr>
          <w:rFonts w:ascii="맑은 고딕" w:hAnsi="맑은 고딕" w:eastAsia="맑은 고딕"/>
          <w:i/>
          <w:color w:val="595959"/>
          <w:sz w:val="16"/>
        </w:rPr>
        <w:t>그림 7 — 사업 세그먼트 규모(FY2026). 자료: 회사 공시.</w:t>
      </w:r>
    </w:p>
    <w:p>
      <w:pPr>
        <w:jc w:val="center"/>
      </w:pPr>
      <w:r>
        <w:drawing>
          <wp:inline xmlns:a="http://schemas.openxmlformats.org/drawingml/2006/main" xmlns:pic="http://schemas.openxmlformats.org/drawingml/2006/picture">
            <wp:extent cx="4206240" cy="3972920"/>
            <wp:docPr id="4" name="Picture 4"/>
            <wp:cNvGraphicFramePr>
              <a:graphicFrameLocks noChangeAspect="1"/>
            </wp:cNvGraphicFramePr>
            <a:graphic>
              <a:graphicData uri="http://schemas.openxmlformats.org/drawingml/2006/picture">
                <pic:pic>
                  <pic:nvPicPr>
                    <pic:cNvPr id="0" name="chart_08_product_portfolio.png"/>
                    <pic:cNvPicPr/>
                  </pic:nvPicPr>
                  <pic:blipFill>
                    <a:blip r:embed="rId12"/>
                    <a:stretch>
                      <a:fillRect/>
                    </a:stretch>
                  </pic:blipFill>
                  <pic:spPr>
                    <a:xfrm>
                      <a:off x="0" y="0"/>
                      <a:ext cx="4206240" cy="3972920"/>
                    </a:xfrm>
                    <a:prstGeom prst="rect"/>
                  </pic:spPr>
                </pic:pic>
              </a:graphicData>
            </a:graphic>
          </wp:inline>
        </w:drawing>
      </w:r>
    </w:p>
    <w:p>
      <w:pPr>
        <w:spacing w:after="200"/>
      </w:pPr>
      <w:r>
        <w:rPr>
          <w:rFonts w:ascii="맑은 고딕" w:hAnsi="맑은 고딕" w:eastAsia="맑은 고딕"/>
          <w:i/>
          <w:color w:val="595959"/>
          <w:sz w:val="16"/>
        </w:rPr>
        <w:t>그림 8 — FY2026 매출 믹스. 자료: 회사 공시.</w:t>
      </w:r>
    </w:p>
    <w:p>
      <w:pPr>
        <w:spacing w:before="240" w:after="80"/>
        <w:pBdr>
          <w:bottom w:val="single" w:sz="6" w:space="2" w:color="1F3864"/>
        </w:pBdr>
      </w:pPr>
      <w:r>
        <w:rPr>
          <w:rFonts w:ascii="맑은 고딕" w:hAnsi="맑은 고딕" w:eastAsia="맑은 고딕"/>
          <w:b/>
          <w:color w:val="1F3864"/>
          <w:sz w:val="30"/>
        </w:rPr>
        <w:t>회사 연혁</w:t>
      </w:r>
    </w:p>
    <w:p>
      <w:pPr>
        <w:spacing w:before="160" w:after="80"/>
      </w:pPr>
      <w:r>
        <w:rPr>
          <w:rFonts w:ascii="맑은 고딕" w:hAnsi="맑은 고딕" w:eastAsia="맑은 고딕"/>
          <w:b/>
          <w:color w:val="1A1A1A"/>
          <w:sz w:val="22"/>
        </w:rPr>
        <w:t>창업과 그래픽 시대 (1993–2005)</w:t>
      </w:r>
    </w:p>
    <w:p>
      <w:pPr>
        <w:spacing w:after="120"/>
      </w:pPr>
      <w:r>
        <w:rPr>
          <w:rFonts w:ascii="맑은 고딕" w:hAnsi="맑은 고딕" w:eastAsia="맑은 고딕"/>
          <w:i w:val="0"/>
          <w:sz w:val="21"/>
        </w:rPr>
        <w:t xml:space="preserve">NVIDIA는 1993년 4월 </w:t>
      </w:r>
      <w:r>
        <w:rPr>
          <w:rFonts w:ascii="맑은 고딕" w:hAnsi="맑은 고딕" w:eastAsia="맑은 고딕"/>
          <w:b/>
          <w:i w:val="0"/>
          <w:sz w:val="21"/>
        </w:rPr>
        <w:t>Jensen Huang</w:t>
      </w:r>
      <w:r>
        <w:rPr>
          <w:rFonts w:ascii="맑은 고딕" w:hAnsi="맑은 고딕" w:eastAsia="맑은 고딕"/>
          <w:i w:val="0"/>
          <w:sz w:val="21"/>
        </w:rPr>
        <w:t xml:space="preserve">(당시 LSI Logic 이사, 이전에는 AMD의 칩 설계자), </w:t>
      </w:r>
      <w:r>
        <w:rPr>
          <w:rFonts w:ascii="맑은 고딕" w:hAnsi="맑은 고딕" w:eastAsia="맑은 고딕"/>
          <w:b/>
          <w:i w:val="0"/>
          <w:sz w:val="21"/>
        </w:rPr>
        <w:t>Chris Malachowsky</w:t>
      </w:r>
      <w:r>
        <w:rPr>
          <w:rFonts w:ascii="맑은 고딕" w:hAnsi="맑은 고딕" w:eastAsia="맑은 고딕"/>
          <w:i w:val="0"/>
          <w:sz w:val="21"/>
        </w:rPr>
        <w:t xml:space="preserve">, </w:t>
      </w:r>
      <w:r>
        <w:rPr>
          <w:rFonts w:ascii="맑은 고딕" w:hAnsi="맑은 고딕" w:eastAsia="맑은 고딕"/>
          <w:b/>
          <w:i w:val="0"/>
          <w:sz w:val="21"/>
        </w:rPr>
        <w:t>Curtis Priem</w:t>
      </w:r>
      <w:r>
        <w:rPr>
          <w:rFonts w:ascii="맑은 고딕" w:hAnsi="맑은 고딕" w:eastAsia="맑은 고딕"/>
          <w:i w:val="0"/>
          <w:sz w:val="21"/>
        </w:rPr>
        <w:t xml:space="preserve">(둘 다 Sun Microsystems 출신 엔지니어)에 의해 설립되었으며, San Jose의 Denny's 식당에서의 회동으로 유명하다. 세 사람은 약 $40,000을 손에 쥐고 시작했고, 이후 Sequoia Capital과 Sutter Hill Ventures로부터 $20M의 벤처 투자를 받았다. 창업의 논지는 그래픽 집약적 컴퓨팅 — 3D 비디오 게임으로 시작하는 — 이 범용 CPU가 감당할 수 없는 거대한 시장이 되리라는 것이었다. 회사는 초기에 거의 파산할 뻔했다: 첫 칩인 NV1(1995)은 잘못된 렌더링 표준에 베팅해 실패했고, 후속 Sega 계약도 무산되었다. 1997년의 RIVA 128이 회사를 구했으며, 1999년 — NVIDIA가 1월에 주당 $12에 상장한 바로 그 해 — 에 하드웨어 변환·조명(transform-and-lighting)을 통합한 </w:t>
      </w:r>
      <w:r>
        <w:rPr>
          <w:rFonts w:ascii="맑은 고딕" w:hAnsi="맑은 고딕" w:eastAsia="맑은 고딕"/>
          <w:b/>
          <w:i w:val="0"/>
          <w:sz w:val="21"/>
        </w:rPr>
        <w:t>GeForce 256</w:t>
      </w:r>
      <w:r>
        <w:rPr>
          <w:rFonts w:ascii="맑은 고딕" w:hAnsi="맑은 고딕" w:eastAsia="맑은 고딕"/>
          <w:i w:val="0"/>
          <w:sz w:val="21"/>
        </w:rPr>
        <w:t>을 출시하며 이를 "세계 최초의 GPU"로 마케팅했다. Microsoft의 초대 Xbox 설계 수주와 2000년대 초 GeForce 점유율의 꾸준한 확대는 NVIDIA와 ATI(후에 2006년 AMD에 인수됨)를 GPU 복점 체제로 굳혔다.</w:t>
      </w:r>
    </w:p>
    <w:p>
      <w:pPr>
        <w:spacing w:before="160" w:after="80"/>
      </w:pPr>
      <w:r>
        <w:rPr>
          <w:rFonts w:ascii="맑은 고딕" w:hAnsi="맑은 고딕" w:eastAsia="맑은 고딕"/>
          <w:b/>
          <w:color w:val="1A1A1A"/>
          <w:sz w:val="22"/>
        </w:rPr>
        <w:t>CUDA: 해자를 만든 전환점 (2006–2012)</w:t>
      </w:r>
    </w:p>
    <w:p>
      <w:pPr>
        <w:spacing w:after="120"/>
      </w:pPr>
      <w:r>
        <w:rPr>
          <w:rFonts w:ascii="맑은 고딕" w:hAnsi="맑은 고딕" w:eastAsia="맑은 고딕"/>
          <w:i w:val="0"/>
          <w:sz w:val="21"/>
        </w:rPr>
        <w:t xml:space="preserve">전략적 묘수는 2006년 </w:t>
      </w:r>
      <w:r>
        <w:rPr>
          <w:rFonts w:ascii="맑은 고딕" w:hAnsi="맑은 고딕" w:eastAsia="맑은 고딕"/>
          <w:b/>
          <w:i w:val="0"/>
          <w:sz w:val="21"/>
        </w:rPr>
        <w:t>CUDA</w:t>
      </w:r>
      <w:r>
        <w:rPr>
          <w:rFonts w:ascii="맑은 고딕" w:hAnsi="맑은 고딕" w:eastAsia="맑은 고딕"/>
          <w:i w:val="0"/>
          <w:sz w:val="21"/>
        </w:rPr>
        <w:t>(Compute Unified Device Architecture)와 함께 왔다. 이는 개발자가 GPU — 대규모 병렬 프로세서 — 를 그래픽뿐 아니라 범용 연산에 사용할 수 있게 하는 프로그래밍 모델이었다. NVIDIA는 수년간, 그리고 월가의 회의론을 견디며, 출하하는 모든 GPU에 CUDA 지원을 내장하고 대학에 도구와 보조금을 뿌렸으며, 단기 매출이 거의 없는 상태에서 수십억 달러의 R&amp;D를 소화했다. 이 베팅은 결국 병렬 컴퓨팅 워크로드가 등장해 이 플랫폼을 채우리라는 것이었다.</w:t>
      </w:r>
    </w:p>
    <w:p>
      <w:pPr>
        <w:spacing w:before="160" w:after="80"/>
      </w:pPr>
      <w:r>
        <w:rPr>
          <w:rFonts w:ascii="맑은 고딕" w:hAnsi="맑은 고딕" w:eastAsia="맑은 고딕"/>
          <w:b/>
          <w:color w:val="1A1A1A"/>
          <w:sz w:val="22"/>
        </w:rPr>
        <w:t>딥러닝 변곡점 (2012–2022)</w:t>
      </w:r>
    </w:p>
    <w:p>
      <w:pPr>
        <w:spacing w:after="120"/>
      </w:pPr>
      <w:r>
        <w:rPr>
          <w:rFonts w:ascii="맑은 고딕" w:hAnsi="맑은 고딕" w:eastAsia="맑은 고딕"/>
          <w:i w:val="0"/>
          <w:sz w:val="21"/>
        </w:rPr>
        <w:t xml:space="preserve">실제로 그랬다. 2012년 University of Toronto의 연구자 Alex Krizhevsky, Ilya Sutskever, Geoffrey Hinton은 </w:t>
      </w:r>
      <w:r>
        <w:rPr>
          <w:rFonts w:ascii="맑은 고딕" w:hAnsi="맑은 고딕" w:eastAsia="맑은 고딕"/>
          <w:b/>
          <w:i w:val="0"/>
          <w:sz w:val="21"/>
        </w:rPr>
        <w:t>AlexNet</w:t>
      </w:r>
      <w:r>
        <w:rPr>
          <w:rFonts w:ascii="맑은 고딕" w:hAnsi="맑은 고딕" w:eastAsia="맑은 고딕"/>
          <w:i w:val="0"/>
          <w:sz w:val="21"/>
        </w:rPr>
        <w:t xml:space="preserve"> — ImageNet 컴퓨터 비전 벤치마크를 깨뜨린 신경망 — 을 두 개의 소비자용 NVIDIA GTX 580 게이밍 GPU로 학습시켰다. 딥러닝의 연산 수요는 CUDA에 완벽하게 대응됐고, 하이퍼스케일러들은 AI 연구를 위해 GPU를 대규모로 구매하기 시작했다. NVIDIA는 이에 집중했다: Tesla 데이터센터 GPU, cuDNN 라이브러리(2014), 그리고 2016년에 DGX-1 AI 슈퍼컴퓨터를 내놓았는데, Huang은 그 첫 대를 당시 무명의 비영리 단체였던 OpenAI에 직접 전달했다. 데이터센터 매출은 2014년 수억 달러에서 FY2022까지 $10.6B으로 성장했다.</w:t>
      </w:r>
    </w:p>
    <w:p>
      <w:pPr>
        <w:spacing w:after="120"/>
      </w:pPr>
      <w:r>
        <w:rPr>
          <w:rFonts w:ascii="맑은 고딕" w:hAnsi="맑은 고딕" w:eastAsia="맑은 고딕"/>
          <w:i w:val="0"/>
          <w:sz w:val="21"/>
        </w:rPr>
        <w:t xml:space="preserve">이 시기는 변동성도 가져왔다. </w:t>
      </w:r>
      <w:r>
        <w:rPr>
          <w:rFonts w:ascii="맑은 고딕" w:hAnsi="맑은 고딕" w:eastAsia="맑은 고딕"/>
          <w:b/>
          <w:i w:val="0"/>
          <w:sz w:val="21"/>
        </w:rPr>
        <w:t>암호화폐 채굴</w:t>
      </w:r>
      <w:r>
        <w:rPr>
          <w:rFonts w:ascii="맑은 고딕" w:hAnsi="맑은 고딕" w:eastAsia="맑은 고딕"/>
          <w:i w:val="0"/>
          <w:sz w:val="21"/>
        </w:rPr>
        <w:t xml:space="preserve"> 수요는 2017–18년과 다시 2020–21년에 GPU 판매를 부풀렸다가 두 차례 모두 붕괴하며 유통 재고 과잉, 상각, 그리고 NVIDIA 수요 신호의 불투명성에 대한 애널리스트들의 지속적 교훈을 남겼다. 2019년 NVIDIA는 가장 중요한 인수를 발표했다: </w:t>
      </w:r>
      <w:r>
        <w:rPr>
          <w:rFonts w:ascii="맑은 고딕" w:hAnsi="맑은 고딕" w:eastAsia="맑은 고딕"/>
          <w:b/>
          <w:i w:val="0"/>
          <w:sz w:val="21"/>
        </w:rPr>
        <w:t>Mellanox Technologies를 $6.9B에 인수</w:t>
      </w:r>
      <w:r>
        <w:rPr>
          <w:rFonts w:ascii="맑은 고딕" w:hAnsi="맑은 고딕" w:eastAsia="맑은 고딕"/>
          <w:i w:val="0"/>
          <w:sz w:val="21"/>
        </w:rPr>
        <w:t xml:space="preserve">(2020년 4월 완료)한 것으로, 오늘날 분기당 $14.8B 네트워킹 사업을 떠받치는 InfiniBand 및 Ethernet 네트워킹 프랜차이즈를 획득했다 — 반도체 역사상 가장 높은 수익률을 낸 거래 중 하나로 꼽힌다. 2020년 9월 발표된 SoftBank로부터 </w:t>
      </w:r>
      <w:r>
        <w:rPr>
          <w:rFonts w:ascii="맑은 고딕" w:hAnsi="맑은 고딕" w:eastAsia="맑은 고딕"/>
          <w:b/>
          <w:i w:val="0"/>
          <w:sz w:val="21"/>
        </w:rPr>
        <w:t>Arm Ltd.</w:t>
      </w:r>
      <w:r>
        <w:rPr>
          <w:rFonts w:ascii="맑은 고딕" w:hAnsi="맑은 고딕" w:eastAsia="맑은 고딕"/>
          <w:i w:val="0"/>
          <w:sz w:val="21"/>
        </w:rPr>
        <w:t>를 $40B에 인수하는 계약은 미국, 영국, EU의 규제 반대로 2022년 2월 무산되었다. 돌이켜 보면 그 실패는 큰 문제가 되지 않았고, NVIDIA는 자체 Arm 기반 Grace(그리고 이제 Vera) CPU를 구축했다.</w:t>
      </w:r>
    </w:p>
    <w:p>
      <w:pPr>
        <w:spacing w:before="160" w:after="80"/>
      </w:pPr>
      <w:r>
        <w:rPr>
          <w:rFonts w:ascii="맑은 고딕" w:hAnsi="맑은 고딕" w:eastAsia="맑은 고딕"/>
          <w:b/>
          <w:color w:val="1A1A1A"/>
          <w:sz w:val="22"/>
        </w:rPr>
        <w:t>AI 붐 (2023–2026)</w:t>
      </w:r>
    </w:p>
    <w:p>
      <w:pPr>
        <w:spacing w:after="120"/>
      </w:pPr>
      <w:r>
        <w:rPr>
          <w:rFonts w:ascii="맑은 고딕" w:hAnsi="맑은 고딕" w:eastAsia="맑은 고딕"/>
          <w:i w:val="0"/>
          <w:sz w:val="21"/>
        </w:rPr>
        <w:t xml:space="preserve">OpenAI의 ChatGPT 출시(2022년 11월)는 학습 연산에 대한 전 세계적 수요를 촉발했고, NVIDIA의 Hopper 세대 H100은 세계에서 가장 수요가 높은 산업 부품이 되었다. 매출은 FY2024에 약 두 배(로 $60.9B), FY2025에 다시 두 배($130.5B), FY2026에 65% 더 성장($215.9B)했다. NVIDIA는 2023년 5월 시가총액 $1조를 돌파했고, 2024년 6월 10:1 주식 분할을 단행했으며, 2024년 11월 Dow Jones Industrial Average에 편입되었고, 최초의 $4조(2025년 7월) 및 $5조(2025년 10월) 기업이 되었다. </w:t>
      </w:r>
      <w:r>
        <w:rPr>
          <w:rFonts w:ascii="맑은 고딕" w:hAnsi="맑은 고딕" w:eastAsia="맑은 고딕"/>
          <w:b/>
          <w:i w:val="0"/>
          <w:sz w:val="21"/>
        </w:rPr>
        <w:t>Blackwell</w:t>
      </w:r>
      <w:r>
        <w:rPr>
          <w:rFonts w:ascii="맑은 고딕" w:hAnsi="맑은 고딕" w:eastAsia="맑은 고딕"/>
          <w:i w:val="0"/>
          <w:sz w:val="21"/>
        </w:rPr>
        <w:t xml:space="preserve"> 아키텍처(2024년 3월 발표)는 2025년 내내 랙 규모 GB200/GB300 NVL72 폼팩터로 대규모 출하되었으며, CES 2026에서 Huang은 후속 </w:t>
      </w:r>
      <w:r>
        <w:rPr>
          <w:rFonts w:ascii="맑은 고딕" w:hAnsi="맑은 고딕" w:eastAsia="맑은 고딕"/>
          <w:b/>
          <w:i w:val="0"/>
          <w:sz w:val="21"/>
        </w:rPr>
        <w:t>Vera Rubin</w:t>
      </w:r>
      <w:r>
        <w:rPr>
          <w:rFonts w:ascii="맑은 고딕" w:hAnsi="맑은 고딕" w:eastAsia="맑은 고딕"/>
          <w:i w:val="0"/>
          <w:sz w:val="21"/>
        </w:rPr>
        <w:t xml:space="preserve"> 플랫폼이 이미 완전 양산 중이라고 발표했다 [Data Center Dynamics, 2026년 1월]. Rubin Ultra를 위한 </w:t>
      </w:r>
      <w:r>
        <w:rPr>
          <w:rFonts w:ascii="맑은 고딕" w:hAnsi="맑은 고딕" w:eastAsia="맑은 고딕"/>
          <w:b/>
          <w:i w:val="0"/>
          <w:sz w:val="21"/>
        </w:rPr>
        <w:t>Kyber</w:t>
      </w:r>
      <w:r>
        <w:rPr>
          <w:rFonts w:ascii="맑은 고딕" w:hAnsi="맑은 고딕" w:eastAsia="맑은 고딕"/>
          <w:i w:val="0"/>
          <w:sz w:val="21"/>
        </w:rPr>
        <w:t xml:space="preserve"> 144-GPU 랙 아키텍처는 2027년용으로 공개되었다 [Tom's Hardware / GTC 보도, 2026].</w:t>
      </w:r>
    </w:p>
    <w:p>
      <w:pPr>
        <w:spacing w:after="120"/>
      </w:pPr>
      <w:r>
        <w:rPr>
          <w:rFonts w:ascii="맑은 고딕" w:hAnsi="맑은 고딕" w:eastAsia="맑은 고딕"/>
          <w:b/>
          <w:i w:val="0"/>
          <w:sz w:val="21"/>
        </w:rPr>
        <w:t>수출 통제 사가</w:t>
      </w:r>
      <w:r>
        <w:rPr>
          <w:rFonts w:ascii="맑은 고딕" w:hAnsi="맑은 고딕" w:eastAsia="맑은 고딕"/>
          <w:i w:val="0"/>
          <w:sz w:val="21"/>
        </w:rPr>
        <w:t xml:space="preserve">는 병행해서 전개됐다: 2022년 10월 통제가 A100/H100의 중국 판매를 금지했고, NVIDIA는 성능을 낮춘 A800/H800 부품으로 대응했으나 2023년 10월 금지되었다. 규정 준수형 H20이 뒤를 이었으나, 2025년 4월 라이선스 요건이 부과되며 </w:t>
      </w:r>
      <w:r>
        <w:rPr>
          <w:rFonts w:ascii="맑은 고딕" w:hAnsi="맑은 고딕" w:eastAsia="맑은 고딕"/>
          <w:b/>
          <w:i w:val="0"/>
          <w:sz w:val="21"/>
        </w:rPr>
        <w:t>$4.5B의 재고 상각</w:t>
      </w:r>
      <w:r>
        <w:rPr>
          <w:rFonts w:ascii="맑은 고딕" w:hAnsi="맑은 고딕" w:eastAsia="맑은 고딕"/>
          <w:i w:val="0"/>
          <w:sz w:val="21"/>
        </w:rPr>
        <w:t xml:space="preserve">과 약 $8B의 분기 매출 상실을 강제했다. 2025년 7월 정책 반전으로 </w:t>
      </w:r>
      <w:r>
        <w:rPr>
          <w:rFonts w:ascii="맑은 고딕" w:hAnsi="맑은 고딕" w:eastAsia="맑은 고딕"/>
          <w:b/>
          <w:i w:val="0"/>
          <w:sz w:val="21"/>
        </w:rPr>
        <w:t>미국 정부에 매출의 15%를 지불</w:t>
      </w:r>
      <w:r>
        <w:rPr>
          <w:rFonts w:ascii="맑은 고딕" w:hAnsi="맑은 고딕" w:eastAsia="맑은 고딕"/>
          <w:i w:val="0"/>
          <w:sz w:val="21"/>
        </w:rPr>
        <w:t>하는 전례 없는 조건으로 H20 판매가 허용되었으나, 이후 베이징은 NVIDIA 칩의 국내 구매를 만류하고 결국 제한했다. FY2026 10-K는 회사가 중국의 약 $50B 데이터센터 시장에서 "사실상 배제되었다"고 결론지었으며, 중국 전용 Blackwell 파생 제품(B30/B30A)은 양측의 승인을 기다리고 있다 [Tom's Hardware; CNBC, 2026-02-26; NVIDIA 10-K].</w:t>
      </w:r>
    </w:p>
    <w:p>
      <w:pPr>
        <w:spacing w:after="120"/>
      </w:pPr>
      <w:r>
        <w:rPr>
          <w:rFonts w:ascii="맑은 고딕" w:hAnsi="맑은 고딕" w:eastAsia="맑은 고딕"/>
          <w:i w:val="0"/>
          <w:sz w:val="21"/>
        </w:rPr>
        <w:t xml:space="preserve">최근의 전략적 행보가 2025–26년 챕터를 규정한다: 10 GW의 NVIDIA 시스템과 연계된 </w:t>
      </w:r>
      <w:r>
        <w:rPr>
          <w:rFonts w:ascii="맑은 고딕" w:hAnsi="맑은 고딕" w:eastAsia="맑은 고딕"/>
          <w:b/>
          <w:i w:val="0"/>
          <w:sz w:val="21"/>
        </w:rPr>
        <w:t>OpenAI에 최대 $100B 투자</w:t>
      </w:r>
      <w:r>
        <w:rPr>
          <w:rFonts w:ascii="맑은 고딕" w:hAnsi="맑은 고딕" w:eastAsia="맑은 고딕"/>
          <w:i w:val="0"/>
          <w:sz w:val="21"/>
        </w:rPr>
        <w:t xml:space="preserve"> 의향서(2025년 9월); </w:t>
      </w:r>
      <w:r>
        <w:rPr>
          <w:rFonts w:ascii="맑은 고딕" w:hAnsi="맑은 고딕" w:eastAsia="맑은 고딕"/>
          <w:b/>
          <w:i w:val="0"/>
          <w:sz w:val="21"/>
        </w:rPr>
        <w:t>Intel에 $5B 지분</w:t>
      </w:r>
      <w:r>
        <w:rPr>
          <w:rFonts w:ascii="맑은 고딕" w:hAnsi="맑은 고딕" w:eastAsia="맑은 고딕"/>
          <w:i w:val="0"/>
          <w:sz w:val="21"/>
        </w:rPr>
        <w:t xml:space="preserve"> 투자(2025년 9월); AI-RAN을 위한 </w:t>
      </w:r>
      <w:r>
        <w:rPr>
          <w:rFonts w:ascii="맑은 고딕" w:hAnsi="맑은 고딕" w:eastAsia="맑은 고딕"/>
          <w:b/>
          <w:i w:val="0"/>
          <w:sz w:val="21"/>
        </w:rPr>
        <w:t>Nokia에 $1B 투자</w:t>
      </w:r>
      <w:r>
        <w:rPr>
          <w:rFonts w:ascii="맑은 고딕" w:hAnsi="맑은 고딕" w:eastAsia="맑은 고딕"/>
          <w:i w:val="0"/>
          <w:sz w:val="21"/>
        </w:rPr>
        <w:t xml:space="preserve">(2025년 10월); 1 GW의 Grace Blackwell/Vera Rubin 용량을 약정한 </w:t>
      </w:r>
      <w:r>
        <w:rPr>
          <w:rFonts w:ascii="맑은 고딕" w:hAnsi="맑은 고딕" w:eastAsia="맑은 고딕"/>
          <w:b/>
          <w:i w:val="0"/>
          <w:sz w:val="21"/>
        </w:rPr>
        <w:t>Anthropic에 최대 $10B 투자</w:t>
      </w:r>
      <w:r>
        <w:rPr>
          <w:rFonts w:ascii="맑은 고딕" w:hAnsi="맑은 고딕" w:eastAsia="맑은 고딕"/>
          <w:i w:val="0"/>
          <w:sz w:val="21"/>
        </w:rPr>
        <w:t xml:space="preserve"> 계약(2025년 11월); 그리고 NVIDIA 사상 최대 거래인 — 추론 칩 스타트업 Groq에 대한 </w:t>
      </w:r>
      <w:r>
        <w:rPr>
          <w:rFonts w:ascii="맑은 고딕" w:hAnsi="맑은 고딕" w:eastAsia="맑은 고딕"/>
          <w:b/>
          <w:i w:val="0"/>
          <w:sz w:val="21"/>
        </w:rPr>
        <w:t>약 $20B 규모의 라이선싱·자산 거래</w:t>
      </w:r>
      <w:r>
        <w:rPr>
          <w:rFonts w:ascii="맑은 고딕" w:hAnsi="맑은 고딕" w:eastAsia="맑은 고딕"/>
          <w:i w:val="0"/>
          <w:sz w:val="21"/>
        </w:rPr>
        <w:t xml:space="preserve">(2025년 12월)로, 창업자 Jonathan Ross와 그의 LPU 추론 기술을 사내로 편입했다 [CNBC, 2025-12-24]. 2026년에는 </w:t>
      </w:r>
      <w:r>
        <w:rPr>
          <w:rFonts w:ascii="맑은 고딕" w:hAnsi="맑은 고딕" w:eastAsia="맑은 고딕"/>
          <w:b/>
          <w:i w:val="0"/>
          <w:sz w:val="21"/>
        </w:rPr>
        <w:t>소버린 AI</w:t>
      </w:r>
      <w:r>
        <w:rPr>
          <w:rFonts w:ascii="맑은 고딕" w:hAnsi="맑은 고딕" w:eastAsia="맑은 고딕"/>
          <w:i w:val="0"/>
          <w:sz w:val="21"/>
        </w:rPr>
        <w:t>가 헤드라인 성장 축이 되었다: G42/OpenAI/Oracle과의 Stargate UAE 5 GW 캠퍼스, UAE의 Aleria와 맺은 2026년 3월 초대형 거래, 그리고 SoftBank, NTT DATA, Hitachi 등과 국가 규모 파트너십을 정박시킨 2026년 7월 일본 순방이다 [The National, 2026-03-27; Nikkei Asia, 2026년 7월].</w:t>
      </w:r>
    </w:p>
    <w:p>
      <w:pPr>
        <w:spacing w:after="120"/>
      </w:pPr>
      <w:r>
        <w:rPr>
          <w:rFonts w:ascii="맑은 고딕" w:hAnsi="맑은 고딕" w:eastAsia="맑은 고딕"/>
          <w:i w:val="0"/>
          <w:sz w:val="21"/>
        </w:rPr>
        <w:t>---</w:t>
      </w:r>
    </w:p>
    <w:p>
      <w:pPr>
        <w:jc w:val="center"/>
      </w:pPr>
      <w:r>
        <w:drawing>
          <wp:inline xmlns:a="http://schemas.openxmlformats.org/drawingml/2006/main" xmlns:pic="http://schemas.openxmlformats.org/drawingml/2006/picture">
            <wp:extent cx="5852160" cy="2566702"/>
            <wp:docPr id="5" name="Picture 5"/>
            <wp:cNvGraphicFramePr>
              <a:graphicFrameLocks noChangeAspect="1"/>
            </wp:cNvGraphicFramePr>
            <a:graphic>
              <a:graphicData uri="http://schemas.openxmlformats.org/drawingml/2006/picture">
                <pic:pic>
                  <pic:nvPicPr>
                    <pic:cNvPr id="0" name="chart_06_key_milestones_timeline.png"/>
                    <pic:cNvPicPr/>
                  </pic:nvPicPr>
                  <pic:blipFill>
                    <a:blip r:embed="rId13"/>
                    <a:stretch>
                      <a:fillRect/>
                    </a:stretch>
                  </pic:blipFill>
                  <pic:spPr>
                    <a:xfrm>
                      <a:off x="0" y="0"/>
                      <a:ext cx="5852160" cy="2566702"/>
                    </a:xfrm>
                    <a:prstGeom prst="rect"/>
                  </pic:spPr>
                </pic:pic>
              </a:graphicData>
            </a:graphic>
          </wp:inline>
        </w:drawing>
      </w:r>
    </w:p>
    <w:p>
      <w:pPr>
        <w:spacing w:after="200"/>
      </w:pPr>
      <w:r>
        <w:rPr>
          <w:rFonts w:ascii="맑은 고딕" w:hAnsi="맑은 고딕" w:eastAsia="맑은 고딕"/>
          <w:i/>
          <w:color w:val="595959"/>
          <w:sz w:val="16"/>
        </w:rPr>
        <w:t>그림 6 — 주요 연혁. 자료: 회사 공시.</w:t>
      </w:r>
    </w:p>
    <w:p>
      <w:pPr>
        <w:spacing w:before="240" w:after="80"/>
        <w:pBdr>
          <w:bottom w:val="single" w:sz="6" w:space="2" w:color="1F3864"/>
        </w:pBdr>
      </w:pPr>
      <w:r>
        <w:rPr>
          <w:rFonts w:ascii="맑은 고딕" w:hAnsi="맑은 고딕" w:eastAsia="맑은 고딕"/>
          <w:b/>
          <w:color w:val="1F3864"/>
          <w:sz w:val="30"/>
        </w:rPr>
        <w:t>경영진</w:t>
      </w:r>
    </w:p>
    <w:p>
      <w:pPr>
        <w:spacing w:before="160" w:after="80"/>
      </w:pPr>
      <w:r>
        <w:rPr>
          <w:rFonts w:ascii="맑은 고딕" w:hAnsi="맑은 고딕" w:eastAsia="맑은 고딕"/>
          <w:b/>
          <w:color w:val="1A1A1A"/>
          <w:sz w:val="22"/>
        </w:rPr>
        <w:t>Jensen Huang — 창업자, 사장 겸 최고경영자(CEO)</w:t>
      </w:r>
    </w:p>
    <w:p>
      <w:pPr>
        <w:spacing w:after="120"/>
      </w:pPr>
      <w:r>
        <w:rPr>
          <w:rFonts w:ascii="맑은 고딕" w:hAnsi="맑은 고딕" w:eastAsia="맑은 고딕"/>
          <w:i w:val="0"/>
          <w:sz w:val="21"/>
        </w:rPr>
        <w:t xml:space="preserve">Jen-Hsun "Jensen" Huang(63세)은 1993년 공동 창업 이래 NVIDIA를 지속적으로 이끌어 왔으며, 이는 미국 메가캡 기업 중 가장 오래 재임한 창업자 겸 CEO다. 1963년 대만 Tainan에서 태어난 Huang은 어린 시절 미국으로 이민해 Oregon State University에서 전기공학 학사, Stanford에서 전기공학 석사를 취득했으며, AMD와 이후 LSI Logic에서 칩 설계자로 일하다가 30세에 NVIDIA를 창업했다. 그의 전략적 기록은 세 가지 프랜차이즈 창출 베팅으로 규정된다: 게이밍 GPU의 프로그래머블 셰이더, 그래픽 회사를 컴퓨팅 플랫폼 회사로 전환시킨 10년에 걸친 CUDA 투자, 그리고 시장이 형성되기 수년 전에 이루어진 AI에 대한 이르고 전면적인 헌신 — 시스템, 네트워킹(Mellanox), 소프트웨어 포함. 그의 운영 스타일은 독특하다: 약 60명의 직속 부하를 둔 유명한 수평 조직, 공식적인 1:1 면담이나 장기 계획 문서가 없음, "미션이 상사다(mission is the boss)"라는 프로젝트 구조, 그리고 공개적인 강도("나는 자랑스럽고 자신 있게 일어나지 않는다. 나는 걱정하고 우려하며 일어난다"). Huang은 NVIDIA의 최고 영업사원이자 지정학 특사로, 수출 정책과 소버린 AI 프로그램에 관해 국가 정상들과 직접 협상한다. 그는 약 </w:t>
      </w:r>
      <w:r>
        <w:rPr>
          <w:rFonts w:ascii="맑은 고딕" w:hAnsi="맑은 고딕" w:eastAsia="맑은 고딕"/>
          <w:b/>
          <w:i w:val="0"/>
          <w:sz w:val="21"/>
        </w:rPr>
        <w:t>8억 7,060만 주, 즉 회사의 약 3.58%</w:t>
      </w:r>
      <w:r>
        <w:rPr>
          <w:rFonts w:ascii="맑은 고딕" w:hAnsi="맑은 고딕" w:eastAsia="맑은 고딕"/>
          <w:i w:val="0"/>
          <w:sz w:val="21"/>
        </w:rPr>
        <w:t xml:space="preserve">(현재가 기준 약 $180B 상당)를 보유해 세계 최고 부호 중 한 명이며, 그의 2026 회계연도 총보수는 약 </w:t>
      </w:r>
      <w:r>
        <w:rPr>
          <w:rFonts w:ascii="맑은 고딕" w:hAnsi="맑은 고딕" w:eastAsia="맑은 고딕"/>
          <w:b/>
          <w:i w:val="0"/>
          <w:sz w:val="21"/>
        </w:rPr>
        <w:t>$36.3M</w:t>
      </w:r>
      <w:r>
        <w:rPr>
          <w:rFonts w:ascii="맑은 고딕" w:hAnsi="맑은 고딕" w:eastAsia="맑은 고딕"/>
          <w:i w:val="0"/>
          <w:sz w:val="21"/>
        </w:rPr>
        <w:t>로 FY2025의 $49.9M에서 감소했고, 그중 95% 이상이 주식·성과 연동형이다 [NVIDIA DEF 14A 위임장, 2026; Finance Monthly, 2026]. 승계는 이사회가 인정하는 핵심 인물 이슈다: 이사회 의장이기도 한 Huang은 후계자를 지명하지 않았으며 향후 수년간 NVIDIA를 이끌 뜻을 밝혔다. 투자자들은 그의 개인적 신뢰도 — 2027년까지 약 $1조의 Blackwell/Rubin 주문이라는 GTC 기조연설 가이던스, $3–4조 AI 인프라 전망 — 자체가 명백한 대체재가 없는 시장 이동성 자산이라는 점에 유의해야 한다.</w:t>
      </w:r>
    </w:p>
    <w:p>
      <w:pPr>
        <w:spacing w:before="160" w:after="80"/>
      </w:pPr>
      <w:r>
        <w:rPr>
          <w:rFonts w:ascii="맑은 고딕" w:hAnsi="맑은 고딕" w:eastAsia="맑은 고딕"/>
          <w:b/>
          <w:color w:val="1A1A1A"/>
          <w:sz w:val="22"/>
        </w:rPr>
        <w:t>Colette Kress — 부사장 겸 최고재무책임자(CFO)</w:t>
      </w:r>
    </w:p>
    <w:p>
      <w:pPr>
        <w:spacing w:after="120"/>
      </w:pPr>
      <w:r>
        <w:rPr>
          <w:rFonts w:ascii="맑은 고딕" w:hAnsi="맑은 고딕" w:eastAsia="맑은 고딕"/>
          <w:i w:val="0"/>
          <w:sz w:val="21"/>
        </w:rPr>
        <w:t xml:space="preserve">Colette M. Kress(58세)은 2013년 9월부터 NVIDIA의 CFO를 맡아, 시가총액 약 $8B의 게이밍 칩 제조사에서 세계에서 가장 가치 있는 기업으로의 부상을 설계한 재무 아키텍트다. 그는 Cisco의 Business Technology &amp; Operations Finance 조직의 CFO를 지낸 뒤 합류했으며, 그 이전에는 Microsoft에서 13년을 보내면서 Server &amp; Tools 사업부(Azure의 전신)의 CFO를 역임했고, Texas Instruments에서 경력을 시작했다. University of Arizona에서 재무 학사, Southern Methodist University에서 MBA를 취득했다. Kress는 전 세계 재무 — FP&amp;A, 회계, 재무(treasury), 세무, IR, 자본 배분 — 를 총괄하며, 대규모로 유례없이 어려운 문제들을 관리해 왔다: 지속적으로 상회해 온 분기 가이던스와 함께 초고속 성장(4년간 매출 약 16배)을 헤쳐 나가기; 수출 통제 충격(H20의 $4.5B 상각, 15% 중국 매출 배분 조정) 흡수; 약 $119B의 선도 공급 약정 자금 조달; 그리고 OpenAI, Anthropic, Intel, Groq 거래 구조화. 그의 자본 배분 기록에는 이제 FY2027 1분기 실적과 함께 발표된 $80B 증분 자사주 매입 승인과 25배 배당 인상, 그리고 FY2026에 주주에게 환원된 $41.1B이 포함된다. 그의 분기별 CFO 논평 — 현 분기 가이던스가 </w:t>
      </w:r>
      <w:r>
        <w:rPr>
          <w:rFonts w:ascii="맑은 고딕" w:hAnsi="맑은 고딕" w:eastAsia="맑은 고딕"/>
          <w:b/>
          <w:i w:val="0"/>
          <w:sz w:val="21"/>
        </w:rPr>
        <w:t>중국으로부터의 Data Center 컴퓨팅 매출이 전무하다</w:t>
      </w:r>
      <w:r>
        <w:rPr>
          <w:rFonts w:ascii="맑은 고딕" w:hAnsi="맑은 고딕" w:eastAsia="맑은 고딕"/>
          <w:i w:val="0"/>
          <w:sz w:val="21"/>
        </w:rPr>
        <w:t>고 가정한다는 진술 포함 — 은 NVIDIA가 월가의 기대치를 관리하는 주된 채널이다. FY2026 보수는 약 $27M로 대부분 성과 주식 단위(PSU)였다 [NVIDIA 위임장, 2026]. Kress는 Huang의 전도(evangelism)에 대한 안정적인 제도적 균형추로 널리 평가되며, 어떤 승계 시나리오에서도 연속성의 중심이 될 것이다.</w:t>
      </w:r>
    </w:p>
    <w:p>
      <w:pPr>
        <w:spacing w:before="160" w:after="80"/>
      </w:pPr>
      <w:r>
        <w:rPr>
          <w:rFonts w:ascii="맑은 고딕" w:hAnsi="맑은 고딕" w:eastAsia="맑은 고딕"/>
          <w:b/>
          <w:color w:val="1A1A1A"/>
          <w:sz w:val="22"/>
        </w:rPr>
        <w:t>Jay Puri — 부사장, 전 세계 필드 운영(Worldwide Field Operations) (이전 중)</w:t>
      </w:r>
    </w:p>
    <w:p>
      <w:pPr>
        <w:spacing w:after="120"/>
      </w:pPr>
      <w:r>
        <w:rPr>
          <w:rFonts w:ascii="맑은 고딕" w:hAnsi="맑은 고딕" w:eastAsia="맑은 고딕"/>
          <w:i w:val="0"/>
          <w:sz w:val="21"/>
        </w:rPr>
        <w:t xml:space="preserve">Ajay K. "Jay" Puri(71세)은 Sun Microsystems에서 22년을 보낸 뒤 2005년부터 NVIDIA의 글로벌 시장 진입 — 영업, 사업 개발, 파트너 제휴, 솔루션 아키텍처, 고객 지원 — 을 운영해 왔다. 그는 Huang의 플랫폼 로드맵을 보고된 약 $1조 주문 잔고로 전환하는 소버린 AI 파이프라인과 하이퍼스케일러 관계를 구축한 데 가장 큰 책임이 있는 임원이며, 거래성 칩 판매가 아니라 국가와의 다중 기가와트, 다년 인프라 거래(Stargate UAE, 일본, 유럽 NCP)를 중심으로 한 "AI 팩토리" 영업으로의 필드 조직 재편을 감독했다. 커버리지 개시와 관련해 주목할 점: NVIDIA는 </w:t>
      </w:r>
      <w:r>
        <w:rPr>
          <w:rFonts w:ascii="맑은 고딕" w:hAnsi="맑은 고딕" w:eastAsia="맑은 고딕"/>
          <w:b/>
          <w:i w:val="0"/>
          <w:sz w:val="21"/>
        </w:rPr>
        <w:t>2026년 7월 Form 8-K에서 Puri가 후임자가 부임하는 대로 은퇴할 의향이며, 선임 자문 역할을 유지할 것</w:t>
      </w:r>
      <w:r>
        <w:rPr>
          <w:rFonts w:ascii="맑은 고딕" w:hAnsi="맑은 고딕" w:eastAsia="맑은 고딕"/>
          <w:i w:val="0"/>
          <w:sz w:val="21"/>
        </w:rPr>
        <w:t>이라고 공시했다 [SEC Form 8-K, 2026년 7월]. 기술 역사상 최대의 인프라 구축이 진행되는 와중에 회사 최고 영업사원의 교체는 관리 가능하더라도 진정한 실행 관찰 항목이다.</w:t>
      </w:r>
    </w:p>
    <w:p>
      <w:pPr>
        <w:spacing w:before="160" w:after="80"/>
      </w:pPr>
      <w:r>
        <w:rPr>
          <w:rFonts w:ascii="맑은 고딕" w:hAnsi="맑은 고딕" w:eastAsia="맑은 고딕"/>
          <w:b/>
          <w:color w:val="1A1A1A"/>
          <w:sz w:val="22"/>
        </w:rPr>
        <w:t>Debora Shoquist — 부사장, 운영(Operations)</w:t>
      </w:r>
    </w:p>
    <w:p>
      <w:pPr>
        <w:spacing w:after="120"/>
      </w:pPr>
      <w:r>
        <w:rPr>
          <w:rFonts w:ascii="맑은 고딕" w:hAnsi="맑은 고딕" w:eastAsia="맑은 고딕"/>
          <w:i w:val="0"/>
          <w:sz w:val="21"/>
        </w:rPr>
        <w:t>Debora Shoquist(71세)은 2009년부터 운영 부사장(2007년 NVIDIA 합류; 이전에는 JDS Uniphase의 운영 부사장, Quantum의 SVP)으로서, 이제 세계에서 가장 어려운 공급망 직무일 수 있는 일을 맡고 있다: TSMC 웨이퍼 투입과 CoWoS 첨단 패키징 용량, SK hynix/Samsung/Micron의 HBM 공급, 그리고 액체 냉각 NVL72 랙을 조립하는 ODM 생태계(Foxconn, Quanta, Wistron 등)를 — $119B의 구매 약정과 1년 주기 아키텍처 리듬에 맞서 — 조율하는 것이다. 여기서의 실행(Blackwell의 2024년 패키징 차질, 이후 시정됨; CES 2026에서 보고된 깔끔한 Rubin 램프)이 분기 실적을 직접 좌우한다.</w:t>
      </w:r>
    </w:p>
    <w:p>
      <w:pPr>
        <w:spacing w:before="160" w:after="80"/>
      </w:pPr>
      <w:r>
        <w:rPr>
          <w:rFonts w:ascii="맑은 고딕" w:hAnsi="맑은 고딕" w:eastAsia="맑은 고딕"/>
          <w:b/>
          <w:color w:val="1A1A1A"/>
          <w:sz w:val="22"/>
        </w:rPr>
        <w:t>이사회, 소유 구조, 보수</w:t>
      </w:r>
    </w:p>
    <w:p>
      <w:pPr>
        <w:spacing w:after="120"/>
      </w:pPr>
      <w:r>
        <w:rPr>
          <w:rFonts w:ascii="맑은 고딕" w:hAnsi="맑은 고딕" w:eastAsia="맑은 고딕"/>
          <w:i w:val="0"/>
          <w:sz w:val="21"/>
        </w:rPr>
        <w:t xml:space="preserve">NVIDIA 이사회는 전 Goldman Sachs 부회장 </w:t>
      </w:r>
      <w:r>
        <w:rPr>
          <w:rFonts w:ascii="맑은 고딕" w:hAnsi="맑은 고딕" w:eastAsia="맑은 고딕"/>
          <w:b/>
          <w:i w:val="0"/>
          <w:sz w:val="21"/>
        </w:rPr>
        <w:t>Suzanne Nora Johnson</w:t>
      </w:r>
      <w:r>
        <w:rPr>
          <w:rFonts w:ascii="맑은 고딕" w:hAnsi="맑은 고딕" w:eastAsia="맑은 고딕"/>
          <w:i w:val="0"/>
          <w:sz w:val="21"/>
        </w:rPr>
        <w:t xml:space="preserve">의 선임과 함께 </w:t>
      </w:r>
      <w:r>
        <w:rPr>
          <w:rFonts w:ascii="맑은 고딕" w:hAnsi="맑은 고딕" w:eastAsia="맑은 고딕"/>
          <w:b/>
          <w:i w:val="0"/>
          <w:sz w:val="21"/>
        </w:rPr>
        <w:t>2026-07-13부로 11명으로 확대</w:t>
      </w:r>
      <w:r>
        <w:rPr>
          <w:rFonts w:ascii="맑은 고딕" w:hAnsi="맑은 고딕" w:eastAsia="맑은 고딕"/>
          <w:i w:val="0"/>
          <w:sz w:val="21"/>
        </w:rPr>
        <w:t xml:space="preserve">되어 금융 시장 전문성을 더했다 [NVIDIA 보도자료, 2026년 7월]. Huang이 이사회 의장을 맡고 있으며, 장기 재임 이사로는 벤처 투자자 </w:t>
      </w:r>
      <w:r>
        <w:rPr>
          <w:rFonts w:ascii="맑은 고딕" w:hAnsi="맑은 고딕" w:eastAsia="맑은 고딕"/>
          <w:b/>
          <w:i w:val="0"/>
          <w:sz w:val="21"/>
        </w:rPr>
        <w:t>Tench Coxe</w:t>
      </w:r>
      <w:r>
        <w:rPr>
          <w:rFonts w:ascii="맑은 고딕" w:hAnsi="맑은 고딕" w:eastAsia="맑은 고딕"/>
          <w:i w:val="0"/>
          <w:sz w:val="21"/>
        </w:rPr>
        <w:t xml:space="preserve">(Sutter Hill, 1993년부터 이사)와 </w:t>
      </w:r>
      <w:r>
        <w:rPr>
          <w:rFonts w:ascii="맑은 고딕" w:hAnsi="맑은 고딕" w:eastAsia="맑은 고딕"/>
          <w:b/>
          <w:i w:val="0"/>
          <w:sz w:val="21"/>
        </w:rPr>
        <w:t>Mark Stevens</w:t>
      </w:r>
      <w:r>
        <w:rPr>
          <w:rFonts w:ascii="맑은 고딕" w:hAnsi="맑은 고딕" w:eastAsia="맑은 고딕"/>
          <w:i w:val="0"/>
          <w:sz w:val="21"/>
        </w:rPr>
        <w:t xml:space="preserve">(S-Cubed/전 Sequoia, 2008년부터), </w:t>
      </w:r>
      <w:r>
        <w:rPr>
          <w:rFonts w:ascii="맑은 고딕" w:hAnsi="맑은 고딕" w:eastAsia="맑은 고딕"/>
          <w:b/>
          <w:i w:val="0"/>
          <w:sz w:val="21"/>
        </w:rPr>
        <w:t>Dawn Hudson</w:t>
      </w:r>
      <w:r>
        <w:rPr>
          <w:rFonts w:ascii="맑은 고딕" w:hAnsi="맑은 고딕" w:eastAsia="맑은 고딕"/>
          <w:i w:val="0"/>
          <w:sz w:val="21"/>
        </w:rPr>
        <w:t xml:space="preserve">(전 NFL CMO, Pepsi-Cola North America CEO), </w:t>
      </w:r>
      <w:r>
        <w:rPr>
          <w:rFonts w:ascii="맑은 고딕" w:hAnsi="맑은 고딕" w:eastAsia="맑은 고딕"/>
          <w:b/>
          <w:i w:val="0"/>
          <w:sz w:val="21"/>
        </w:rPr>
        <w:t>Dr. Aarti Shah</w:t>
      </w:r>
      <w:r>
        <w:rPr>
          <w:rFonts w:ascii="맑은 고딕" w:hAnsi="맑은 고딕" w:eastAsia="맑은 고딕"/>
          <w:i w:val="0"/>
          <w:sz w:val="21"/>
        </w:rPr>
        <w:t>(전 Eli Lilly)가 학계 및 기술 이사들과 함께 있다. 거버넌스 비판은 이사회 재임 기간(여러 이사가 15년 초과)과 Huang의 의장/CEO 겸임에 집중된다. 내부자 지분은 약 4%다(Huang 약 3.58%; 공동 창업자와 이사들이 더 적은 지분 보유). 임원 보수는 상대 총주주수익률(TSR) 및 운영 지표에 연동된 다년 성과 주식 단위(PSU)와 함께 크게 주식 중심(CEO의 경우 90% 초과)으로 구성되어 있어 경영진을 주주와 긴밀히 정렬하는 한편, 유지가 관건인 임원들에게 막대한 부의 효과를 집중시킨다 [NVIDIA DEF 14A, 2026].</w:t>
      </w:r>
    </w:p>
    <w:p>
      <w:pPr>
        <w:spacing w:after="120"/>
      </w:pPr>
      <w:r>
        <w:rPr>
          <w:rFonts w:ascii="맑은 고딕" w:hAnsi="맑은 고딕" w:eastAsia="맑은 고딕"/>
          <w:i w:val="0"/>
          <w:sz w:val="21"/>
        </w:rPr>
        <w:t>---</w:t>
      </w:r>
    </w:p>
    <w:p>
      <w:pPr>
        <w:spacing w:before="240" w:after="80"/>
        <w:pBdr>
          <w:bottom w:val="single" w:sz="6" w:space="2" w:color="1F3864"/>
        </w:pBdr>
      </w:pPr>
      <w:r>
        <w:rPr>
          <w:rFonts w:ascii="맑은 고딕" w:hAnsi="맑은 고딕" w:eastAsia="맑은 고딕"/>
          <w:b/>
          <w:color w:val="1F3864"/>
          <w:sz w:val="30"/>
        </w:rPr>
        <w:t>제품 및 서비스</w:t>
      </w:r>
    </w:p>
    <w:p>
      <w:pPr>
        <w:spacing w:before="160" w:after="80"/>
      </w:pPr>
      <w:r>
        <w:rPr>
          <w:rFonts w:ascii="맑은 고딕" w:hAnsi="맑은 고딕" w:eastAsia="맑은 고딕"/>
          <w:b/>
          <w:color w:val="1A1A1A"/>
          <w:sz w:val="22"/>
        </w:rPr>
        <w:t>데이터센터 컴퓨팅 플랫폼</w:t>
      </w:r>
    </w:p>
    <w:p>
      <w:pPr>
        <w:spacing w:after="120"/>
      </w:pPr>
      <w:r>
        <w:rPr>
          <w:rFonts w:ascii="맑은 고딕" w:hAnsi="맑은 고딕" w:eastAsia="맑은 고딕"/>
          <w:i w:val="0"/>
          <w:sz w:val="21"/>
        </w:rPr>
        <w:t>NVIDIA는 이제 대략 매년 새로운 아키텍처를 출하하며, 각각을 갈수록 칩이 아니라 완전한 랙 규모 시스템으로 판매한다:</w:t>
      </w:r>
    </w:p>
    <w:p>
      <w:pPr>
        <w:pStyle w:val="ListBullet"/>
        <w:spacing w:after="60"/>
      </w:pPr>
      <w:r>
        <w:rPr>
          <w:rFonts w:ascii="맑은 고딕" w:hAnsi="맑은 고딕" w:eastAsia="맑은 고딕"/>
          <w:b/>
          <w:sz w:val="21"/>
        </w:rPr>
        <w:t>Hopper (H100/H200, 2022–24)</w:t>
      </w:r>
      <w:r>
        <w:rPr>
          <w:rFonts w:ascii="맑은 고딕" w:hAnsi="맑은 고딕" w:eastAsia="맑은 고딕"/>
          <w:sz w:val="21"/>
        </w:rPr>
        <w:t xml:space="preserve"> — 첫 AI 붐을 구동한 아키텍처; 이제 전 세계 추론 플릿 상당 부분의 설치 기반이다.</w:t>
      </w:r>
    </w:p>
    <w:p>
      <w:pPr>
        <w:pStyle w:val="ListBullet"/>
        <w:spacing w:after="60"/>
      </w:pPr>
      <w:r>
        <w:rPr>
          <w:rFonts w:ascii="맑은 고딕" w:hAnsi="맑은 고딕" w:eastAsia="맑은 고딕"/>
          <w:b/>
          <w:sz w:val="21"/>
        </w:rPr>
        <w:t>Blackwell / Blackwell Ultra (2024–26)</w:t>
      </w:r>
      <w:r>
        <w:rPr>
          <w:rFonts w:ascii="맑은 고딕" w:hAnsi="맑은 고딕" w:eastAsia="맑은 고딕"/>
          <w:sz w:val="21"/>
        </w:rPr>
        <w:t xml:space="preserve"> — 현재의 매출 주력. GB200 및 GB300 </w:t>
      </w:r>
      <w:r>
        <w:rPr>
          <w:rFonts w:ascii="맑은 고딕" w:hAnsi="맑은 고딕" w:eastAsia="맑은 고딕"/>
          <w:b/>
          <w:sz w:val="21"/>
        </w:rPr>
        <w:t>NVL72</w:t>
      </w:r>
      <w:r>
        <w:rPr>
          <w:rFonts w:ascii="맑은 고딕" w:hAnsi="맑은 고딕" w:eastAsia="맑은 고딕"/>
          <w:sz w:val="21"/>
        </w:rPr>
        <w:t xml:space="preserve"> 시스템은 72개의 GPU와 36개의 Grace CPU를 NVLink를 통해 하나의 거대한 GPU처럼 작동하는 단일 액체 냉각 랙으로 통합한다. NVIDIA는 Blackwell Ultra가 에이전틱 AI 워크로드에서 Hopper 대비 최대 50배 우수한 성능과 35배 낮은 비용을 제공한다는 SemiAnalysis 벤치마크를 인용한다 [NVIDIA Q4 FY2026 보도자료, 2026년 2월]. 월가 추정치는 NVL72 랙 가격을 약 $3M 이상으로 보는데, 즉 NVIDIA는 GPU를 트레이 단위로 파는 것이 아니라 데이터센터를 랙 단위로 판매한다.</w:t>
      </w:r>
    </w:p>
    <w:p>
      <w:pPr>
        <w:pStyle w:val="ListBullet"/>
        <w:spacing w:after="60"/>
      </w:pPr>
      <w:r>
        <w:rPr>
          <w:rFonts w:ascii="맑은 고딕" w:hAnsi="맑은 고딕" w:eastAsia="맑은 고딕"/>
          <w:b/>
          <w:sz w:val="21"/>
        </w:rPr>
        <w:t>Vera Rubin (2026)</w:t>
      </w:r>
      <w:r>
        <w:rPr>
          <w:rFonts w:ascii="맑은 고딕" w:hAnsi="맑은 고딕" w:eastAsia="맑은 고딕"/>
          <w:sz w:val="21"/>
        </w:rPr>
        <w:t xml:space="preserve"> — CES 2026에서 완전 양산으로 발표되고 GTC 2026에서 상세히 공개됨: Rubin GPU(보고된 약 3,360억 트랜지스터), 72코어 Arm 기반 </w:t>
      </w:r>
      <w:r>
        <w:rPr>
          <w:rFonts w:ascii="맑은 고딕" w:hAnsi="맑은 고딕" w:eastAsia="맑은 고딕"/>
          <w:b/>
          <w:sz w:val="21"/>
        </w:rPr>
        <w:t>Vera CPU</w:t>
      </w:r>
      <w:r>
        <w:rPr>
          <w:rFonts w:ascii="맑은 고딕" w:hAnsi="맑은 고딕" w:eastAsia="맑은 고딕"/>
          <w:sz w:val="21"/>
        </w:rPr>
        <w:t xml:space="preserve">, NVLink 6, HBM4 메모리로, 주요 클라우드가 초기 배치를 약정한 가운데 2026년 하반기에 고객에게 출하된다. NVIDIA는 </w:t>
      </w:r>
      <w:r>
        <w:rPr>
          <w:rFonts w:ascii="맑은 고딕" w:hAnsi="맑은 고딕" w:eastAsia="맑은 고딕"/>
          <w:b/>
          <w:sz w:val="21"/>
        </w:rPr>
        <w:t>Blackwell 대비 추론 토큰 비용을 최대 10배 절감</w:t>
      </w:r>
      <w:r>
        <w:rPr>
          <w:rFonts w:ascii="맑은 고딕" w:hAnsi="맑은 고딕" w:eastAsia="맑은 고딕"/>
          <w:sz w:val="21"/>
        </w:rPr>
        <w:t>한다고 주장하며, 이는 경영진이 "추론의 시대(era of inference)"라 부르는 국면의 핵심 지표다 [DataCenterKnowledge; Exxact GTC 요약, 2026년 3월].</w:t>
      </w:r>
    </w:p>
    <w:p>
      <w:pPr>
        <w:pStyle w:val="ListBullet"/>
        <w:spacing w:after="60"/>
      </w:pPr>
      <w:r>
        <w:rPr>
          <w:rFonts w:ascii="맑은 고딕" w:hAnsi="맑은 고딕" w:eastAsia="맑은 고딕"/>
          <w:b/>
          <w:sz w:val="21"/>
        </w:rPr>
        <w:t>Rubin Ultra + Kyber (2027)</w:t>
      </w:r>
      <w:r>
        <w:rPr>
          <w:rFonts w:ascii="맑은 고딕" w:hAnsi="맑은 고딕" w:eastAsia="맑은 고딕"/>
          <w:sz w:val="21"/>
        </w:rPr>
        <w:t xml:space="preserve"> — </w:t>
      </w:r>
      <w:r>
        <w:rPr>
          <w:rFonts w:ascii="맑은 고딕" w:hAnsi="맑은 고딕" w:eastAsia="맑은 고딕"/>
          <w:b/>
          <w:sz w:val="21"/>
        </w:rPr>
        <w:t>Kyber 랙</w:t>
      </w:r>
      <w:r>
        <w:rPr>
          <w:rFonts w:ascii="맑은 고딕" w:hAnsi="맑은 고딕" w:eastAsia="맑은 고딕"/>
          <w:sz w:val="21"/>
        </w:rPr>
        <w:t xml:space="preserve">은 컴퓨팅 트레이를 수직으로 세워 NVLink 7(GPU당 14.4 Tb/s)을 갖춘 </w:t>
      </w:r>
      <w:r>
        <w:rPr>
          <w:rFonts w:ascii="맑은 고딕" w:hAnsi="맑은 고딕" w:eastAsia="맑은 고딕"/>
          <w:b/>
          <w:sz w:val="21"/>
        </w:rPr>
        <w:t>랙당 144개 GPU</w:t>
      </w:r>
      <w:r>
        <w:rPr>
          <w:rFonts w:ascii="맑은 고딕" w:hAnsi="맑은 고딕" w:eastAsia="맑은 고딕"/>
          <w:sz w:val="21"/>
        </w:rPr>
        <w:t xml:space="preserve">를 약 120 kW 이상의 전력 밀도로 집적하며, NVIDIA의 시스템 우위를 한 세대 더 연장한다. </w:t>
      </w:r>
      <w:r>
        <w:rPr>
          <w:rFonts w:ascii="맑은 고딕" w:hAnsi="맑은 고딕" w:eastAsia="맑은 고딕"/>
          <w:b/>
          <w:sz w:val="21"/>
        </w:rPr>
        <w:t>Feynman</w:t>
      </w:r>
      <w:r>
        <w:rPr>
          <w:rFonts w:ascii="맑은 고딕" w:hAnsi="맑은 고딕" w:eastAsia="맑은 고딕"/>
          <w:sz w:val="21"/>
        </w:rPr>
        <w:t>은 2028년용으로 로드맵에 올라 있다 [Tom's Hardware; CloudMagazin, 2026년 3월].</w:t>
      </w:r>
    </w:p>
    <w:p>
      <w:pPr>
        <w:spacing w:before="160" w:after="80"/>
      </w:pPr>
      <w:r>
        <w:rPr>
          <w:rFonts w:ascii="맑은 고딕" w:hAnsi="맑은 고딕" w:eastAsia="맑은 고딕"/>
          <w:b/>
          <w:color w:val="1A1A1A"/>
          <w:sz w:val="22"/>
        </w:rPr>
        <w:t>네트워킹</w:t>
      </w:r>
    </w:p>
    <w:p>
      <w:pPr>
        <w:spacing w:after="120"/>
      </w:pPr>
      <w:r>
        <w:rPr>
          <w:rFonts w:ascii="맑은 고딕" w:hAnsi="맑은 고딕" w:eastAsia="맑은 고딕"/>
          <w:i w:val="0"/>
          <w:sz w:val="21"/>
        </w:rPr>
        <w:t xml:space="preserve">Mellanox에서 파생된 네트워킹 프랜차이즈 — </w:t>
      </w:r>
      <w:r>
        <w:rPr>
          <w:rFonts w:ascii="맑은 고딕" w:hAnsi="맑은 고딕" w:eastAsia="맑은 고딕"/>
          <w:b/>
          <w:i w:val="0"/>
          <w:sz w:val="21"/>
        </w:rPr>
        <w:t>NVLink/NVSwitch</w:t>
      </w:r>
      <w:r>
        <w:rPr>
          <w:rFonts w:ascii="맑은 고딕" w:hAnsi="맑은 고딕" w:eastAsia="맑은 고딕"/>
          <w:i w:val="0"/>
          <w:sz w:val="21"/>
        </w:rPr>
        <w:t xml:space="preserve">(랙 내부 스케일업), </w:t>
      </w:r>
      <w:r>
        <w:rPr>
          <w:rFonts w:ascii="맑은 고딕" w:hAnsi="맑은 고딕" w:eastAsia="맑은 고딕"/>
          <w:b/>
          <w:i w:val="0"/>
          <w:sz w:val="21"/>
        </w:rPr>
        <w:t>Quantum InfiniBand</w:t>
      </w:r>
      <w:r>
        <w:rPr>
          <w:rFonts w:ascii="맑은 고딕" w:hAnsi="맑은 고딕" w:eastAsia="맑은 고딕"/>
          <w:i w:val="0"/>
          <w:sz w:val="21"/>
        </w:rPr>
        <w:t xml:space="preserve">(학습 클러스터를 위한 스케일아웃), </w:t>
      </w:r>
      <w:r>
        <w:rPr>
          <w:rFonts w:ascii="맑은 고딕" w:hAnsi="맑은 고딕" w:eastAsia="맑은 고딕"/>
          <w:b/>
          <w:i w:val="0"/>
          <w:sz w:val="21"/>
        </w:rPr>
        <w:t>Spectrum-X Ethernet</w:t>
      </w:r>
      <w:r>
        <w:rPr>
          <w:rFonts w:ascii="맑은 고딕" w:hAnsi="맑은 고딕" w:eastAsia="맑은 고딕"/>
          <w:i w:val="0"/>
          <w:sz w:val="21"/>
        </w:rPr>
        <w:t xml:space="preserve">(하이퍼스케일러 및 소버린 배치를 수주하는 AI 최적화 Ethernet), 이제 공동 패키징 광학(co-packaged optics)으로 이행 중 — 는 </w:t>
      </w:r>
      <w:r>
        <w:rPr>
          <w:rFonts w:ascii="맑은 고딕" w:hAnsi="맑은 고딕" w:eastAsia="맑은 고딕"/>
          <w:b/>
          <w:i w:val="0"/>
          <w:sz w:val="21"/>
        </w:rPr>
        <w:t>FY2027 1분기에만 $14.8B(+199% 전년비)</w:t>
      </w:r>
      <w:r>
        <w:rPr>
          <w:rFonts w:ascii="맑은 고딕" w:hAnsi="맑은 고딕" w:eastAsia="맑은 고딕"/>
          <w:i w:val="0"/>
          <w:sz w:val="21"/>
        </w:rPr>
        <w:t>를 창출했다 [NVIDIA 10-Q, 2026]. 네트워킹은 제2의 매출 엔진이자 경쟁 해자다: 경쟁 가속기들도 확장하려면 여전히 NVIDIA 수준의 패브릭을 통과해야 하며, NVLink Fusion은 이제 선택적으로 제3자 실리콘에 패브릭을 개방한다.</w:t>
      </w:r>
    </w:p>
    <w:p>
      <w:pPr>
        <w:spacing w:before="160" w:after="80"/>
      </w:pPr>
      <w:r>
        <w:rPr>
          <w:rFonts w:ascii="맑은 고딕" w:hAnsi="맑은 고딕" w:eastAsia="맑은 고딕"/>
          <w:b/>
          <w:color w:val="1A1A1A"/>
          <w:sz w:val="22"/>
        </w:rPr>
        <w:t>소프트웨어와 CUDA 해자</w:t>
      </w:r>
    </w:p>
    <w:p>
      <w:pPr>
        <w:spacing w:after="120"/>
      </w:pPr>
      <w:r>
        <w:rPr>
          <w:rFonts w:ascii="맑은 고딕" w:hAnsi="맑은 고딕" w:eastAsia="맑은 고딕"/>
          <w:b/>
          <w:i w:val="0"/>
          <w:sz w:val="21"/>
        </w:rPr>
        <w:t>CUDA</w:t>
      </w:r>
      <w:r>
        <w:rPr>
          <w:rFonts w:ascii="맑은 고딕" w:hAnsi="맑은 고딕" w:eastAsia="맑은 고딕"/>
          <w:i w:val="0"/>
          <w:sz w:val="21"/>
        </w:rPr>
        <w:t xml:space="preserve">는 여전히 가장 깊은 방어 자산이다: 근 20년의 라이브러리(cuDNN, TensorRT, NCCL), 프레임워크 통합, 그리고 수백만 명의 훈련된 개발자가 NVIDIA를 사실상 모든 AI 연구 코드의 기본 타깃으로 만든다. 그 위에서 수익화되는 계층에는 </w:t>
      </w:r>
      <w:r>
        <w:rPr>
          <w:rFonts w:ascii="맑은 고딕" w:hAnsi="맑은 고딕" w:eastAsia="맑은 고딕"/>
          <w:b/>
          <w:i w:val="0"/>
          <w:sz w:val="21"/>
        </w:rPr>
        <w:t>NVIDIA AI Enterprise</w:t>
      </w:r>
      <w:r>
        <w:rPr>
          <w:rFonts w:ascii="맑은 고딕" w:hAnsi="맑은 고딕" w:eastAsia="맑은 고딕"/>
          <w:i w:val="0"/>
          <w:sz w:val="21"/>
        </w:rPr>
        <w:t xml:space="preserve">(GPU당 연간 구독), </w:t>
      </w:r>
      <w:r>
        <w:rPr>
          <w:rFonts w:ascii="맑은 고딕" w:hAnsi="맑은 고딕" w:eastAsia="맑은 고딕"/>
          <w:b/>
          <w:i w:val="0"/>
          <w:sz w:val="21"/>
        </w:rPr>
        <w:t>NIM</w:t>
      </w:r>
      <w:r>
        <w:rPr>
          <w:rFonts w:ascii="맑은 고딕" w:hAnsi="맑은 고딕" w:eastAsia="맑은 고딕"/>
          <w:i w:val="0"/>
          <w:sz w:val="21"/>
        </w:rPr>
        <w:t xml:space="preserve"> 추론 마이크로서비스, </w:t>
      </w:r>
      <w:r>
        <w:rPr>
          <w:rFonts w:ascii="맑은 고딕" w:hAnsi="맑은 고딕" w:eastAsia="맑은 고딕"/>
          <w:b/>
          <w:i w:val="0"/>
          <w:sz w:val="21"/>
        </w:rPr>
        <w:t>Omniverse</w:t>
      </w:r>
      <w:r>
        <w:rPr>
          <w:rFonts w:ascii="맑은 고딕" w:hAnsi="맑은 고딕" w:eastAsia="맑은 고딕"/>
          <w:i w:val="0"/>
          <w:sz w:val="21"/>
        </w:rPr>
        <w:t xml:space="preserve">(산업용 디지털 트윈), </w:t>
      </w:r>
      <w:r>
        <w:rPr>
          <w:rFonts w:ascii="맑은 고딕" w:hAnsi="맑은 고딕" w:eastAsia="맑은 고딕"/>
          <w:b/>
          <w:i w:val="0"/>
          <w:sz w:val="21"/>
        </w:rPr>
        <w:t>Nemotron</w:t>
      </w:r>
      <w:r>
        <w:rPr>
          <w:rFonts w:ascii="맑은 고딕" w:hAnsi="맑은 고딕" w:eastAsia="맑은 고딕"/>
          <w:i w:val="0"/>
          <w:sz w:val="21"/>
        </w:rPr>
        <w:t xml:space="preserve"> 오픈웨이트 모델 계열(일본 등지의 소버린 AI 거래의 선봉), 그리고 NVIDIA 자체 멀티클라우드 AI 서비스인 </w:t>
      </w:r>
      <w:r>
        <w:rPr>
          <w:rFonts w:ascii="맑은 고딕" w:hAnsi="맑은 고딕" w:eastAsia="맑은 고딕"/>
          <w:b/>
          <w:i w:val="0"/>
          <w:sz w:val="21"/>
        </w:rPr>
        <w:t>DGX Cloud</w:t>
      </w:r>
      <w:r>
        <w:rPr>
          <w:rFonts w:ascii="맑은 고딕" w:hAnsi="맑은 고딕" w:eastAsia="맑은 고딕"/>
          <w:i w:val="0"/>
          <w:sz w:val="21"/>
        </w:rPr>
        <w:t xml:space="preserve">가 포함된다. 2025년 12월의 </w:t>
      </w:r>
      <w:r>
        <w:rPr>
          <w:rFonts w:ascii="맑은 고딕" w:hAnsi="맑은 고딕" w:eastAsia="맑은 고딕"/>
          <w:b/>
          <w:i w:val="0"/>
          <w:sz w:val="21"/>
        </w:rPr>
        <w:t>Groq LPU 라이선싱 거래(약 $20B)</w:t>
      </w:r>
      <w:r>
        <w:rPr>
          <w:rFonts w:ascii="맑은 고딕" w:hAnsi="맑은 고딕" w:eastAsia="맑은 고딕"/>
          <w:i w:val="0"/>
          <w:sz w:val="21"/>
        </w:rPr>
        <w:t>는 선도적인 저지연 추론 아키텍처를 이 스택에 접목해, ASIC 경제성이 가장 위협적인 추론 측면을 방어한다 [CNBC, 2025-12-24].</w:t>
      </w:r>
    </w:p>
    <w:p>
      <w:pPr>
        <w:spacing w:before="160" w:after="80"/>
      </w:pPr>
      <w:r>
        <w:rPr>
          <w:rFonts w:ascii="맑은 고딕" w:hAnsi="맑은 고딕" w:eastAsia="맑은 고딕"/>
          <w:b/>
          <w:color w:val="1A1A1A"/>
          <w:sz w:val="22"/>
        </w:rPr>
        <w:t>게이밍, 프로페셔널 비주얼라이제이션, 오토모티브</w:t>
      </w:r>
    </w:p>
    <w:p>
      <w:pPr>
        <w:spacing w:after="120"/>
      </w:pPr>
      <w:r>
        <w:rPr>
          <w:rFonts w:ascii="맑은 고딕" w:hAnsi="맑은 고딕" w:eastAsia="맑은 고딕"/>
          <w:b/>
          <w:i w:val="0"/>
          <w:sz w:val="21"/>
        </w:rPr>
        <w:t>GeForce RTX 50 시리즈</w:t>
      </w:r>
      <w:r>
        <w:rPr>
          <w:rFonts w:ascii="맑은 고딕" w:hAnsi="맑은 고딕" w:eastAsia="맑은 고딕"/>
          <w:i w:val="0"/>
          <w:sz w:val="21"/>
        </w:rPr>
        <w:t xml:space="preserve">(Blackwell)는 $299(RTX 5060 등급)부터 $2,000 이상(RTX 5090)까지 아우르며, AI 기반 DLSS 4 프레임 생성이 차별화 요소다. 게이밍은 FY2026에 $16.0B을 기록했고, 갈수록 로컬 AI PC의 설치 기반 역할도 겸한다. GeForce NOW는 이 프랜차이즈를 클라우드 스트리밍으로 확장한다. </w:t>
      </w:r>
      <w:r>
        <w:rPr>
          <w:rFonts w:ascii="맑은 고딕" w:hAnsi="맑은 고딕" w:eastAsia="맑은 고딕"/>
          <w:b/>
          <w:i w:val="0"/>
          <w:sz w:val="21"/>
        </w:rPr>
        <w:t>Professional Visualization</w:t>
      </w:r>
      <w:r>
        <w:rPr>
          <w:rFonts w:ascii="맑은 고딕" w:hAnsi="맑은 고딕" w:eastAsia="맑은 고딕"/>
          <w:i w:val="0"/>
          <w:sz w:val="21"/>
        </w:rPr>
        <w:t xml:space="preserve">($3.2B, +70%)은 RTX 워크스테이션과 Omniverse를 디자인/엔지니어링에 판매한다. </w:t>
      </w:r>
      <w:r>
        <w:rPr>
          <w:rFonts w:ascii="맑은 고딕" w:hAnsi="맑은 고딕" w:eastAsia="맑은 고딕"/>
          <w:b/>
          <w:i w:val="0"/>
          <w:sz w:val="21"/>
        </w:rPr>
        <w:t>Automotive &amp; Robotics</w:t>
      </w:r>
      <w:r>
        <w:rPr>
          <w:rFonts w:ascii="맑은 고딕" w:hAnsi="맑은 고딕" w:eastAsia="맑은 고딕"/>
          <w:i w:val="0"/>
          <w:sz w:val="21"/>
        </w:rPr>
        <w:t xml:space="preserve">($2.3B, +39%)는 </w:t>
      </w:r>
      <w:r>
        <w:rPr>
          <w:rFonts w:ascii="맑은 고딕" w:hAnsi="맑은 고딕" w:eastAsia="맑은 고딕"/>
          <w:b/>
          <w:i w:val="0"/>
          <w:sz w:val="21"/>
        </w:rPr>
        <w:t>DRIVE AGX Thor</w:t>
      </w:r>
      <w:r>
        <w:rPr>
          <w:rFonts w:ascii="맑은 고딕" w:hAnsi="맑은 고딕" w:eastAsia="맑은 고딕"/>
          <w:i w:val="0"/>
          <w:sz w:val="21"/>
        </w:rPr>
        <w:t>(초기 양산 중)를 Toyota, Mercedes-Benz, 중국 EV 제조사 등 파트너에게 출하하고, 로보틱스용 Jetson/IGX도 제공한다 — 오늘날은 작지만, 경영진이 가장 강조하는 "물리적 AI(physical AI)" 옵션 가치다.</w:t>
      </w:r>
    </w:p>
    <w:p>
      <w:pPr>
        <w:spacing w:before="160" w:after="80"/>
      </w:pPr>
      <w:r>
        <w:rPr>
          <w:rFonts w:ascii="맑은 고딕" w:hAnsi="맑은 고딕" w:eastAsia="맑은 고딕"/>
          <w:b/>
          <w:color w:val="1A1A1A"/>
          <w:sz w:val="22"/>
        </w:rPr>
        <w:t>가격 모델</w:t>
      </w:r>
    </w:p>
    <w:p>
      <w:pPr>
        <w:spacing w:after="120"/>
      </w:pPr>
      <w:r>
        <w:rPr>
          <w:rFonts w:ascii="맑은 고딕" w:hAnsi="맑은 고딕" w:eastAsia="맑은 고딕"/>
          <w:i w:val="0"/>
          <w:sz w:val="21"/>
        </w:rPr>
        <w:t>NVIDIA는 실리콘 원가가 아니라 시스템 가치와 토큰당 총소유비용(TCO)에 기반해 가격을 책정하며, 이것이 70%대 중반 매출총이익률의 원천이다. 전략은 세대마다 달러당 성능을 약 10배 높이면서 절대 가격은 높게 유지하는 것으로, NVIDIA의 랙당 매출이 상승하는 와중에도 고객의 경제성이 개선되게 한다. 이 "가격 우산(price umbrella)"은 생태계에 자금을 대지만, 동시에 모든 경쟁사가 노리는 진입 지점이기도 하다.</w:t>
      </w:r>
    </w:p>
    <w:p>
      <w:pPr>
        <w:spacing w:after="120"/>
      </w:pPr>
      <w:r>
        <w:rPr>
          <w:rFonts w:ascii="맑은 고딕" w:hAnsi="맑은 고딕" w:eastAsia="맑은 고딕"/>
          <w:i w:val="0"/>
          <w:sz w:val="21"/>
        </w:rPr>
        <w:t>---</w:t>
      </w:r>
    </w:p>
    <w:p>
      <w:pPr>
        <w:spacing w:before="240" w:after="80"/>
        <w:pBdr>
          <w:bottom w:val="single" w:sz="6" w:space="2" w:color="1F3864"/>
        </w:pBdr>
      </w:pPr>
      <w:r>
        <w:rPr>
          <w:rFonts w:ascii="맑은 고딕" w:hAnsi="맑은 고딕" w:eastAsia="맑은 고딕"/>
          <w:b/>
          <w:color w:val="1F3864"/>
          <w:sz w:val="30"/>
        </w:rPr>
        <w:t>고객 및 시장 진입 전략</w:t>
      </w:r>
    </w:p>
    <w:p>
      <w:pPr>
        <w:spacing w:before="160" w:after="80"/>
      </w:pPr>
      <w:r>
        <w:rPr>
          <w:rFonts w:ascii="맑은 고딕" w:hAnsi="맑은 고딕" w:eastAsia="맑은 고딕"/>
          <w:b/>
          <w:color w:val="1A1A1A"/>
          <w:sz w:val="22"/>
        </w:rPr>
        <w:t>집중도: 고객을 규정하는 사실</w:t>
      </w:r>
    </w:p>
    <w:p>
      <w:pPr>
        <w:spacing w:after="120"/>
      </w:pPr>
      <w:r>
        <w:rPr>
          <w:rFonts w:ascii="맑은 고딕" w:hAnsi="맑은 고딕" w:eastAsia="맑은 고딕"/>
          <w:i w:val="0"/>
          <w:sz w:val="21"/>
        </w:rPr>
        <w:t xml:space="preserve">NVIDIA의 매출은 소수의 직접 고객(클라우드 사업자, ODM, 최종 고객을 대신해 구매하는 시스템 통합업체 포함)에 극도로 집중되어 있다. FY2026 10-K에 따르면, </w:t>
      </w:r>
      <w:r>
        <w:rPr>
          <w:rFonts w:ascii="맑은 고딕" w:hAnsi="맑은 고딕" w:eastAsia="맑은 고딕"/>
          <w:b/>
          <w:i w:val="0"/>
          <w:sz w:val="21"/>
        </w:rPr>
        <w:t>한 직접 고객이 FY2026 총매출의 22%, 또 다른 고객이 14%를 차지했다</w:t>
      </w:r>
      <w:r>
        <w:rPr>
          <w:rFonts w:ascii="맑은 고딕" w:hAnsi="맑은 고딕" w:eastAsia="맑은 고딕"/>
          <w:i w:val="0"/>
          <w:sz w:val="21"/>
        </w:rPr>
        <w:t xml:space="preserve">. FY2027 1분기 10-Q에서는 </w:t>
      </w:r>
      <w:r>
        <w:rPr>
          <w:rFonts w:ascii="맑은 고딕" w:hAnsi="맑은 고딕" w:eastAsia="맑은 고딕"/>
          <w:b/>
          <w:i w:val="0"/>
          <w:sz w:val="21"/>
        </w:rPr>
        <w:t>세 직접 고객이 각각 21%, 17%, 16% — 총매출의 54%</w:t>
      </w:r>
      <w:r>
        <w:rPr>
          <w:rFonts w:ascii="맑은 고딕" w:hAnsi="맑은 고딕" w:eastAsia="맑은 고딕"/>
          <w:i w:val="0"/>
          <w:sz w:val="21"/>
        </w:rPr>
        <w:t>를 차지했으며, 모두 Compute &amp; Networking에 귀속된다 [NVIDIA 10-K FY2026; 10-Q Q1 FY2027]. 앞선 FY2026 공시는 10% 초과 고객 네 곳이 매출의 61%를 차지했음을 보여줬다 [Motley Fool, 2025-11-27]. 직접 고객이 중개하기 때문에 최종 고객 집중도는 하이퍼스케일러 자본지출로 읽는 것이 가장 정확하다: Amazon(약 $200B), Microsoft(약 $190B), Google(약 $175–185B), Meta(약 $115–145B)는 2026년에 합산 약 $725B의 자본지출을 계획하며, 이는 전년 대비 77% 증가한 것으로 이 중 약 4분의 3이 AI 인프라를 겨냥한다 [Tom's Hardware, 2026; CNBC, 2026-02-06]. Oracle, CoreWeave 및 기타 네오클라우드가 제2 계층을 이루는데 — 이 중 여럿은 NVIDIA 투자나 백스톱으로 부분적으로 자금을 조달받았으며, 투자자들이 반드시 모니터링해야 할 순환성(circularity)이다.</w:t>
      </w:r>
    </w:p>
    <w:p>
      <w:pPr>
        <w:spacing w:before="160" w:after="80"/>
      </w:pPr>
      <w:r>
        <w:rPr>
          <w:rFonts w:ascii="맑은 고딕" w:hAnsi="맑은 고딕" w:eastAsia="맑은 고딕"/>
          <w:b/>
          <w:color w:val="1A1A1A"/>
          <w:sz w:val="22"/>
        </w:rPr>
        <w:t>하이퍼스케일러를 넘어선 세그먼트</w:t>
      </w:r>
    </w:p>
    <w:p>
      <w:pPr>
        <w:spacing w:after="120"/>
      </w:pPr>
      <w:r>
        <w:rPr>
          <w:rFonts w:ascii="맑은 고딕" w:hAnsi="맑은 고딕" w:eastAsia="맑은 고딕"/>
          <w:i w:val="0"/>
          <w:sz w:val="21"/>
        </w:rPr>
        <w:t xml:space="preserve">경영진은 세 가지 다각화 축을 강조한다. </w:t>
      </w:r>
      <w:r>
        <w:rPr>
          <w:rFonts w:ascii="맑은 고딕" w:hAnsi="맑은 고딕" w:eastAsia="맑은 고딕"/>
          <w:b/>
          <w:i w:val="0"/>
          <w:sz w:val="21"/>
        </w:rPr>
        <w:t>모델 랩(Model labs)</w:t>
      </w:r>
      <w:r>
        <w:rPr>
          <w:rFonts w:ascii="맑은 고딕" w:hAnsi="맑은 고딕" w:eastAsia="맑은 고딕"/>
          <w:i w:val="0"/>
          <w:sz w:val="21"/>
        </w:rPr>
        <w:t xml:space="preserve">: OpenAI(10 GW 의향서, NVIDIA 최대 $100B 투자)와 Anthropic(1 GW 초기 약정, 최대 $10B 투자)은 이제 단순히 클라우드의 임차인이 아니라 직접적인 전략 고객이다. </w:t>
      </w:r>
      <w:r>
        <w:rPr>
          <w:rFonts w:ascii="맑은 고딕" w:hAnsi="맑은 고딕" w:eastAsia="맑은 고딕"/>
          <w:b/>
          <w:i w:val="0"/>
          <w:sz w:val="21"/>
        </w:rPr>
        <w:t>소버린 AI</w:t>
      </w:r>
      <w:r>
        <w:rPr>
          <w:rFonts w:ascii="맑은 고딕" w:hAnsi="맑은 고딕" w:eastAsia="맑은 고딕"/>
          <w:i w:val="0"/>
          <w:sz w:val="21"/>
        </w:rPr>
        <w:t xml:space="preserve">: 국가 규모 프로그램 — Stargate UAE(5 GW 캠퍼스; 첫 200 MW 단계는 2026년 목표), UAE의 Aleria 구축, SoftBank·NTT DATA·Hitachi·Sakana AI·Institute of Science Tokyo와 함께한 일본의 2026년 국가 추진, 그리고 유럽 및 사우디 프로그램 — 은 미국 하이퍼스케일러 예산에 얽매이지 않은 수백억 달러의 수요를 대표한다 [G42/Stargate UAE 발표; Nikkei Asia, 2026년 7월]. </w:t>
      </w:r>
      <w:r>
        <w:rPr>
          <w:rFonts w:ascii="맑은 고딕" w:hAnsi="맑은 고딕" w:eastAsia="맑은 고딕"/>
          <w:b/>
          <w:i w:val="0"/>
          <w:sz w:val="21"/>
        </w:rPr>
        <w:t>엔터프라이즈</w:t>
      </w:r>
      <w:r>
        <w:rPr>
          <w:rFonts w:ascii="맑은 고딕" w:hAnsi="맑은 고딕" w:eastAsia="맑은 고딕"/>
          <w:i w:val="0"/>
          <w:sz w:val="21"/>
        </w:rPr>
        <w:t>: AI Enterprise 소프트웨어, RTX 워크스테이션, 그리고 수직 플랫폼(헬스케어, Nokia AI-RAN 파트너십을 통한 통신, 산업용 디지털 트윈).</w:t>
      </w:r>
    </w:p>
    <w:p>
      <w:pPr>
        <w:spacing w:before="160" w:after="80"/>
      </w:pPr>
      <w:r>
        <w:rPr>
          <w:rFonts w:ascii="맑은 고딕" w:hAnsi="맑은 고딕" w:eastAsia="맑은 고딕"/>
          <w:b/>
          <w:color w:val="1A1A1A"/>
          <w:sz w:val="22"/>
        </w:rPr>
        <w:t>시장 진입 경로</w:t>
      </w:r>
    </w:p>
    <w:p>
      <w:pPr>
        <w:spacing w:after="120"/>
      </w:pPr>
      <w:r>
        <w:rPr>
          <w:rFonts w:ascii="맑은 고딕" w:hAnsi="맑은 고딕" w:eastAsia="맑은 고딕"/>
          <w:i w:val="0"/>
          <w:sz w:val="21"/>
        </w:rPr>
        <w:t xml:space="preserve">NVIDIA는 하이브리드 모델로 판매한다: 하이퍼스케일러 및 대형 모델 랩과의 직접 관계(NVIDIA 솔루션 아키텍트가 사실상 데이터센터를 공동 설계); 시스템을 제조·유통하는 ODM/OEM 파트너(Foxconn, Quanta, Supermicro, Dell, HPE, Lenovo); 클라우드 마켓플레이스(모든 주요 클라우드가 NVIDIA 인스턴스를 임대); 그리고 게이밍/워크스테이션 카드의 채널 유통이다. GTM 방식은 부품 판매에서 </w:t>
      </w:r>
      <w:r>
        <w:rPr>
          <w:rFonts w:ascii="맑은 고딕" w:hAnsi="맑은 고딕" w:eastAsia="맑은 고딕"/>
          <w:b/>
          <w:i w:val="0"/>
          <w:sz w:val="21"/>
        </w:rPr>
        <w:t>"AI 팩토리"</w:t>
      </w:r>
      <w:r>
        <w:rPr>
          <w:rFonts w:ascii="맑은 고딕" w:hAnsi="맑은 고딕" w:eastAsia="맑은 고딕"/>
          <w:i w:val="0"/>
          <w:sz w:val="21"/>
        </w:rPr>
        <w:t xml:space="preserve"> 판매 — NVIDIA가 컴퓨팅, 네트워킹, 소프트웨어, 때로는 금융을 묶어 제공하는 다년, 기가와트 규모 인프라 프로그램 — 로 이동했다. 사례: OpenAI의 Stargate 단지; Anthropic의 1 GW Grace Blackwell/Vera Rubin 약정; Meta의 내부 MTIA 프로그램과 병행되는 다중 기가와트 Blackwell 플릿 — 이는 맞춤 실리콘을 구축하는 고객조차 기록적인 수준으로 NVIDIA를 계속 구매함을 보여준다.</w:t>
      </w:r>
    </w:p>
    <w:p>
      <w:pPr>
        <w:spacing w:after="120"/>
      </w:pPr>
      <w:r>
        <w:rPr>
          <w:rFonts w:ascii="맑은 고딕" w:hAnsi="맑은 고딕" w:eastAsia="맑은 고딕"/>
          <w:i w:val="0"/>
          <w:sz w:val="21"/>
        </w:rPr>
        <w:t>---</w:t>
      </w:r>
    </w:p>
    <w:p>
      <w:pPr>
        <w:jc w:val="center"/>
      </w:pPr>
      <w:r>
        <w:drawing>
          <wp:inline xmlns:a="http://schemas.openxmlformats.org/drawingml/2006/main" xmlns:pic="http://schemas.openxmlformats.org/drawingml/2006/picture">
            <wp:extent cx="5120640" cy="2944893"/>
            <wp:docPr id="6" name="Picture 6"/>
            <wp:cNvGraphicFramePr>
              <a:graphicFrameLocks noChangeAspect="1"/>
            </wp:cNvGraphicFramePr>
            <a:graphic>
              <a:graphicData uri="http://schemas.openxmlformats.org/drawingml/2006/picture">
                <pic:pic>
                  <pic:nvPicPr>
                    <pic:cNvPr id="0" name="chart_09_customer_segmentation.png"/>
                    <pic:cNvPicPr/>
                  </pic:nvPicPr>
                  <pic:blipFill>
                    <a:blip r:embed="rId14"/>
                    <a:stretch>
                      <a:fillRect/>
                    </a:stretch>
                  </pic:blipFill>
                  <pic:spPr>
                    <a:xfrm>
                      <a:off x="0" y="0"/>
                      <a:ext cx="5120640" cy="2944893"/>
                    </a:xfrm>
                    <a:prstGeom prst="rect"/>
                  </pic:spPr>
                </pic:pic>
              </a:graphicData>
            </a:graphic>
          </wp:inline>
        </w:drawing>
      </w:r>
    </w:p>
    <w:p>
      <w:pPr>
        <w:spacing w:after="200"/>
      </w:pPr>
      <w:r>
        <w:rPr>
          <w:rFonts w:ascii="맑은 고딕" w:hAnsi="맑은 고딕" w:eastAsia="맑은 고딕"/>
          <w:i/>
          <w:color w:val="595959"/>
          <w:sz w:val="16"/>
        </w:rPr>
        <w:t>그림 9 — 고객 집중도(상위 3사 ≈ 54%). 자료: 10-Q.</w:t>
      </w:r>
    </w:p>
    <w:p>
      <w:pPr>
        <w:spacing w:before="240" w:after="80"/>
        <w:pBdr>
          <w:bottom w:val="single" w:sz="6" w:space="2" w:color="1F3864"/>
        </w:pBdr>
      </w:pPr>
      <w:r>
        <w:rPr>
          <w:rFonts w:ascii="맑은 고딕" w:hAnsi="맑은 고딕" w:eastAsia="맑은 고딕"/>
          <w:b/>
          <w:color w:val="1F3864"/>
          <w:sz w:val="30"/>
        </w:rPr>
        <w:t>산업 개요</w:t>
      </w:r>
    </w:p>
    <w:p>
      <w:pPr>
        <w:spacing w:before="160" w:after="80"/>
      </w:pPr>
      <w:r>
        <w:rPr>
          <w:rFonts w:ascii="맑은 고딕" w:hAnsi="맑은 고딕" w:eastAsia="맑은 고딕"/>
          <w:b/>
          <w:color w:val="1A1A1A"/>
          <w:sz w:val="22"/>
        </w:rPr>
        <w:t>한 세대에 한 번뿐인 반도체 사이클</w:t>
      </w:r>
    </w:p>
    <w:p>
      <w:pPr>
        <w:spacing w:after="120"/>
      </w:pPr>
      <w:r>
        <w:rPr>
          <w:rFonts w:ascii="맑은 고딕" w:hAnsi="맑은 고딕" w:eastAsia="맑은 고딕"/>
          <w:i w:val="0"/>
          <w:sz w:val="21"/>
        </w:rPr>
        <w:t xml:space="preserve">2026년은 반도체 역사상 최대의 단일 연도 확장이 될 조짐이다. </w:t>
      </w:r>
      <w:r>
        <w:rPr>
          <w:rFonts w:ascii="맑은 고딕" w:hAnsi="맑은 고딕" w:eastAsia="맑은 고딕"/>
          <w:b/>
          <w:i w:val="0"/>
          <w:sz w:val="21"/>
        </w:rPr>
        <w:t>Gartner는 2026년 전 세계 반도체 매출이 $1.3조를 초과하며 64% 증가</w:t>
      </w:r>
      <w:r>
        <w:rPr>
          <w:rFonts w:ascii="맑은 고딕" w:hAnsi="맑은 고딕" w:eastAsia="맑은 고딕"/>
          <w:i w:val="0"/>
          <w:sz w:val="21"/>
        </w:rPr>
        <w:t xml:space="preserve">할 것으로 전망하는데 — 20년 만의 최고 성장 — , 산업 단체 </w:t>
      </w:r>
      <w:r>
        <w:rPr>
          <w:rFonts w:ascii="맑은 고딕" w:hAnsi="맑은 고딕" w:eastAsia="맑은 고딕"/>
          <w:b/>
          <w:i w:val="0"/>
          <w:sz w:val="21"/>
        </w:rPr>
        <w:t>WSTS의 2026년 봄 전망은 그보다 더 높은 $1.51조(+90%)</w:t>
      </w:r>
      <w:r>
        <w:rPr>
          <w:rFonts w:ascii="맑은 고딕" w:hAnsi="맑은 고딕" w:eastAsia="맑은 고딕"/>
          <w:i w:val="0"/>
          <w:sz w:val="21"/>
        </w:rPr>
        <w:t xml:space="preserve">로, 압도적으로 AI가 견인한다 [Gartner, 2026-04-08; WSTS, 2026]. 그 안에서, "memflation"(AI 수요가 촉발한 HBM 및 일반 DRAM 부족) 속에 </w:t>
      </w:r>
      <w:r>
        <w:rPr>
          <w:rFonts w:ascii="맑은 고딕" w:hAnsi="맑은 고딕" w:eastAsia="맑은 고딕"/>
          <w:b/>
          <w:i w:val="0"/>
          <w:sz w:val="21"/>
        </w:rPr>
        <w:t>메모리는 약 250% 급증해 $800B을 넘어설 것</w:t>
      </w:r>
      <w:r>
        <w:rPr>
          <w:rFonts w:ascii="맑은 고딕" w:hAnsi="맑은 고딕" w:eastAsia="맑은 고딕"/>
          <w:i w:val="0"/>
          <w:sz w:val="21"/>
        </w:rPr>
        <w:t xml:space="preserve">으로 전망되고, 로직은 약 37% 성장할 전망이다. Deloitte는 </w:t>
      </w:r>
      <w:r>
        <w:rPr>
          <w:rFonts w:ascii="맑은 고딕" w:hAnsi="맑은 고딕" w:eastAsia="맑은 고딕"/>
          <w:b/>
          <w:i w:val="0"/>
          <w:sz w:val="21"/>
        </w:rPr>
        <w:t>AI 칩 시장만으로 2026년에 약 $500B</w:t>
      </w:r>
      <w:r>
        <w:rPr>
          <w:rFonts w:ascii="맑은 고딕" w:hAnsi="맑은 고딕" w:eastAsia="맑은 고딕"/>
          <w:i w:val="0"/>
          <w:sz w:val="21"/>
        </w:rPr>
        <w:t>로 추산한다 [Deloitte 2026 반도체 전망]. 맥락을 위해 덧붙이면, 전체 반도체 산업은 2021년에 약 $600B였는데 — AI 가속기가 이제 그 규모에 홀로 필적할 수 있다.</w:t>
      </w:r>
    </w:p>
    <w:p>
      <w:pPr>
        <w:spacing w:before="160" w:after="80"/>
      </w:pPr>
      <w:r>
        <w:rPr>
          <w:rFonts w:ascii="맑은 고딕" w:hAnsi="맑은 고딕" w:eastAsia="맑은 고딕"/>
          <w:b/>
          <w:color w:val="1A1A1A"/>
          <w:sz w:val="22"/>
        </w:rPr>
        <w:t>자본지출 엔진</w:t>
      </w:r>
    </w:p>
    <w:p>
      <w:pPr>
        <w:spacing w:after="120"/>
      </w:pPr>
      <w:r>
        <w:rPr>
          <w:rFonts w:ascii="맑은 고딕" w:hAnsi="맑은 고딕" w:eastAsia="맑은 고딕"/>
          <w:i w:val="0"/>
          <w:sz w:val="21"/>
        </w:rPr>
        <w:t xml:space="preserve">수요 측은 하이퍼스케일러 자본지출에 정박되어 있다: 4대 기업(Amazon, Microsoft, Google, Meta)은 </w:t>
      </w:r>
      <w:r>
        <w:rPr>
          <w:rFonts w:ascii="맑은 고딕" w:hAnsi="맑은 고딕" w:eastAsia="맑은 고딕"/>
          <w:b/>
          <w:i w:val="0"/>
          <w:sz w:val="21"/>
        </w:rPr>
        <w:t>2026년에 약 $725B의 자본지출(+77% 전년비)</w:t>
      </w:r>
      <w:r>
        <w:rPr>
          <w:rFonts w:ascii="맑은 고딕" w:hAnsi="맑은 고딕" w:eastAsia="맑은 고딕"/>
          <w:i w:val="0"/>
          <w:sz w:val="21"/>
        </w:rPr>
        <w:t xml:space="preserve">을 계획하고 있으며, Oracle과 네오클라우드를 포함하면 2026년 AI 시대 자본지출 추정치는 $700–900B에 달하고, Goldman Sachs는 </w:t>
      </w:r>
      <w:r>
        <w:rPr>
          <w:rFonts w:ascii="맑은 고딕" w:hAnsi="맑은 고딕" w:eastAsia="맑은 고딕"/>
          <w:b/>
          <w:i w:val="0"/>
          <w:sz w:val="21"/>
        </w:rPr>
        <w:t>4대 하이퍼스케일러의 FY2025–FY2030 누적 자본지출을 $5.3조</w:t>
      </w:r>
      <w:r>
        <w:rPr>
          <w:rFonts w:ascii="맑은 고딕" w:hAnsi="맑은 고딕" w:eastAsia="맑은 고딕"/>
          <w:i w:val="0"/>
          <w:sz w:val="21"/>
        </w:rPr>
        <w:t>로 전망한다 [Tom's Hardware; CNBC; Introl, 2026]. 갈수록 이 지출은 부채로 조달되며 모델 랩 약정(OpenAI의 계약 컴퓨팅 의무는 공급업체 전반에 걸쳐 $1조를 초과한다는 보도), 소버린 프로그램, 엔터프라이즈 채택으로 보강된다. 지속가능성 문제 — AI 매출 성장이 이 자본지출을 정당화하는지 — 는 2026년의 핵심 거시 논쟁이다: AI 귀속 매출(클라우드 AI 서비스, Copilot류 구독, 모델 API 매출)은 빠르게 성장하고 있지만 여전히 연환산 인프라 지출보다 한 자릿수 크기 낮으며, 2026년 6월 시장 논평은 "자본지출-매출 격차(capex-to-revenue gap)"를 재평가하기 시작했다 [Forbes, 2026-06-02].</w:t>
      </w:r>
    </w:p>
    <w:p>
      <w:pPr>
        <w:spacing w:before="160" w:after="80"/>
      </w:pPr>
      <w:r>
        <w:rPr>
          <w:rFonts w:ascii="맑은 고딕" w:hAnsi="맑은 고딕" w:eastAsia="맑은 고딕"/>
          <w:b/>
          <w:color w:val="1A1A1A"/>
          <w:sz w:val="22"/>
        </w:rPr>
        <w:t>공급망 구조</w:t>
      </w:r>
    </w:p>
    <w:p>
      <w:pPr>
        <w:spacing w:after="120"/>
      </w:pPr>
      <w:r>
        <w:rPr>
          <w:rFonts w:ascii="맑은 고딕" w:hAnsi="맑은 고딕" w:eastAsia="맑은 고딕"/>
          <w:i w:val="0"/>
          <w:sz w:val="21"/>
        </w:rPr>
        <w:t xml:space="preserve">AI 컴퓨팅 공급망은 일련의 병목 지점이다: </w:t>
      </w:r>
      <w:r>
        <w:rPr>
          <w:rFonts w:ascii="맑은 고딕" w:hAnsi="맑은 고딕" w:eastAsia="맑은 고딕"/>
          <w:b/>
          <w:i w:val="0"/>
          <w:sz w:val="21"/>
        </w:rPr>
        <w:t>TSMC</w:t>
      </w:r>
      <w:r>
        <w:rPr>
          <w:rFonts w:ascii="맑은 고딕" w:hAnsi="맑은 고딕" w:eastAsia="맑은 고딕"/>
          <w:i w:val="0"/>
          <w:sz w:val="21"/>
        </w:rPr>
        <w:t xml:space="preserve">는 사실상 모든 선단 AI 실리콘(NVIDIA, AMD, 그리고 Broadcom/Marvell/MediaTek를 통한 모든 하이퍼스케일러 ASIC)을 제조하며, 그 </w:t>
      </w:r>
      <w:r>
        <w:rPr>
          <w:rFonts w:ascii="맑은 고딕" w:hAnsi="맑은 고딕" w:eastAsia="맑은 고딕"/>
          <w:b/>
          <w:i w:val="0"/>
          <w:sz w:val="21"/>
        </w:rPr>
        <w:t>CoWoS 첨단 패키징</w:t>
      </w:r>
      <w:r>
        <w:rPr>
          <w:rFonts w:ascii="맑은 고딕" w:hAnsi="맑은 고딕" w:eastAsia="맑은 고딕"/>
          <w:i w:val="0"/>
          <w:sz w:val="21"/>
        </w:rPr>
        <w:t xml:space="preserve"> 용량이 가속기 산출의 결정적 제약이다. SK hynix(선두), Samsung, Micron의 </w:t>
      </w:r>
      <w:r>
        <w:rPr>
          <w:rFonts w:ascii="맑은 고딕" w:hAnsi="맑은 고딕" w:eastAsia="맑은 고딕"/>
          <w:b/>
          <w:i w:val="0"/>
          <w:sz w:val="21"/>
        </w:rPr>
        <w:t>HBM</w:t>
      </w:r>
      <w:r>
        <w:rPr>
          <w:rFonts w:ascii="맑은 고딕" w:hAnsi="맑은 고딕" w:eastAsia="맑은 고딕"/>
          <w:i w:val="0"/>
          <w:sz w:val="21"/>
        </w:rPr>
        <w:t>(고대역폭 메모리)이 두 번째 제약으로, Rubin 세대 부품용 HBM4가 램프업 중이며 메모리 가격은 산업 전반에 걸쳐 인플레이션 중이다. 전력 가용성과 그리드 연계가 세 번째가 되었다 — 그리하여 산업의 수요 지표가 단위 수가 아니라 기가와트가 되었다.</w:t>
      </w:r>
    </w:p>
    <w:p>
      <w:pPr>
        <w:spacing w:before="160" w:after="80"/>
      </w:pPr>
      <w:r>
        <w:rPr>
          <w:rFonts w:ascii="맑은 고딕" w:hAnsi="맑은 고딕" w:eastAsia="맑은 고딕"/>
          <w:b/>
          <w:color w:val="1A1A1A"/>
          <w:sz w:val="22"/>
        </w:rPr>
        <w:t>진입 장벽과 산업 구조</w:t>
      </w:r>
    </w:p>
    <w:p>
      <w:pPr>
        <w:spacing w:after="120"/>
      </w:pPr>
      <w:r>
        <w:rPr>
          <w:rFonts w:ascii="맑은 고딕" w:hAnsi="맑은 고딕" w:eastAsia="맑은 고딕"/>
          <w:i w:val="0"/>
          <w:sz w:val="21"/>
        </w:rPr>
        <w:t xml:space="preserve">장벽은 가공할 수준이며 상승하고 있다: (1) </w:t>
      </w:r>
      <w:r>
        <w:rPr>
          <w:rFonts w:ascii="맑은 고딕" w:hAnsi="맑은 고딕" w:eastAsia="맑은 고딕"/>
          <w:b/>
          <w:i w:val="0"/>
          <w:sz w:val="21"/>
        </w:rPr>
        <w:t>자본</w:t>
      </w:r>
      <w:r>
        <w:rPr>
          <w:rFonts w:ascii="맑은 고딕" w:hAnsi="맑은 고딕" w:eastAsia="맑은 고딕"/>
          <w:i w:val="0"/>
          <w:sz w:val="21"/>
        </w:rPr>
        <w:t xml:space="preserve"> — 경쟁력 있는 학습급 가속기 프로그램은 실리콘 설계에 수십억 달러, 여기에 예약된 TSMC/HBM 용량이 든다; (2) </w:t>
      </w:r>
      <w:r>
        <w:rPr>
          <w:rFonts w:ascii="맑은 고딕" w:hAnsi="맑은 고딕" w:eastAsia="맑은 고딕"/>
          <w:b/>
          <w:i w:val="0"/>
          <w:sz w:val="21"/>
        </w:rPr>
        <w:t>소프트웨어</w:t>
      </w:r>
      <w:r>
        <w:rPr>
          <w:rFonts w:ascii="맑은 고딕" w:hAnsi="맑은 고딕" w:eastAsia="맑은 고딕"/>
          <w:i w:val="0"/>
          <w:sz w:val="21"/>
        </w:rPr>
        <w:t xml:space="preserve"> — CUDA의 20년 생태계; 모든 도전자는 이식(porting)을 보조해야 한다; (3) </w:t>
      </w:r>
      <w:r>
        <w:rPr>
          <w:rFonts w:ascii="맑은 고딕" w:hAnsi="맑은 고딕" w:eastAsia="맑은 고딕"/>
          <w:b/>
          <w:i w:val="0"/>
          <w:sz w:val="21"/>
        </w:rPr>
        <w:t>시스템 엔지니어링</w:t>
      </w:r>
      <w:r>
        <w:rPr>
          <w:rFonts w:ascii="맑은 고딕" w:hAnsi="맑은 고딕" w:eastAsia="맑은 고딕"/>
          <w:i w:val="0"/>
          <w:sz w:val="21"/>
        </w:rPr>
        <w:t xml:space="preserve"> — 게임은 칩에서 120 kW 액체 냉각 랙과 기가와트 캠퍼스로 이동했으며, 컴퓨팅·네트워킹·전력·냉각의 공동 설계가 기존 사업자에게 유리하다; (4) </w:t>
      </w:r>
      <w:r>
        <w:rPr>
          <w:rFonts w:ascii="맑은 고딕" w:hAnsi="맑은 고딕" w:eastAsia="맑은 고딕"/>
          <w:b/>
          <w:i w:val="0"/>
          <w:sz w:val="21"/>
        </w:rPr>
        <w:t>주기(cadence)</w:t>
      </w:r>
      <w:r>
        <w:rPr>
          <w:rFonts w:ascii="맑은 고딕" w:hAnsi="맑은 고딕" w:eastAsia="맑은 고딕"/>
          <w:i w:val="0"/>
          <w:sz w:val="21"/>
        </w:rPr>
        <w:t xml:space="preserve"> — NVIDIA의 1년 아키텍처 리듬은 경쟁사가 움직이는 표적을 맞추도록 강제한다; 그리고 (5) </w:t>
      </w:r>
      <w:r>
        <w:rPr>
          <w:rFonts w:ascii="맑은 고딕" w:hAnsi="맑은 고딕" w:eastAsia="맑은 고딕"/>
          <w:b/>
          <w:i w:val="0"/>
          <w:sz w:val="21"/>
        </w:rPr>
        <w:t>공급망 선점</w:t>
      </w:r>
      <w:r>
        <w:rPr>
          <w:rFonts w:ascii="맑은 고딕" w:hAnsi="맑은 고딕" w:eastAsia="맑은 고딕"/>
          <w:i w:val="0"/>
          <w:sz w:val="21"/>
        </w:rPr>
        <w:t xml:space="preserve"> — NVIDIA의 약 $119B 구매 약정은 경쟁사가 필요로 하는 웨이퍼, 패키징, HBM 공급을 묶어둔다.</w:t>
      </w:r>
    </w:p>
    <w:p>
      <w:pPr>
        <w:spacing w:before="160" w:after="80"/>
      </w:pPr>
      <w:r>
        <w:rPr>
          <w:rFonts w:ascii="맑은 고딕" w:hAnsi="맑은 고딕" w:eastAsia="맑은 고딕"/>
          <w:b/>
          <w:color w:val="1A1A1A"/>
          <w:sz w:val="22"/>
        </w:rPr>
        <w:t>규제 환경</w:t>
      </w:r>
    </w:p>
    <w:p>
      <w:pPr>
        <w:spacing w:after="120"/>
      </w:pPr>
      <w:r>
        <w:rPr>
          <w:rFonts w:ascii="맑은 고딕" w:hAnsi="맑은 고딕" w:eastAsia="맑은 고딕"/>
          <w:i w:val="0"/>
          <w:sz w:val="21"/>
        </w:rPr>
        <w:t>수출 통제는 이제 산업의 구조적 특징이다. 미국은 중국으로의 첨단 가속기를 제한하고 있으며(2025년 H20 라이선스/15% 매출 배분 사건과 미결의 B30A 결정이 정책 변동성을 보여준다); 중국은 미국 AI 칩의 국내 구매를 제한해 사실상 자국 시장을 Huawei에 넘기며 보복했다; 그리고 확산(diffusion) 형태의 규칙이 제3국 선적을 규율해 — 걸프 및 동남아시아 초대형 거래가 워싱턴의 승인에 좌우되게 만든다. 반독점 조사(GPU 할당 관행 및 끼워팔기에 대한 DOJ/EU 조사)와 AI 안전 규제는 부차적이지만 상존하는 부담이다.</w:t>
      </w:r>
    </w:p>
    <w:p>
      <w:pPr>
        <w:spacing w:after="120"/>
      </w:pPr>
      <w:r>
        <w:rPr>
          <w:rFonts w:ascii="맑은 고딕" w:hAnsi="맑은 고딕" w:eastAsia="맑은 고딕"/>
          <w:i w:val="0"/>
          <w:sz w:val="21"/>
        </w:rPr>
        <w:t>---</w:t>
      </w:r>
    </w:p>
    <w:p>
      <w:pPr>
        <w:jc w:val="center"/>
      </w:pPr>
      <w:r>
        <w:drawing>
          <wp:inline xmlns:a="http://schemas.openxmlformats.org/drawingml/2006/main" xmlns:pic="http://schemas.openxmlformats.org/drawingml/2006/picture">
            <wp:extent cx="5486400" cy="2840777"/>
            <wp:docPr id="7" name="Picture 7"/>
            <wp:cNvGraphicFramePr>
              <a:graphicFrameLocks noChangeAspect="1"/>
            </wp:cNvGraphicFramePr>
            <a:graphic>
              <a:graphicData uri="http://schemas.openxmlformats.org/drawingml/2006/picture">
                <pic:pic>
                  <pic:nvPicPr>
                    <pic:cNvPr id="0" name="chart_15_market_size_evolution.png"/>
                    <pic:cNvPicPr/>
                  </pic:nvPicPr>
                  <pic:blipFill>
                    <a:blip r:embed="rId15"/>
                    <a:stretch>
                      <a:fillRect/>
                    </a:stretch>
                  </pic:blipFill>
                  <pic:spPr>
                    <a:xfrm>
                      <a:off x="0" y="0"/>
                      <a:ext cx="5486400" cy="2840777"/>
                    </a:xfrm>
                    <a:prstGeom prst="rect"/>
                  </pic:spPr>
                </pic:pic>
              </a:graphicData>
            </a:graphic>
          </wp:inline>
        </w:drawing>
      </w:r>
    </w:p>
    <w:p>
      <w:pPr>
        <w:spacing w:after="200"/>
      </w:pPr>
      <w:r>
        <w:rPr>
          <w:rFonts w:ascii="맑은 고딕" w:hAnsi="맑은 고딕" w:eastAsia="맑은 고딕"/>
          <w:i/>
          <w:color w:val="595959"/>
          <w:sz w:val="16"/>
        </w:rPr>
        <w:t>그림 15 — AI 가속기 TAM(예시). 자료: 산업 보고서.</w:t>
      </w:r>
    </w:p>
    <w:p>
      <w:pPr>
        <w:spacing w:before="240" w:after="80"/>
        <w:pBdr>
          <w:bottom w:val="single" w:sz="6" w:space="2" w:color="1F3864"/>
        </w:pBdr>
      </w:pPr>
      <w:r>
        <w:rPr>
          <w:rFonts w:ascii="맑은 고딕" w:hAnsi="맑은 고딕" w:eastAsia="맑은 고딕"/>
          <w:b/>
          <w:color w:val="1F3864"/>
          <w:sz w:val="30"/>
        </w:rPr>
        <w:t>경쟁 환경</w:t>
      </w:r>
    </w:p>
    <w:p>
      <w:pPr>
        <w:spacing w:after="120"/>
      </w:pPr>
      <w:r>
        <w:rPr>
          <w:rFonts w:ascii="맑은 고딕" w:hAnsi="맑은 고딕" w:eastAsia="맑은 고딕"/>
          <w:i w:val="0"/>
          <w:sz w:val="21"/>
        </w:rPr>
        <w:t xml:space="preserve">NVIDIA는 가치 기준으로 AI 칩 시장의 약 70%(그리고 상용 AI 학습 실리콘의 약 85–90% 이상)를 점유하는 것으로 추정되지만, 2026년은 신뢰할 만한 대안들이 대규모로 배치되는 첫 해다: TrendForce가 인용한 데이터는 </w:t>
      </w:r>
      <w:r>
        <w:rPr>
          <w:rFonts w:ascii="맑은 고딕" w:hAnsi="맑은 고딕" w:eastAsia="맑은 고딕"/>
          <w:b/>
          <w:i w:val="0"/>
          <w:sz w:val="21"/>
        </w:rPr>
        <w:t>ASIC 기반 AI 서버가 2026년 출하량의 약 27.8%</w:t>
      </w:r>
      <w:r>
        <w:rPr>
          <w:rFonts w:ascii="맑은 고딕" w:hAnsi="맑은 고딕" w:eastAsia="맑은 고딕"/>
          <w:i w:val="0"/>
          <w:sz w:val="21"/>
        </w:rPr>
        <w:t>를 차지한다고 본다 [Tom's Hardware, 2026년 5월].</w:t>
      </w:r>
    </w:p>
    <w:p>
      <w:pPr>
        <w:spacing w:after="120"/>
      </w:pPr>
      <w:r>
        <w:rPr>
          <w:rFonts w:ascii="맑은 고딕" w:hAnsi="맑은 고딕" w:eastAsia="맑은 고딕"/>
          <w:b/>
          <w:i w:val="0"/>
          <w:sz w:val="21"/>
        </w:rPr>
        <w:t>AMD (Instinct MI400 계열)</w:t>
      </w:r>
      <w:r>
        <w:rPr>
          <w:rFonts w:ascii="맑은 고딕" w:hAnsi="맑은 고딕" w:eastAsia="맑은 고딕"/>
          <w:i w:val="0"/>
          <w:sz w:val="21"/>
        </w:rPr>
        <w:t xml:space="preserve"> — 가장 강력한 상용 도전자. MI400 시리즈는 CES 2026에서 출시되었으며(볼륨 부품인 MI450: 432 GB HBM4, 19.6 TB/s 대역폭, TSMC 2nm, Helios 랙 규모 아키텍처), 획기적인 앵커 거래를 동반했다: </w:t>
      </w:r>
      <w:r>
        <w:rPr>
          <w:rFonts w:ascii="맑은 고딕" w:hAnsi="맑은 고딕" w:eastAsia="맑은 고딕"/>
          <w:b/>
          <w:i w:val="0"/>
          <w:sz w:val="21"/>
        </w:rPr>
        <w:t>OpenAI와의 6 GW</w:t>
      </w:r>
      <w:r>
        <w:rPr>
          <w:rFonts w:ascii="맑은 고딕" w:hAnsi="맑은 고딕" w:eastAsia="맑은 고딕"/>
          <w:i w:val="0"/>
          <w:sz w:val="21"/>
        </w:rPr>
        <w:t xml:space="preserve">(2025년 10월, AMD 지분 약 10%까지에 대한 워런트 포함), </w:t>
      </w:r>
      <w:r>
        <w:rPr>
          <w:rFonts w:ascii="맑은 고딕" w:hAnsi="맑은 고딕" w:eastAsia="맑은 고딕"/>
          <w:b/>
          <w:i w:val="0"/>
          <w:sz w:val="21"/>
        </w:rPr>
        <w:t>확대된 6 GW Meta 파트너십</w:t>
      </w:r>
      <w:r>
        <w:rPr>
          <w:rFonts w:ascii="맑은 고딕" w:hAnsi="맑은 고딕" w:eastAsia="맑은 고딕"/>
          <w:i w:val="0"/>
          <w:sz w:val="21"/>
        </w:rPr>
        <w:t xml:space="preserve">(2026년 2월), 그리고 </w:t>
      </w:r>
      <w:r>
        <w:rPr>
          <w:rFonts w:ascii="맑은 고딕" w:hAnsi="맑은 고딕" w:eastAsia="맑은 고딕"/>
          <w:b/>
          <w:i w:val="0"/>
          <w:sz w:val="21"/>
        </w:rPr>
        <w:t>Oracle의 50,000 MI450 슈퍼클러스터</w:t>
      </w:r>
      <w:r>
        <w:rPr>
          <w:rFonts w:ascii="맑은 고딕" w:hAnsi="맑은 고딕" w:eastAsia="맑은 고딕"/>
          <w:i w:val="0"/>
          <w:sz w:val="21"/>
        </w:rPr>
        <w:t xml:space="preserve"> [AMD 보도자료; Tom's Hardware, 2026]. AMD의 ROCm 소프트웨어는 여전히 폭에서 CUDA에 크게 뒤처지고, 랙 규모 시스템은 인터커넥트에서 한 세대 뒤처져 있으나, 약 20–30% 할인과 제2 공급원을 절실히 원하는 고객들을 감안하면 AMD의 데이터센터 AI 매출은 낮은 기반($7B 이상 실적 추이)에서 변곡점을 맞고 있다.</w:t>
      </w:r>
    </w:p>
    <w:p>
      <w:pPr>
        <w:spacing w:after="120"/>
      </w:pPr>
      <w:r>
        <w:rPr>
          <w:rFonts w:ascii="맑은 고딕" w:hAnsi="맑은 고딕" w:eastAsia="맑은 고딕"/>
          <w:b/>
          <w:i w:val="0"/>
          <w:sz w:val="21"/>
        </w:rPr>
        <w:t>Broadcom (맞춤형 ASIC + 네트워킹)</w:t>
      </w:r>
      <w:r>
        <w:rPr>
          <w:rFonts w:ascii="맑은 고딕" w:hAnsi="맑은 고딕" w:eastAsia="맑은 고딕"/>
          <w:i w:val="0"/>
          <w:sz w:val="21"/>
        </w:rPr>
        <w:t xml:space="preserve"> — 구조적 점유율 탈취자. Broadcom은 Google의 TPU를 공동 설계하며 </w:t>
      </w:r>
      <w:r>
        <w:rPr>
          <w:rFonts w:ascii="맑은 고딕" w:hAnsi="맑은 고딕" w:eastAsia="맑은 고딕"/>
          <w:b/>
          <w:i w:val="0"/>
          <w:sz w:val="21"/>
        </w:rPr>
        <w:t>2026년 4월 Google 및 Anthropic과 확대된 다년 계약</w:t>
      </w:r>
      <w:r>
        <w:rPr>
          <w:rFonts w:ascii="맑은 고딕" w:hAnsi="맑은 고딕" w:eastAsia="맑은 고딕"/>
          <w:i w:val="0"/>
          <w:sz w:val="21"/>
        </w:rPr>
        <w:t xml:space="preserve">을 체결했고, 여기에 </w:t>
      </w:r>
      <w:r>
        <w:rPr>
          <w:rFonts w:ascii="맑은 고딕" w:hAnsi="맑은 고딕" w:eastAsia="맑은 고딕"/>
          <w:b/>
          <w:i w:val="0"/>
          <w:sz w:val="21"/>
        </w:rPr>
        <w:t>OpenAI와의 10 GW 맞춤 가속기 프로그램</w:t>
      </w:r>
      <w:r>
        <w:rPr>
          <w:rFonts w:ascii="맑은 고딕" w:hAnsi="맑은 고딕" w:eastAsia="맑은 고딕"/>
          <w:i w:val="0"/>
          <w:sz w:val="21"/>
        </w:rPr>
        <w:t>(첫 배치는 2026년 하반기)을 더했다 [CNBC, 2026-04-06]. Broadcom은 정면으로 경쟁하지 않는다; NVIDIA의 최대 고객들이 NVIDIA를 중개에서 배제하도록 무장시킨다 — 가장 대량이고 비용에 가장 민감한 워크로드(프론티어 추론)를 30–50%로 주장되는 TCO 우위로 공격하고, 여기에 NVIDIA 네트워킹과 경쟁하는 Ethernet 스위칭(Tomahawk)을 짝지으므로 가장 지속적인 경쟁 위협이다.</w:t>
      </w:r>
    </w:p>
    <w:p>
      <w:pPr>
        <w:spacing w:after="120"/>
      </w:pPr>
      <w:r>
        <w:rPr>
          <w:rFonts w:ascii="맑은 고딕" w:hAnsi="맑은 고딕" w:eastAsia="맑은 고딕"/>
          <w:b/>
          <w:i w:val="0"/>
          <w:sz w:val="21"/>
        </w:rPr>
        <w:t>Google TPU (v7 "Ironwood" 이후)</w:t>
      </w:r>
      <w:r>
        <w:rPr>
          <w:rFonts w:ascii="맑은 고딕" w:hAnsi="맑은 고딕" w:eastAsia="맑은 고딕"/>
          <w:i w:val="0"/>
          <w:sz w:val="21"/>
        </w:rPr>
        <w:t xml:space="preserve"> — 가장 성숙한 내부 대안: TPU v7(4,614 FP8 TFLOPS, 192 GB HBM3e)은 대규모로 배치되어 Gemini를 처음부터 끝까지 학습시키며, 이제 외부 고객에게 공격적으로 판매되고 있다 — </w:t>
      </w:r>
      <w:r>
        <w:rPr>
          <w:rFonts w:ascii="맑은 고딕" w:hAnsi="맑은 고딕" w:eastAsia="맑은 고딕"/>
          <w:b/>
          <w:i w:val="0"/>
          <w:sz w:val="21"/>
        </w:rPr>
        <w:t>Anthropic은 최대 약 1 GW 규모의 TPU 용량을 계약(2027년부터 차세대 약 3.5 GW 접근 포함)했다</w:t>
      </w:r>
      <w:r>
        <w:rPr>
          <w:rFonts w:ascii="맑은 고딕" w:hAnsi="맑은 고딕" w:eastAsia="맑은 고딕"/>
          <w:i w:val="0"/>
          <w:sz w:val="21"/>
        </w:rPr>
        <w:t xml:space="preserve"> [SemiAnalysis; Futurum, 2026]. Google은 클라우드 임대 수요에서 여전히 NVIDIA의 최상위 고객이지만, TPU는 프론티어 AI에 NVIDIA가 필수가 아님을 입증한다.</w:t>
      </w:r>
    </w:p>
    <w:p>
      <w:pPr>
        <w:spacing w:after="120"/>
      </w:pPr>
      <w:r>
        <w:rPr>
          <w:rFonts w:ascii="맑은 고딕" w:hAnsi="맑은 고딕" w:eastAsia="맑은 고딕"/>
          <w:b/>
          <w:i w:val="0"/>
          <w:sz w:val="21"/>
        </w:rPr>
        <w:t>Amazon (Trainium 3)</w:t>
      </w:r>
      <w:r>
        <w:rPr>
          <w:rFonts w:ascii="맑은 고딕" w:hAnsi="맑은 고딕" w:eastAsia="맑은 고딕"/>
          <w:i w:val="0"/>
          <w:sz w:val="21"/>
        </w:rPr>
        <w:t xml:space="preserve"> — 2026년 3월 일반 출시(GA); 144칩 Trn3 UltraServer는 FP8 처리량에서 Blackwell NVL72와 대략 대등하면서도 주장되는 비용은 약 40–50% 낮으며, Anthropic의 약 100만 칩 Project Rainier 플릿이 이를 정박시킨다. 2026년 6월, Amazon이 </w:t>
      </w:r>
      <w:r>
        <w:rPr>
          <w:rFonts w:ascii="맑은 고딕" w:hAnsi="맑은 고딕" w:eastAsia="맑은 고딕"/>
          <w:b/>
          <w:i w:val="0"/>
          <w:sz w:val="21"/>
        </w:rPr>
        <w:t>Trainium의 외부 판매를 검토</w:t>
      </w:r>
      <w:r>
        <w:rPr>
          <w:rFonts w:ascii="맑은 고딕" w:hAnsi="맑은 고딕" w:eastAsia="맑은 고딕"/>
          <w:i w:val="0"/>
          <w:sz w:val="21"/>
        </w:rPr>
        <w:t xml:space="preserve"> 중이라고 보도되었다 — 자가 소비에서 주목할 만한 확대다 [Tom's Hardware; SemiAnalysis; 2026년 6월 보도].</w:t>
      </w:r>
    </w:p>
    <w:p>
      <w:pPr>
        <w:spacing w:after="120"/>
      </w:pPr>
      <w:r>
        <w:rPr>
          <w:rFonts w:ascii="맑은 고딕" w:hAnsi="맑은 고딕" w:eastAsia="맑은 고딕"/>
          <w:b/>
          <w:i w:val="0"/>
          <w:sz w:val="21"/>
        </w:rPr>
        <w:t>Microsoft (Maia 200)</w:t>
      </w:r>
      <w:r>
        <w:rPr>
          <w:rFonts w:ascii="맑은 고딕" w:hAnsi="맑은 고딕" w:eastAsia="맑은 고딕"/>
          <w:i w:val="0"/>
          <w:sz w:val="21"/>
        </w:rPr>
        <w:t xml:space="preserve"> — 2026년 1월 배치(TSMC 3nm, 216 GB HBM3e, FP4 10 PFLOPS 초과)로, 초기 데이터센터에서 OpenAI GPT-5.x와 Copilot 추론을 서비스한다. Microsoft의 NVIDIA 플릿에 비하면 규모는 여전히 미미하며; Maia는 협상 레버리지에 추론 비용 최적화를 더한 것으로 읽는 것이 가장 적절하다 [Tom's Hardware, 2026년 1월].</w:t>
      </w:r>
    </w:p>
    <w:p>
      <w:pPr>
        <w:spacing w:after="120"/>
      </w:pPr>
      <w:r>
        <w:rPr>
          <w:rFonts w:ascii="맑은 고딕" w:hAnsi="맑은 고딕" w:eastAsia="맑은 고딕"/>
          <w:b/>
          <w:i w:val="0"/>
          <w:sz w:val="21"/>
        </w:rPr>
        <w:t>Meta (MTIA)</w:t>
      </w:r>
      <w:r>
        <w:rPr>
          <w:rFonts w:ascii="맑은 고딕" w:hAnsi="맑은 고딕" w:eastAsia="맑은 고딕"/>
          <w:i w:val="0"/>
          <w:sz w:val="21"/>
        </w:rPr>
        <w:t xml:space="preserve"> — 랭킹/추천을 위해 수십만 개의 MTIA 추론 칩이 배치되었으며, 2026년 3월 로드맵은 2027년까지 4개 세대(MTIA 300–500)와 6 GW AMD 거래를 제시했다 — 그러나 Meta는 동시에 NVIDIA의 최대 Blackwell 고객 중 하나로 남아 있다. 패턴: 내부 실리콘이 범용 추론을 흡수하고, NVIDIA는 프론티어를 지킨다.</w:t>
      </w:r>
    </w:p>
    <w:p>
      <w:pPr>
        <w:spacing w:after="120"/>
      </w:pPr>
      <w:r>
        <w:rPr>
          <w:rFonts w:ascii="맑은 고딕" w:hAnsi="맑은 고딕" w:eastAsia="맑은 고딕"/>
          <w:b/>
          <w:i w:val="0"/>
          <w:sz w:val="21"/>
        </w:rPr>
        <w:t>Intel (Gaudi/Crescent Island)</w:t>
      </w:r>
      <w:r>
        <w:rPr>
          <w:rFonts w:ascii="맑은 고딕" w:hAnsi="맑은 고딕" w:eastAsia="맑은 고딕"/>
          <w:i w:val="0"/>
          <w:sz w:val="21"/>
        </w:rPr>
        <w:t xml:space="preserve"> — Gaudi 3는 소프트웨어 성숙도에서 목표를 놓쳤다; CEO Lip-Bu Tan 체제에서 Intel은 </w:t>
      </w:r>
      <w:r>
        <w:rPr>
          <w:rFonts w:ascii="맑은 고딕" w:hAnsi="맑은 고딕" w:eastAsia="맑은 고딕"/>
          <w:b/>
          <w:i w:val="0"/>
          <w:sz w:val="21"/>
        </w:rPr>
        <w:t>Crescent Island</w:t>
      </w:r>
      <w:r>
        <w:rPr>
          <w:rFonts w:ascii="맑은 고딕" w:hAnsi="맑은 고딕" w:eastAsia="맑은 고딕"/>
          <w:i w:val="0"/>
          <w:sz w:val="21"/>
        </w:rPr>
        <w:t xml:space="preserve"> 데이터센터 GPU(Computex 2026)와 랙 규모 레퍼런스 디자인에 재집중했다. Intel은 현재 가속기에서 유의미한 점유율 위협이 아니며 — NVIDIA 자체의 $5B 지분 투자와 x86 공동 개발 계약이 이를 뒷받침한다 — 그러나 그 파운드리 야심은 공급망 다변화에 중요하다.</w:t>
      </w:r>
    </w:p>
    <w:p>
      <w:pPr>
        <w:spacing w:after="120"/>
      </w:pPr>
      <w:r>
        <w:rPr>
          <w:rFonts w:ascii="맑은 고딕" w:hAnsi="맑은 고딕" w:eastAsia="맑은 고딕"/>
          <w:b/>
          <w:i w:val="0"/>
          <w:sz w:val="21"/>
        </w:rPr>
        <w:t>Huawei (Ascend)</w:t>
      </w:r>
      <w:r>
        <w:rPr>
          <w:rFonts w:ascii="맑은 고딕" w:hAnsi="맑은 고딕" w:eastAsia="맑은 고딕"/>
          <w:i w:val="0"/>
          <w:sz w:val="21"/>
        </w:rPr>
        <w:t xml:space="preserve"> — 수출 통제 이후 중국 AI 시장의 사실상 독점 사업자: Ascend 910C가 대량 출하되고, 950PR이 2026년 초 출시되었으며, 국내 AI 칩 점유율 약 60%로, CloudMatrix 384 랙 시스템이 NVL72를 대체한다. SMIC의 7nm 미만 한계와 HBM 공급에 제약을 받는 Huawei는 세계적으로는 경쟁력이 없으나 NVIDIA의 중국 기회를 영구히 봉쇄하며, Global South의 수출 시장에 씨앗을 뿌릴 수 있다 [Tom's Hardware; 산업 보도, 2026].</w:t>
      </w:r>
    </w:p>
    <w:p>
      <w:pPr>
        <w:spacing w:after="120"/>
      </w:pPr>
      <w:r>
        <w:rPr>
          <w:rFonts w:ascii="맑은 고딕" w:hAnsi="맑은 고딕" w:eastAsia="맑은 고딕"/>
          <w:b/>
          <w:i w:val="0"/>
          <w:sz w:val="21"/>
        </w:rPr>
        <w:t>Cerebras, Groq, 그리고 신흥 사업자들</w:t>
      </w:r>
      <w:r>
        <w:rPr>
          <w:rFonts w:ascii="맑은 고딕" w:hAnsi="맑은 고딕" w:eastAsia="맑은 고딕"/>
          <w:i w:val="0"/>
          <w:sz w:val="21"/>
        </w:rPr>
        <w:t xml:space="preserve"> — Cerebras(웨이퍼 규모 엔진)는 빠른 추론과 소버린 거래에서 틈새를 개척했다. 선도적인 LPU 추론 스타트업 Groq는 NVIDIA의 2025년 12월 약 $20B 라이선싱/자산 거래로 경쟁자로서 사실상 무력화되었으며, 이 거래는 위협을 제거하는 동시에 NVIDIA가 특화 추론 경제성을 얼마나 진지하게 받아들이는지를 알렸다.</w:t>
      </w:r>
    </w:p>
    <w:p>
      <w:pPr>
        <w:spacing w:after="120"/>
      </w:pPr>
      <w:r>
        <w:rPr>
          <w:rFonts w:ascii="맑은 고딕" w:hAnsi="맑은 고딕" w:eastAsia="맑은 고딕"/>
          <w:b/>
          <w:i w:val="0"/>
          <w:sz w:val="21"/>
        </w:rPr>
        <w:t>NVIDIA의 강점</w:t>
      </w:r>
      <w:r>
        <w:rPr>
          <w:rFonts w:ascii="맑은 고딕" w:hAnsi="맑은 고딕" w:eastAsia="맑은 고딕"/>
          <w:i w:val="0"/>
          <w:sz w:val="21"/>
        </w:rPr>
        <w:t xml:space="preserve">: CUDA 잠금(lock-in); 1년 풀스택 주기(칩 + CPU + NVLink + 랙 + 소프트웨어 공동 설계); 네트워킹; 공급망 규모($119B 약정); 공격적으로 활용되는 요새 같은 대차대조표(OpenAI, Anthropic, Intel, Groq); 그리고 Huang의 수요 조형(demand-shaping) 신뢰도. </w:t>
      </w:r>
      <w:r>
        <w:rPr>
          <w:rFonts w:ascii="맑은 고딕" w:hAnsi="맑은 고딕" w:eastAsia="맑은 고딕"/>
          <w:b/>
          <w:i w:val="0"/>
          <w:sz w:val="21"/>
        </w:rPr>
        <w:t>취약점</w:t>
      </w:r>
      <w:r>
        <w:rPr>
          <w:rFonts w:ascii="맑은 고딕" w:hAnsi="맑은 고딕" w:eastAsia="맑은 고딕"/>
          <w:i w:val="0"/>
          <w:sz w:val="21"/>
        </w:rPr>
        <w:t>: 워크로드가 표준화됨에 따라 추론이 ASIC으로 이전하는 것(추론은 이제 AI 컴퓨팅의 다수를 차지); 진입을 부르는 70%대 중반 마진 가격 우산; 고객이 자금을 대는 경쟁(4대 최대 고객이 모두 대안을 구축); 그리고 Huawei에게 보호된 홈 마켓을 넘기는 중국 봉쇄.</w:t>
      </w:r>
    </w:p>
    <w:p>
      <w:pPr>
        <w:spacing w:after="120"/>
      </w:pPr>
      <w:r>
        <w:rPr>
          <w:rFonts w:ascii="맑은 고딕" w:hAnsi="맑은 고딕" w:eastAsia="맑은 고딕"/>
          <w:i w:val="0"/>
          <w:sz w:val="21"/>
        </w:rPr>
        <w:t>---</w:t>
      </w:r>
    </w:p>
    <w:p>
      <w:pPr>
        <w:jc w:val="center"/>
      </w:pPr>
      <w:r>
        <w:drawing>
          <wp:inline xmlns:a="http://schemas.openxmlformats.org/drawingml/2006/main" xmlns:pic="http://schemas.openxmlformats.org/drawingml/2006/picture">
            <wp:extent cx="5120640" cy="4071329"/>
            <wp:docPr id="8" name="Picture 8"/>
            <wp:cNvGraphicFramePr>
              <a:graphicFrameLocks noChangeAspect="1"/>
            </wp:cNvGraphicFramePr>
            <a:graphic>
              <a:graphicData uri="http://schemas.openxmlformats.org/drawingml/2006/picture">
                <pic:pic>
                  <pic:nvPicPr>
                    <pic:cNvPr id="0" name="chart_16_competitive_positioning.png"/>
                    <pic:cNvPicPr/>
                  </pic:nvPicPr>
                  <pic:blipFill>
                    <a:blip r:embed="rId16"/>
                    <a:stretch>
                      <a:fillRect/>
                    </a:stretch>
                  </pic:blipFill>
                  <pic:spPr>
                    <a:xfrm>
                      <a:off x="0" y="0"/>
                      <a:ext cx="5120640" cy="4071329"/>
                    </a:xfrm>
                    <a:prstGeom prst="rect"/>
                  </pic:spPr>
                </pic:pic>
              </a:graphicData>
            </a:graphic>
          </wp:inline>
        </w:drawing>
      </w:r>
    </w:p>
    <w:p>
      <w:pPr>
        <w:spacing w:after="200"/>
      </w:pPr>
      <w:r>
        <w:rPr>
          <w:rFonts w:ascii="맑은 고딕" w:hAnsi="맑은 고딕" w:eastAsia="맑은 고딕"/>
          <w:i/>
          <w:color w:val="595959"/>
          <w:sz w:val="16"/>
        </w:rPr>
        <w:t>그림 16 — 경쟁 포지셔닝(버블=규모).</w:t>
      </w:r>
    </w:p>
    <w:p>
      <w:pPr>
        <w:jc w:val="center"/>
      </w:pPr>
      <w:r>
        <w:drawing>
          <wp:inline xmlns:a="http://schemas.openxmlformats.org/drawingml/2006/main" xmlns:pic="http://schemas.openxmlformats.org/drawingml/2006/picture">
            <wp:extent cx="4206240" cy="3972920"/>
            <wp:docPr id="9" name="Picture 9"/>
            <wp:cNvGraphicFramePr>
              <a:graphicFrameLocks noChangeAspect="1"/>
            </wp:cNvGraphicFramePr>
            <a:graphic>
              <a:graphicData uri="http://schemas.openxmlformats.org/drawingml/2006/picture">
                <pic:pic>
                  <pic:nvPicPr>
                    <pic:cNvPr id="0" name="chart_17_market_share.png"/>
                    <pic:cNvPicPr/>
                  </pic:nvPicPr>
                  <pic:blipFill>
                    <a:blip r:embed="rId17"/>
                    <a:stretch>
                      <a:fillRect/>
                    </a:stretch>
                  </pic:blipFill>
                  <pic:spPr>
                    <a:xfrm>
                      <a:off x="0" y="0"/>
                      <a:ext cx="4206240" cy="3972920"/>
                    </a:xfrm>
                    <a:prstGeom prst="rect"/>
                  </pic:spPr>
                </pic:pic>
              </a:graphicData>
            </a:graphic>
          </wp:inline>
        </w:drawing>
      </w:r>
    </w:p>
    <w:p>
      <w:pPr>
        <w:spacing w:after="200"/>
      </w:pPr>
      <w:r>
        <w:rPr>
          <w:rFonts w:ascii="맑은 고딕" w:hAnsi="맑은 고딕" w:eastAsia="맑은 고딕"/>
          <w:i/>
          <w:color w:val="595959"/>
          <w:sz w:val="16"/>
        </w:rPr>
        <w:t>그림 17 — AI 가속기 점유율(추정).</w:t>
      </w:r>
    </w:p>
    <w:p>
      <w:pPr>
        <w:jc w:val="center"/>
      </w:pPr>
      <w:r>
        <w:drawing>
          <wp:inline xmlns:a="http://schemas.openxmlformats.org/drawingml/2006/main" xmlns:pic="http://schemas.openxmlformats.org/drawingml/2006/picture">
            <wp:extent cx="5669280" cy="3217031"/>
            <wp:docPr id="10" name="Picture 10"/>
            <wp:cNvGraphicFramePr>
              <a:graphicFrameLocks noChangeAspect="1"/>
            </wp:cNvGraphicFramePr>
            <a:graphic>
              <a:graphicData uri="http://schemas.openxmlformats.org/drawingml/2006/picture">
                <pic:pic>
                  <pic:nvPicPr>
                    <pic:cNvPr id="0" name="chart_18_competitive_benchmarking.png"/>
                    <pic:cNvPicPr/>
                  </pic:nvPicPr>
                  <pic:blipFill>
                    <a:blip r:embed="rId18"/>
                    <a:stretch>
                      <a:fillRect/>
                    </a:stretch>
                  </pic:blipFill>
                  <pic:spPr>
                    <a:xfrm>
                      <a:off x="0" y="0"/>
                      <a:ext cx="5669280" cy="3217031"/>
                    </a:xfrm>
                    <a:prstGeom prst="rect"/>
                  </pic:spPr>
                </pic:pic>
              </a:graphicData>
            </a:graphic>
          </wp:inline>
        </w:drawing>
      </w:r>
    </w:p>
    <w:p>
      <w:pPr>
        <w:spacing w:after="200"/>
      </w:pPr>
      <w:r>
        <w:rPr>
          <w:rFonts w:ascii="맑은 고딕" w:hAnsi="맑은 고딕" w:eastAsia="맑은 고딕"/>
          <w:i/>
          <w:color w:val="595959"/>
          <w:sz w:val="16"/>
        </w:rPr>
        <w:t>그림 18 — 성장 vs. 마진 vs. 피어. 자료: 모델, 피어 데이터.</w:t>
      </w:r>
    </w:p>
    <w:p>
      <w:pPr>
        <w:spacing w:before="240" w:after="80"/>
        <w:pBdr>
          <w:bottom w:val="single" w:sz="6" w:space="2" w:color="1F3864"/>
        </w:pBdr>
      </w:pPr>
      <w:r>
        <w:rPr>
          <w:rFonts w:ascii="맑은 고딕" w:hAnsi="맑은 고딕" w:eastAsia="맑은 고딕"/>
          <w:b/>
          <w:color w:val="1F3864"/>
          <w:sz w:val="30"/>
        </w:rPr>
        <w:t>시장 기회 (TAM)</w:t>
      </w:r>
    </w:p>
    <w:p>
      <w:pPr>
        <w:spacing w:before="160" w:after="80"/>
      </w:pPr>
      <w:r>
        <w:rPr>
          <w:rFonts w:ascii="맑은 고딕" w:hAnsi="맑은 고딕" w:eastAsia="맑은 고딕"/>
          <w:b/>
          <w:color w:val="1A1A1A"/>
          <w:sz w:val="22"/>
        </w:rPr>
        <w:t>기회의 규모 산정</w:t>
      </w:r>
    </w:p>
    <w:p>
      <w:pPr>
        <w:spacing w:after="120"/>
      </w:pPr>
      <w:r>
        <w:rPr>
          <w:rFonts w:ascii="맑은 고딕" w:hAnsi="맑은 고딕" w:eastAsia="맑은 고딕"/>
          <w:i w:val="0"/>
          <w:sz w:val="21"/>
        </w:rPr>
        <w:t xml:space="preserve">가장 많이 인용되는 하향식 기준점은 경영진 자신의 것이다: Jensen Huang은 </w:t>
      </w:r>
      <w:r>
        <w:rPr>
          <w:rFonts w:ascii="맑은 고딕" w:hAnsi="맑은 고딕" w:eastAsia="맑은 고딕"/>
          <w:b/>
          <w:i w:val="0"/>
          <w:sz w:val="21"/>
        </w:rPr>
        <w:t>2030년까지 누적 $3–4조의 AI 인프라 지출</w:t>
      </w:r>
      <w:r>
        <w:rPr>
          <w:rFonts w:ascii="맑은 고딕" w:hAnsi="맑은 고딕" w:eastAsia="맑은 고딕"/>
          <w:i w:val="0"/>
          <w:sz w:val="21"/>
        </w:rPr>
        <w:t xml:space="preserve">을 전망하며(CFO Kress는 그 문턱이 2030년 이전에 도달할 수 있다고 시사했다), 그중 NVIDIA는 역사적으로 큰 몫을 차지해 왔다 — Huang은 이 기간에 걸쳐 </w:t>
      </w:r>
      <w:r>
        <w:rPr>
          <w:rFonts w:ascii="맑은 고딕" w:hAnsi="맑은 고딕" w:eastAsia="맑은 고딕"/>
          <w:b/>
          <w:i w:val="0"/>
          <w:sz w:val="21"/>
        </w:rPr>
        <w:t>NVIDIA에 대한 $1조 초과의 매출 기회</w:t>
      </w:r>
      <w:r>
        <w:rPr>
          <w:rFonts w:ascii="맑은 고딕" w:hAnsi="맑은 고딕" w:eastAsia="맑은 고딕"/>
          <w:i w:val="0"/>
          <w:sz w:val="21"/>
        </w:rPr>
        <w:t>를 제시하며, 이는 2027년까지 공시된 약 $1조의 Blackwell+Rubin 주문 가시성으로 뒷받침된다 [Fortune, 2026-03-17; 2025년 8월 실적 발표에 대한 KuCoin/시장 보도]. 월가의 더 보수적인 기준점: Needham은 하이퍼스케일러 자본지출이 2028년까지 연간 약 $1.03조에 도달할 것으로 모델링하며; Goldman의 $5.3조 FY25–30 누적 4대 자본지출은 소버린과 네오클라우드를 더하면 Huang의 범위와 유사한 규모를 시사한다.</w:t>
      </w:r>
    </w:p>
    <w:p>
      <w:pPr>
        <w:spacing w:before="160" w:after="80"/>
      </w:pPr>
      <w:r>
        <w:rPr>
          <w:rFonts w:ascii="맑은 고딕" w:hAnsi="맑은 고딕" w:eastAsia="맑은 고딕"/>
          <w:b/>
          <w:color w:val="1A1A1A"/>
          <w:sz w:val="22"/>
        </w:rPr>
        <w:t>방법론 교차 검증</w:t>
      </w:r>
    </w:p>
    <w:p>
      <w:pPr>
        <w:spacing w:after="120"/>
      </w:pPr>
      <w:r>
        <w:rPr>
          <w:rFonts w:ascii="맑은 고딕" w:hAnsi="맑은 고딕" w:eastAsia="맑은 고딕"/>
          <w:i w:val="0"/>
          <w:sz w:val="21"/>
        </w:rPr>
        <w:t xml:space="preserve">세 가지 삼각 측량은 AI 데이터센터 인프라에 대한 2026년 서비스 시장을 대략 </w:t>
      </w:r>
      <w:r>
        <w:rPr>
          <w:rFonts w:ascii="맑은 고딕" w:hAnsi="맑은 고딕" w:eastAsia="맑은 고딕"/>
          <w:b/>
          <w:i w:val="0"/>
          <w:sz w:val="21"/>
        </w:rPr>
        <w:t>$450–550B</w:t>
      </w:r>
      <w:r>
        <w:rPr>
          <w:rFonts w:ascii="맑은 고딕" w:hAnsi="맑은 고딕" w:eastAsia="맑은 고딕"/>
          <w:i w:val="0"/>
          <w:sz w:val="21"/>
        </w:rPr>
        <w:t>로 뒷받침하며, 이 중 NVIDIA의 유효 부분(가속 컴퓨팅 + 네트워킹, AI 데이터센터 IT 자재명세서의 약 60–70%)은 아마도 $350–450B다:</w:t>
      </w:r>
    </w:p>
    <w:p>
      <w:pPr>
        <w:spacing w:after="120"/>
      </w:pPr>
      <w:r>
        <w:rPr>
          <w:rFonts w:ascii="맑은 고딕" w:hAnsi="맑은 고딕" w:eastAsia="맑은 고딕"/>
          <w:i w:val="0"/>
          <w:sz w:val="21"/>
        </w:rPr>
        <w:t xml:space="preserve">1. </w:t>
      </w:r>
      <w:r>
        <w:rPr>
          <w:rFonts w:ascii="맑은 고딕" w:hAnsi="맑은 고딕" w:eastAsia="맑은 고딕"/>
          <w:b/>
          <w:i w:val="0"/>
          <w:sz w:val="21"/>
        </w:rPr>
        <w:t>자본지출 기반</w:t>
      </w:r>
      <w:r>
        <w:rPr>
          <w:rFonts w:ascii="맑은 고딕" w:hAnsi="맑은 고딕" w:eastAsia="맑은 고딕"/>
          <w:i w:val="0"/>
          <w:sz w:val="21"/>
        </w:rPr>
        <w:t>: 약 $725B 4대 자본지출 + Oracle/네오클라우드/소버린/엔터프라이즈로부터 약 $150–200B, 여기에 약 60–75% AI 지향, 여기에 약 55–65%가 IT 장비(대지/건물/전력이 아니라)에 지출됨 ≈ $400–550B.</w:t>
      </w:r>
    </w:p>
    <w:p>
      <w:pPr>
        <w:spacing w:after="120"/>
      </w:pPr>
      <w:r>
        <w:rPr>
          <w:rFonts w:ascii="맑은 고딕" w:hAnsi="맑은 고딕" w:eastAsia="맑은 고딕"/>
          <w:i w:val="0"/>
          <w:sz w:val="21"/>
        </w:rPr>
        <w:t xml:space="preserve">2. </w:t>
      </w:r>
      <w:r>
        <w:rPr>
          <w:rFonts w:ascii="맑은 고딕" w:hAnsi="맑은 고딕" w:eastAsia="맑은 고딕"/>
          <w:b/>
          <w:i w:val="0"/>
          <w:sz w:val="21"/>
        </w:rPr>
        <w:t>칩 시장 기반</w:t>
      </w:r>
      <w:r>
        <w:rPr>
          <w:rFonts w:ascii="맑은 고딕" w:hAnsi="맑은 고딕" w:eastAsia="맑은 고딕"/>
          <w:i w:val="0"/>
          <w:sz w:val="21"/>
        </w:rPr>
        <w:t>: Deloitte의 약 $500B 2026년 AI 칩 시장 추정치, 여기에 네트워킹/시스템 부가(attach).</w:t>
      </w:r>
    </w:p>
    <w:p>
      <w:pPr>
        <w:spacing w:after="120"/>
      </w:pPr>
      <w:r>
        <w:rPr>
          <w:rFonts w:ascii="맑은 고딕" w:hAnsi="맑은 고딕" w:eastAsia="맑은 고딕"/>
          <w:i w:val="0"/>
          <w:sz w:val="21"/>
        </w:rPr>
        <w:t xml:space="preserve">3. </w:t>
      </w:r>
      <w:r>
        <w:rPr>
          <w:rFonts w:ascii="맑은 고딕" w:hAnsi="맑은 고딕" w:eastAsia="맑은 고딕"/>
          <w:b/>
          <w:i w:val="0"/>
          <w:sz w:val="21"/>
        </w:rPr>
        <w:t>전력 기반</w:t>
      </w:r>
      <w:r>
        <w:rPr>
          <w:rFonts w:ascii="맑은 고딕" w:hAnsi="맑은 고딕" w:eastAsia="맑은 고딕"/>
          <w:i w:val="0"/>
          <w:sz w:val="21"/>
        </w:rPr>
        <w:t>: 경영진과 SemiAnalysis는 수요를 기가와트로 표현한다; AI 데이터센터 GW당 NVIDIA 콘텐츠 약 $30–35B이라는 업계 경험칙에서, 공시된 다중 GW 프로그램(OpenAI 10 GW+, Stargate UAE 5 GW, Anthropic 1 GW+, Meta 다중 GW)만으로도 수천억 달러의 누적 수요를 뒷받침한다.</w:t>
      </w:r>
    </w:p>
    <w:p>
      <w:pPr>
        <w:spacing w:after="120"/>
      </w:pPr>
      <w:r>
        <w:rPr>
          <w:rFonts w:ascii="맑은 고딕" w:hAnsi="맑은 고딕" w:eastAsia="맑은 고딕"/>
          <w:i w:val="0"/>
          <w:sz w:val="21"/>
        </w:rPr>
        <w:t xml:space="preserve">이에 비추어, NVIDIA의 FY2027 컨센서스 시사 매출 약 $350B 이상은 회사가 현재 </w:t>
      </w:r>
      <w:r>
        <w:rPr>
          <w:rFonts w:ascii="맑은 고딕" w:hAnsi="맑은 고딕" w:eastAsia="맑은 고딕"/>
          <w:b/>
          <w:i w:val="0"/>
          <w:sz w:val="21"/>
        </w:rPr>
        <w:t>AI 인프라 실리콘·시스템 TAM의 약 60–70%</w:t>
      </w:r>
      <w:r>
        <w:rPr>
          <w:rFonts w:ascii="맑은 고딕" w:hAnsi="맑은 고딕" w:eastAsia="맑은 고딕"/>
          <w:i w:val="0"/>
          <w:sz w:val="21"/>
        </w:rPr>
        <w:t>를 확보하고 있음을 시사한다 — 이는 여기서부터 NVIDIA의 성장이 시장 성장으로 수렴하며, 점유율 *확대*보다 점유율 *유지*가 더 중요해짐을 함의한다.</w:t>
      </w:r>
    </w:p>
    <w:p>
      <w:pPr>
        <w:spacing w:before="160" w:after="80"/>
      </w:pPr>
      <w:r>
        <w:rPr>
          <w:rFonts w:ascii="맑은 고딕" w:hAnsi="맑은 고딕" w:eastAsia="맑은 고딕"/>
          <w:b/>
          <w:color w:val="1A1A1A"/>
          <w:sz w:val="22"/>
        </w:rPr>
        <w:t>침투율과 점유율 역학</w:t>
      </w:r>
    </w:p>
    <w:p>
      <w:pPr>
        <w:spacing w:after="120"/>
      </w:pPr>
      <w:r>
        <w:rPr>
          <w:rFonts w:ascii="맑은 고딕" w:hAnsi="맑은 고딕" w:eastAsia="맑은 고딕"/>
          <w:i w:val="0"/>
          <w:sz w:val="21"/>
        </w:rPr>
        <w:t xml:space="preserve">2030년까지 세 가지 상쇄 역학이 예상된다: (1) 추론 스케일아웃("에이전틱 AI"), 소버린 프로그램, 그리고 궁극적으로 물리적 AI(로보틱스/오토모티브)로부터의 TAM 확장 — NVIDIA의 플랫폼 폭이 가장 강한 범주들; (2) ASIC이 표준화된 추론을 가져가고(ASIC 서버는 이미 2026년 출하량의 약 28%) AMD가 제2 공급원으로 램프업함에 따른 </w:t>
      </w:r>
      <w:r>
        <w:rPr>
          <w:rFonts w:ascii="맑은 고딕" w:hAnsi="맑은 고딕" w:eastAsia="맑은 고딕"/>
          <w:b/>
          <w:i w:val="0"/>
          <w:sz w:val="21"/>
        </w:rPr>
        <w:t>한계에서의 점유율 침식</w:t>
      </w:r>
      <w:r>
        <w:rPr>
          <w:rFonts w:ascii="맑은 고딕" w:hAnsi="맑은 고딕" w:eastAsia="맑은 고딕"/>
          <w:i w:val="0"/>
          <w:sz w:val="21"/>
        </w:rPr>
        <w:t xml:space="preserve"> — 대부분의 월가 모델은 NVIDIA의 가속기 가치 점유율이 약 85–90%에서 2028–30년까지 약 70–75%로 표류한다고 가정; 그리고 (3) NVIDIA가 랙 전체, 네트워킹, CPU, 소프트웨어를 판매함에 따른 </w:t>
      </w:r>
      <w:r>
        <w:rPr>
          <w:rFonts w:ascii="맑은 고딕" w:hAnsi="맑은 고딕" w:eastAsia="맑은 고딕"/>
          <w:b/>
          <w:i w:val="0"/>
          <w:sz w:val="21"/>
        </w:rPr>
        <w:t>달러당 콘텐츠 확보 상승</w:t>
      </w:r>
      <w:r>
        <w:rPr>
          <w:rFonts w:ascii="맑은 고딕" w:hAnsi="맑은 고딕" w:eastAsia="맑은 고딕"/>
          <w:i w:val="0"/>
          <w:sz w:val="21"/>
        </w:rPr>
        <w:t xml:space="preserve"> — 단위 점유율 손실을 지갑 점유율(wallet-share) 확대로 상쇄. 순효과: 보수적 가정(2026–30 누적 TAM 약 $2.5조, NVIDIA 점유율이 약 65%로 감소) 하에서도, 이 프레임워크는 연 $300–500B 범위의 다년 매출 기반을 뒷받침한다 — 반면 약세 시나리오는 점유율보다 현재의 투자 급증 이후 지속가능한 자본지출의 *수준*에 더 의존한다.</w:t>
      </w:r>
    </w:p>
    <w:p>
      <w:pPr>
        <w:spacing w:after="120"/>
      </w:pPr>
      <w:r>
        <w:rPr>
          <w:rFonts w:ascii="맑은 고딕" w:hAnsi="맑은 고딕" w:eastAsia="맑은 고딕"/>
          <w:i w:val="0"/>
          <w:sz w:val="21"/>
        </w:rPr>
        <w:t>---</w:t>
      </w:r>
    </w:p>
    <w:p>
      <w:r>
        <w:br w:type="page"/>
      </w:r>
    </w:p>
    <w:p>
      <w:pPr>
        <w:spacing w:before="240" w:after="80"/>
        <w:pBdr>
          <w:bottom w:val="single" w:sz="6" w:space="2" w:color="1F3864"/>
        </w:pBdr>
      </w:pPr>
      <w:r>
        <w:rPr>
          <w:rFonts w:ascii="맑은 고딕" w:hAnsi="맑은 고딕" w:eastAsia="맑은 고딕"/>
          <w:b/>
          <w:color w:val="1F3864"/>
          <w:sz w:val="30"/>
        </w:rPr>
        <w:t>재무 분석</w:t>
      </w:r>
    </w:p>
    <w:p>
      <w:pPr>
        <w:spacing w:before="160" w:after="80"/>
      </w:pPr>
      <w:r>
        <w:rPr>
          <w:rFonts w:ascii="맑은 고딕" w:hAnsi="맑은 고딕" w:eastAsia="맑은 고딕"/>
          <w:b/>
          <w:color w:val="1A1A1A"/>
          <w:sz w:val="25"/>
        </w:rPr>
        <w:t>과거 실적</w:t>
      </w:r>
    </w:p>
    <w:p>
      <w:pPr>
        <w:spacing w:after="140"/>
      </w:pPr>
      <w:r>
        <w:rPr>
          <w:rFonts w:ascii="맑은 고딕" w:hAnsi="맑은 고딕" w:eastAsia="맑은 고딕"/>
          <w:i w:val="0"/>
          <w:sz w:val="21"/>
        </w:rPr>
        <w:t>NVIDIA의 최근 재무 이력은 대형주가 기록한 것 중 가장 가파른 매출 성장 곡선에 속하며, 그 동인을 이해하는 것은 향후 모델이 달성 가능한지 판단하는 데 필수적이다. 매출액은 FY2023 $26,974M에서 FY2024 $60,922M(+126%)로, 이어 FY2025 $130,497M(+114%)로, 그리고 FY2026 $215,938M(+65%)로 증가했다. 3개 회계연도 만에 회사는 매출을 8배로 키웠다. 이는 제품군 전반에 걸친 광범위한 확장이 아니라 거의 전적으로 Data Center 현상이었으며, 2022년 말 ChatGPT 출시에 뒤따른 생성형 AI 수요 충격이 대규모 모델의 학습과 서빙에 필요한 가속 컴퓨팅 하드웨어 및 소프트웨어에서 NVIDIA의 사실상 독점적 지위와 충돌한 데서 비롯되었다. FY2023 기준연도는 붐 이전의 회사 — 암호화폐발 재고 조정을 소화하던, 여전히 상당 부분 게이밍 및 전문 시각화 공급업체 — 를 포착하는 반면, FY2026은 Data Center 세그먼트만으로도 $193,737M에 달해 FY2023 전체 매출의 7배를 넘는 회사를 포착한다.</w:t>
      </w:r>
    </w:p>
    <w:p>
      <w:pPr>
        <w:spacing w:after="140"/>
      </w:pPr>
      <w:r>
        <w:rPr>
          <w:rFonts w:ascii="맑은 고딕" w:hAnsi="맑은 고딕" w:eastAsia="맑은 고딕"/>
          <w:i w:val="0"/>
          <w:sz w:val="21"/>
        </w:rPr>
        <w:t>FY2023에서 FY2024로의 배증이 변곡점이었다. Hopper 세대 H100 GPU는 세계에서 가장 수요가 높은 산업용 부품이 되었고, 하이퍼스케일러들은 공급을 앞지르는 속도로 자본 예산을 AI 학습으로 재배분했다. FY2023에 약 $15B였던 Data Center 매출은 H100에 이어 H200 출하가 확대되고 Mellanox 유래 네트워킹 프랜차이즈가 모든 대규모 클러스터에 InfiniBand와 Spectrum-X Ethernet을 부착함에 따라 이후 2년간 세 배 넘게 늘었다. 결정적으로, 이 성장은 마진 압축이 아니라 마진 확대와 함께 도래했는데, 이는 물량 추종이 아닌 진정한 희소성 가격의 특징이다. NVIDIA는 절대 시스템 가격을 높게 유지하면서 아키텍처 세대마다 달러당 성능을 대략 10배씩 높일 수 있었고, 따라서 랙당 매출이 상승하는 와중에도 고객의 토큰 경제성은 개선되었다. 그 역학이 역사적 마진 기록에서 가장 중요한 단일 사실이며 향후 총이익률 가정의 토대이다.</w:t>
      </w:r>
    </w:p>
    <w:p>
      <w:pPr>
        <w:spacing w:after="140"/>
      </w:pPr>
      <w:r>
        <w:rPr>
          <w:rFonts w:ascii="맑은 고딕" w:hAnsi="맑은 고딕" w:eastAsia="맑은 고딕"/>
          <w:i w:val="0"/>
          <w:sz w:val="21"/>
        </w:rPr>
        <w:t>FY2025에서 FY2026으로의 전환은 미묘하지만 중요한 성장 성격의 변화를 나타냈다. 성장률은 +114%에서 +65%로 감속했는데 — 여전히 비범하나 향후 모델을 지배하는 기저효과 중력의 첫 신호였다. 더 중요하게는 FY2026 기간에 사업이 칩 판매에서 시스템 판매로 결정적으로 이동했다. 72개 GPU와 36개 Grace CPU를 단일 수랭식 유닛으로 통합해 하나의 거대한 GPU처럼 작동하는 GB200 및 GB300 NVL72 랙 규모 플랫폼이 매출의 주력이 되었다. 트레이가 아닌 랙 단위 판매는 배치당 NVIDIA 콘텐츠를 높였고 판매마다 네트워킹, CPU, 소프트웨어 부착을 함께 끌어당겼다 — 네트워킹은 Q1 FY2027까지 분기 $14.8B 실행률에 도달해 전년 대비 199% 증가했다. 이 통합 시스템으로의 믹스 이동이 HBM 및 첨단 패키징 투입 비용 상승에도 불구하고 FY2026에 총이익률이 71.1%(Q1 FY2027 GAAP 기준 74.9%)로 유지된 이유이며, 경쟁이 격화되더라도 마진이 70% 초반대를 유지할 수 있다는 당사의 가정을 뒷받침한다.</w:t>
      </w:r>
    </w:p>
    <w:p>
      <w:pPr>
        <w:spacing w:after="140"/>
      </w:pPr>
      <w:r>
        <w:rPr>
          <w:rFonts w:ascii="맑은 고딕" w:hAnsi="맑은 고딕" w:eastAsia="맑은 고딕"/>
          <w:i w:val="0"/>
          <w:sz w:val="21"/>
        </w:rPr>
        <w:t>수익성은 대체로 고정된 R&amp;D 및 SG&amp;A 기반에 대한 영업 레버리지 덕분에 매출보다 더 빠르게 확대되었다. FY2026 GAAP 영업이익은 매출 $215.9B에 대해 $130.4B — 영업이익률 60% 근방 — 였으며, 순이익은 약 $120.1B, 희석 EPS는 $4.90이었다. R&amp;D는 1년 아키텍처 주기를 뒷받침하기 위해 절대 금액으로는 증가했으나 매출의 11.5%~13.0% 근방에서 운영되었고, SG&amp;A는 3.0%~3.5% 안팎을 유지하여, 증분 총이익이 높은 비율로 영업이익까지 흘러내렸다. 그 메커니즘이 중요하다. 각 신규 아키텍처를 만들어내는 R&amp;D는 출하 대수와 무관하게 대체로 발생하므로, 희소성 가격 환경에서는 매출의 증분 1달러마다 회사 평균 마진을 훨씬 상회하는 비율로 영업이익으로 전환된다. 바로 이것이 순이익이 FY2023 약 $4.4B에서 FY2026 약 $120.1B로 — 8배의 매출 증가에 대해 27배 — 늘어난 이유이다. 이것이 당사의 향후 모델이 연장하는 영업 레버리지 엔진이다. 즉 EBITDA 마진은 FY2027E 약 61%에서 믹스가 정상화되고 경쟁이 완만한 가격 압박을 더함에 따라 FY2031E 약 58%로 완화된다. 유효세율은 회사의 최근 프로파일과 IP 및 제조 발자국에 부합하는 16%로 모델링한다. 역사적 기록에는 영업 레버리지가 대규모로 역방향 작동한 해가 없는데, 이는 안심 요인인 동시에 경계 요인이다. 즉 이 모델은 진정한 수요 위축으로 스트레스 테스트를 받은 적이 없어, 이 마진의 하방 행태는 관측된 사실이 아니라 추정치이다.</w:t>
      </w:r>
    </w:p>
    <w:p>
      <w:pPr>
        <w:spacing w:after="140"/>
      </w:pPr>
      <w:r>
        <w:rPr>
          <w:rFonts w:ascii="맑은 고딕" w:hAnsi="맑은 고딕" w:eastAsia="맑은 고딕"/>
          <w:i w:val="0"/>
          <w:sz w:val="21"/>
        </w:rPr>
        <w:t>잉여현금흐름 창출은 역사적 기록에서 가장 저평가된 요소이자 지분 가치의 가장 강력한 뒷받침이다. FY2026 잉여현금흐름은 $96,669M이었으며, 순이익 대비 전환율은 NVIDIA의 자산 경량(asset-light) 팹리스 모델을 반영한다. TSMC, SK하이닉스, ODM 생태계가 제조의 자본 집약도를 부담하므로 자본지출은 매출의 약 3.0%~3.5%에 불과하다. 회사는 회계상 이익을 높은 비율로 현금으로 전환하며, 이것이 대차대조표가 제약이 아니라 요새인 이유이다. FY2026 말 현금 및 투자자산은 $62.6B였고 총부채는 $8.5B로, 순현금 $54.1B와 자기자본 $157.3B를 기록했다. 이 순현금에 가까운 포지션이 자본구조가 대략 98% 지분 가중이고 WACC가 자기자본비용에 가깝게 위치하는 이유이다 — 할인율을 유리하게 만드는 구조적 특성이나 진정한 것이다. 또한 이는 NVIDIA가 자체적으로 사실상 아무런 차환 또는 레버리지 리스크를 지지 않음을 의미한다. 이 스토리에서 금융 리스크는 NVIDIA의 대차대조표가 아니라 고객의 대차대조표에 있으며, 부채로 조달한 네오클라우드, 모델 연구소, 그리고 부분적으로 NVIDIA가 자금을 지원한 매수자들에 신용 익스포저가 집중되어 있고, 이것이 베어 시나리오가 근거로 삼는 지점이다.</w:t>
      </w:r>
    </w:p>
    <w:p>
      <w:pPr>
        <w:spacing w:after="140"/>
      </w:pPr>
      <w:r>
        <w:rPr>
          <w:rFonts w:ascii="맑은 고딕" w:hAnsi="맑은 고딕" w:eastAsia="맑은 고딕"/>
          <w:i w:val="0"/>
          <w:sz w:val="21"/>
        </w:rPr>
        <w:t>이 기간의 자본 배분은 현금이 재투자 필요보다 빠르게 축적됨에 따라 주주 환원 쪽으로 공격적으로 전환되었다. 회사는 FY2026에 주주에게 $41.1B를 환원했고, Q1 FY2027 실적과 함께 이사회는 추가 $80B의 자사주 매입을 승인하고 분기 배당을 25배 인상하여 주당 $0.25로 올렸다. 순 자사주 매입은 희석 주식 수를 연 약 1.2% 축소하는 것으로 모델링되며, 이는 향후 주당 수치에 반영된 완만하나 꾸준한 EPS 순풍이다. 지속적 주시가 필요한 하나의 대차대조표 항목은 약 $119B의 제조 및 공급 매입 약정(이 중 약 $95B는 FY2027 이내 지급 예정)에 더해 약 $30B의 클라우드 약정과 약 $6B의 벤더 약정 — 총 약 $155B — 이다. 이 약정들은 NVIDIA가 희소한 웨이퍼, 패키징, HBM 캐파를 경쟁사보다 선점하는 메커니즘이나, 동시에 2025년 $4.5B H20 재고 상각을 낳은 수요 충격 리스크의 원천이기도 하다. 현재까지 그러한 상각은 마진 체제의 변화 없이 흡수되어 왔다.</w:t>
      </w:r>
    </w:p>
    <w:p>
      <w:pPr>
        <w:spacing w:after="140"/>
      </w:pPr>
      <w:r>
        <w:rPr>
          <w:rFonts w:ascii="맑은 고딕" w:hAnsi="맑은 고딕" w:eastAsia="맑은 고딕"/>
          <w:i w:val="0"/>
          <w:sz w:val="21"/>
        </w:rPr>
        <w:t>역사적 기록은 또한 어떤 향후 추정치에 얼마만큼의 신뢰를 둘지에 영향을 미치는 수요 신호의 불투명성을 기록한다. 지난 10년간 두 차례 — 2017~18년과 2020~21년 암호화폐 채굴 사이클 — NVIDIA의 매출은 내구적 최종 용도와 명확히 구분할 수 없는 수요로 부풀었다가 급격히 조정되며 채널 재고 과잉과 상각을 남겼다. $4.5B 재고 상각과 수출 라이선스가 갑작스레 요구되면서 약 $8B의 분기 매출 손실을 낳은 2025년 H20 사건은 AI 시대의 유사 사례이다. 즉 단일 정책 또는 수요 충격이 여전히 하룻밤에 실적을 수십억 달러 움직일 수 있음을 입증한다. 이 이력이 당사가 약 $1조 규모의 Blackwell/Rubin 수주 잔고를 강력하나 무오류는 아닌 신호로 취급하는 이유이며, 경쟁사 공급을 선점하는 메커니즘인 약 $155B의 매입 및 클라우드 약정이 회사의 가장 날카로운 경쟁 무기인 동시에 수요 위축 시 하방 이익 리스크의 가장 큰 단일 원천인 이유이다.</w:t>
      </w:r>
    </w:p>
    <w:p>
      <w:pPr>
        <w:spacing w:after="140"/>
      </w:pPr>
      <w:r>
        <w:rPr>
          <w:rFonts w:ascii="맑은 고딕" w:hAnsi="맑은 고딕" w:eastAsia="맑은 고딕"/>
          <w:i w:val="0"/>
          <w:sz w:val="21"/>
        </w:rPr>
        <w:t>종합하면, 역사적 기록은 향후 모델에 대한 특정한 해석을 뒷받침한다. 매출 기반은 실질적이고 현금 창출적이며 구조적으로 고마진이고, 시스템 판매로의 이동은 지금까지 투입 비용 인플레이션에 맞서 수익성을 방어해 왔다. 그러나 같은 기록은 감속하는 성장률(+126%, +114%, +65%)을 보여주는데, 이는 향후 경로 — 약 29%의 5년 CAGR — 가 가속이 아닌 감속 스토리임을 뜻하고, 단일 고객 또는 단일 정책 이벤트가 수십억 달러 규모의 진폭을 낳을 만큼 충분히 집중된 수요 기반을 보여준다. 따라서 재무 이력은 강세 논리(입증된 실행력, 요새 같은 대차대조표, 비범한 현금 전환)인 동시에 신중론(기저효과, 집중도, 약정 부담)이며, 이들이 함께 당사의 중립(HOLD) 의견을 낳는다.</w:t>
      </w:r>
    </w:p>
    <w:p>
      <w:pPr>
        <w:jc w:val="center"/>
      </w:pPr>
      <w:r>
        <w:drawing>
          <wp:inline xmlns:a="http://schemas.openxmlformats.org/drawingml/2006/main" xmlns:pic="http://schemas.openxmlformats.org/drawingml/2006/picture">
            <wp:extent cx="5486400" cy="2840777"/>
            <wp:docPr id="11" name="Picture 11"/>
            <wp:cNvGraphicFramePr>
              <a:graphicFrameLocks noChangeAspect="1"/>
            </wp:cNvGraphicFramePr>
            <a:graphic>
              <a:graphicData uri="http://schemas.openxmlformats.org/drawingml/2006/picture">
                <pic:pic>
                  <pic:nvPicPr>
                    <pic:cNvPr id="0" name="chart_02_revenue_growth_trajectory.png"/>
                    <pic:cNvPicPr/>
                  </pic:nvPicPr>
                  <pic:blipFill>
                    <a:blip r:embed="rId19"/>
                    <a:stretch>
                      <a:fillRect/>
                    </a:stretch>
                  </pic:blipFill>
                  <pic:spPr>
                    <a:xfrm>
                      <a:off x="0" y="0"/>
                      <a:ext cx="5486400" cy="2840777"/>
                    </a:xfrm>
                    <a:prstGeom prst="rect"/>
                  </pic:spPr>
                </pic:pic>
              </a:graphicData>
            </a:graphic>
          </wp:inline>
        </w:drawing>
      </w:r>
    </w:p>
    <w:p>
      <w:pPr>
        <w:spacing w:after="200"/>
      </w:pPr>
      <w:r>
        <w:rPr>
          <w:rFonts w:ascii="맑은 고딕" w:hAnsi="맑은 고딕" w:eastAsia="맑은 고딕"/>
          <w:i/>
          <w:color w:val="595959"/>
          <w:sz w:val="16"/>
        </w:rPr>
        <w:t>그림 2 — 매출 추이 FY2023–FY2031E. 자료: 모델.</w:t>
      </w:r>
    </w:p>
    <w:p>
      <w:pPr>
        <w:spacing w:before="160" w:after="80"/>
      </w:pPr>
      <w:r>
        <w:rPr>
          <w:rFonts w:ascii="맑은 고딕" w:hAnsi="맑은 고딕" w:eastAsia="맑은 고딕"/>
          <w:b/>
          <w:color w:val="1A1A1A"/>
          <w:sz w:val="22"/>
        </w:rPr>
        <w:t>손익계산서 요약 ($B)</w:t>
      </w:r>
    </w:p>
    <w:tbl>
      <w:tblPr>
        <w:tblStyle w:val="LightGrid-Accent1"/>
        <w:tblW w:type="auto" w:w="0"/>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3864"/>
          </w:tcPr>
          <w:p>
            <w:pPr>
              <w:spacing w:after="20" w:before="20"/>
              <w:jc w:val="left"/>
            </w:pPr>
            <w:r/>
            <w:r>
              <w:rPr>
                <w:rFonts w:ascii="맑은 고딕" w:hAnsi="맑은 고딕" w:eastAsia="맑은 고딕"/>
                <w:b/>
                <w:color w:val="FFFFFF"/>
                <w:sz w:val="15"/>
              </w:rPr>
              <w:t>$B</w:t>
            </w:r>
          </w:p>
        </w:tc>
        <w:tc>
          <w:tcPr>
            <w:tcW w:type="dxa" w:w="994"/>
            <w:shd w:fill="1F3864"/>
          </w:tcPr>
          <w:p>
            <w:pPr>
              <w:spacing w:after="20" w:before="20"/>
              <w:jc w:val="right"/>
            </w:pPr>
            <w:r/>
            <w:r>
              <w:rPr>
                <w:rFonts w:ascii="맑은 고딕" w:hAnsi="맑은 고딕" w:eastAsia="맑은 고딕"/>
                <w:b/>
                <w:color w:val="FFFFFF"/>
                <w:sz w:val="15"/>
              </w:rPr>
              <w:t>FY23</w:t>
            </w:r>
          </w:p>
        </w:tc>
        <w:tc>
          <w:tcPr>
            <w:tcW w:type="dxa" w:w="994"/>
            <w:shd w:fill="1F3864"/>
          </w:tcPr>
          <w:p>
            <w:pPr>
              <w:spacing w:after="20" w:before="20"/>
              <w:jc w:val="right"/>
            </w:pPr>
            <w:r/>
            <w:r>
              <w:rPr>
                <w:rFonts w:ascii="맑은 고딕" w:hAnsi="맑은 고딕" w:eastAsia="맑은 고딕"/>
                <w:b/>
                <w:color w:val="FFFFFF"/>
                <w:sz w:val="15"/>
              </w:rPr>
              <w:t>FY24</w:t>
            </w:r>
          </w:p>
        </w:tc>
        <w:tc>
          <w:tcPr>
            <w:tcW w:type="dxa" w:w="994"/>
            <w:shd w:fill="1F3864"/>
          </w:tcPr>
          <w:p>
            <w:pPr>
              <w:spacing w:after="20" w:before="20"/>
              <w:jc w:val="right"/>
            </w:pPr>
            <w:r/>
            <w:r>
              <w:rPr>
                <w:rFonts w:ascii="맑은 고딕" w:hAnsi="맑은 고딕" w:eastAsia="맑은 고딕"/>
                <w:b/>
                <w:color w:val="FFFFFF"/>
                <w:sz w:val="15"/>
              </w:rPr>
              <w:t>FY25</w:t>
            </w:r>
          </w:p>
        </w:tc>
        <w:tc>
          <w:tcPr>
            <w:tcW w:type="dxa" w:w="994"/>
            <w:shd w:fill="1F3864"/>
          </w:tcPr>
          <w:p>
            <w:pPr>
              <w:spacing w:after="20" w:before="20"/>
              <w:jc w:val="right"/>
            </w:pPr>
            <w:r/>
            <w:r>
              <w:rPr>
                <w:rFonts w:ascii="맑은 고딕" w:hAnsi="맑은 고딕" w:eastAsia="맑은 고딕"/>
                <w:b/>
                <w:color w:val="FFFFFF"/>
                <w:sz w:val="15"/>
              </w:rPr>
              <w:t>FY26</w:t>
            </w:r>
          </w:p>
        </w:tc>
        <w:tc>
          <w:tcPr>
            <w:tcW w:type="dxa" w:w="994"/>
            <w:shd w:fill="1F3864"/>
          </w:tcPr>
          <w:p>
            <w:pPr>
              <w:spacing w:after="20" w:before="20"/>
              <w:jc w:val="right"/>
            </w:pPr>
            <w:r/>
            <w:r>
              <w:rPr>
                <w:rFonts w:ascii="맑은 고딕" w:hAnsi="맑은 고딕" w:eastAsia="맑은 고딕"/>
                <w:b/>
                <w:color w:val="FFFFFF"/>
                <w:sz w:val="15"/>
              </w:rPr>
              <w:t>FY27E</w:t>
            </w:r>
          </w:p>
        </w:tc>
        <w:tc>
          <w:tcPr>
            <w:tcW w:type="dxa" w:w="994"/>
            <w:shd w:fill="1F3864"/>
          </w:tcPr>
          <w:p>
            <w:pPr>
              <w:spacing w:after="20" w:before="20"/>
              <w:jc w:val="right"/>
            </w:pPr>
            <w:r/>
            <w:r>
              <w:rPr>
                <w:rFonts w:ascii="맑은 고딕" w:hAnsi="맑은 고딕" w:eastAsia="맑은 고딕"/>
                <w:b/>
                <w:color w:val="FFFFFF"/>
                <w:sz w:val="15"/>
              </w:rPr>
              <w:t>FY28E</w:t>
            </w:r>
          </w:p>
        </w:tc>
        <w:tc>
          <w:tcPr>
            <w:tcW w:type="dxa" w:w="994"/>
            <w:shd w:fill="1F3864"/>
          </w:tcPr>
          <w:p>
            <w:pPr>
              <w:spacing w:after="20" w:before="20"/>
              <w:jc w:val="right"/>
            </w:pPr>
            <w:r/>
            <w:r>
              <w:rPr>
                <w:rFonts w:ascii="맑은 고딕" w:hAnsi="맑은 고딕" w:eastAsia="맑은 고딕"/>
                <w:b/>
                <w:color w:val="FFFFFF"/>
                <w:sz w:val="15"/>
              </w:rPr>
              <w:t>FY29E</w:t>
            </w:r>
          </w:p>
        </w:tc>
        <w:tc>
          <w:tcPr>
            <w:tcW w:type="dxa" w:w="994"/>
            <w:shd w:fill="1F3864"/>
          </w:tcPr>
          <w:p>
            <w:pPr>
              <w:spacing w:after="20" w:before="20"/>
              <w:jc w:val="right"/>
            </w:pPr>
            <w:r/>
            <w:r>
              <w:rPr>
                <w:rFonts w:ascii="맑은 고딕" w:hAnsi="맑은 고딕" w:eastAsia="맑은 고딕"/>
                <w:b/>
                <w:color w:val="FFFFFF"/>
                <w:sz w:val="15"/>
              </w:rPr>
              <w:t>FY30E</w:t>
            </w:r>
          </w:p>
        </w:tc>
        <w:tc>
          <w:tcPr>
            <w:tcW w:type="dxa" w:w="994"/>
            <w:shd w:fill="1F3864"/>
          </w:tcPr>
          <w:p>
            <w:pPr>
              <w:spacing w:after="20" w:before="20"/>
              <w:jc w:val="right"/>
            </w:pPr>
            <w:r/>
            <w:r>
              <w:rPr>
                <w:rFonts w:ascii="맑은 고딕" w:hAnsi="맑은 고딕" w:eastAsia="맑은 고딕"/>
                <w:b/>
                <w:color w:val="FFFFFF"/>
                <w:sz w:val="15"/>
              </w:rPr>
              <w:t>FY31E</w:t>
            </w:r>
          </w:p>
        </w:tc>
      </w:tr>
      <w:tr>
        <w:tc>
          <w:tcPr>
            <w:tcW w:type="dxa" w:w="994"/>
          </w:tcPr>
          <w:p>
            <w:pPr>
              <w:spacing w:after="20" w:before="20"/>
              <w:jc w:val="left"/>
            </w:pPr>
            <w:r/>
            <w:r>
              <w:rPr>
                <w:rFonts w:ascii="맑은 고딕" w:hAnsi="맑은 고딕" w:eastAsia="맑은 고딕"/>
                <w:b w:val="0"/>
                <w:sz w:val="15"/>
              </w:rPr>
              <w:t>매출</w:t>
            </w:r>
          </w:p>
        </w:tc>
        <w:tc>
          <w:tcPr>
            <w:tcW w:type="dxa" w:w="994"/>
          </w:tcPr>
          <w:p>
            <w:pPr>
              <w:spacing w:after="20" w:before="20"/>
              <w:jc w:val="right"/>
            </w:pPr>
            <w:r/>
            <w:r>
              <w:rPr>
                <w:rFonts w:ascii="맑은 고딕" w:hAnsi="맑은 고딕" w:eastAsia="맑은 고딕"/>
                <w:b w:val="0"/>
                <w:sz w:val="15"/>
              </w:rPr>
              <w:t>27.0</w:t>
            </w:r>
          </w:p>
        </w:tc>
        <w:tc>
          <w:tcPr>
            <w:tcW w:type="dxa" w:w="994"/>
          </w:tcPr>
          <w:p>
            <w:pPr>
              <w:spacing w:after="20" w:before="20"/>
              <w:jc w:val="right"/>
            </w:pPr>
            <w:r/>
            <w:r>
              <w:rPr>
                <w:rFonts w:ascii="맑은 고딕" w:hAnsi="맑은 고딕" w:eastAsia="맑은 고딕"/>
                <w:b w:val="0"/>
                <w:sz w:val="15"/>
              </w:rPr>
              <w:t>60.9</w:t>
            </w:r>
          </w:p>
        </w:tc>
        <w:tc>
          <w:tcPr>
            <w:tcW w:type="dxa" w:w="994"/>
          </w:tcPr>
          <w:p>
            <w:pPr>
              <w:spacing w:after="20" w:before="20"/>
              <w:jc w:val="right"/>
            </w:pPr>
            <w:r/>
            <w:r>
              <w:rPr>
                <w:rFonts w:ascii="맑은 고딕" w:hAnsi="맑은 고딕" w:eastAsia="맑은 고딕"/>
                <w:b w:val="0"/>
                <w:sz w:val="15"/>
              </w:rPr>
              <w:t>130.5</w:t>
            </w:r>
          </w:p>
        </w:tc>
        <w:tc>
          <w:tcPr>
            <w:tcW w:type="dxa" w:w="994"/>
          </w:tcPr>
          <w:p>
            <w:pPr>
              <w:spacing w:after="20" w:before="20"/>
              <w:jc w:val="right"/>
            </w:pPr>
            <w:r/>
            <w:r>
              <w:rPr>
                <w:rFonts w:ascii="맑은 고딕" w:hAnsi="맑은 고딕" w:eastAsia="맑은 고딕"/>
                <w:b w:val="0"/>
                <w:sz w:val="15"/>
              </w:rPr>
              <w:t>215.9</w:t>
            </w:r>
          </w:p>
        </w:tc>
        <w:tc>
          <w:tcPr>
            <w:tcW w:type="dxa" w:w="994"/>
          </w:tcPr>
          <w:p>
            <w:pPr>
              <w:spacing w:after="20" w:before="20"/>
              <w:jc w:val="right"/>
            </w:pPr>
            <w:r/>
            <w:r>
              <w:rPr>
                <w:rFonts w:ascii="맑은 고딕" w:hAnsi="맑은 고딕" w:eastAsia="맑은 고딕"/>
                <w:b w:val="0"/>
                <w:sz w:val="15"/>
              </w:rPr>
              <w:t>370.6</w:t>
            </w:r>
          </w:p>
        </w:tc>
        <w:tc>
          <w:tcPr>
            <w:tcW w:type="dxa" w:w="994"/>
          </w:tcPr>
          <w:p>
            <w:pPr>
              <w:spacing w:after="20" w:before="20"/>
              <w:jc w:val="right"/>
            </w:pPr>
            <w:r/>
            <w:r>
              <w:rPr>
                <w:rFonts w:ascii="맑은 고딕" w:hAnsi="맑은 고딕" w:eastAsia="맑은 고딕"/>
                <w:b w:val="0"/>
                <w:sz w:val="15"/>
              </w:rPr>
              <w:t>494.5</w:t>
            </w:r>
          </w:p>
        </w:tc>
        <w:tc>
          <w:tcPr>
            <w:tcW w:type="dxa" w:w="994"/>
          </w:tcPr>
          <w:p>
            <w:pPr>
              <w:spacing w:after="20" w:before="20"/>
              <w:jc w:val="right"/>
            </w:pPr>
            <w:r/>
            <w:r>
              <w:rPr>
                <w:rFonts w:ascii="맑은 고딕" w:hAnsi="맑은 고딕" w:eastAsia="맑은 고딕"/>
                <w:b w:val="0"/>
                <w:sz w:val="15"/>
              </w:rPr>
              <w:t>600.0</w:t>
            </w:r>
          </w:p>
        </w:tc>
        <w:tc>
          <w:tcPr>
            <w:tcW w:type="dxa" w:w="994"/>
          </w:tcPr>
          <w:p>
            <w:pPr>
              <w:spacing w:after="20" w:before="20"/>
              <w:jc w:val="right"/>
            </w:pPr>
            <w:r/>
            <w:r>
              <w:rPr>
                <w:rFonts w:ascii="맑은 고딕" w:hAnsi="맑은 고딕" w:eastAsia="맑은 고딕"/>
                <w:b w:val="0"/>
                <w:sz w:val="15"/>
              </w:rPr>
              <w:t>688.1</w:t>
            </w:r>
          </w:p>
        </w:tc>
        <w:tc>
          <w:tcPr>
            <w:tcW w:type="dxa" w:w="994"/>
          </w:tcPr>
          <w:p>
            <w:pPr>
              <w:spacing w:after="20" w:before="20"/>
              <w:jc w:val="right"/>
            </w:pPr>
            <w:r/>
            <w:r>
              <w:rPr>
                <w:rFonts w:ascii="맑은 고딕" w:hAnsi="맑은 고딕" w:eastAsia="맑은 고딕"/>
                <w:b w:val="0"/>
                <w:sz w:val="15"/>
              </w:rPr>
              <w:t>769.5</w:t>
            </w:r>
          </w:p>
        </w:tc>
      </w:tr>
      <w:tr>
        <w:tc>
          <w:tcPr>
            <w:tcW w:type="dxa" w:w="994"/>
          </w:tcPr>
          <w:p>
            <w:pPr>
              <w:spacing w:after="20" w:before="20"/>
              <w:jc w:val="left"/>
            </w:pPr>
            <w:r/>
            <w:r>
              <w:rPr>
                <w:rFonts w:ascii="맑은 고딕" w:hAnsi="맑은 고딕" w:eastAsia="맑은 고딕"/>
                <w:b w:val="0"/>
                <w:sz w:val="15"/>
              </w:rPr>
              <w:t>매출원가</w:t>
            </w:r>
          </w:p>
        </w:tc>
        <w:tc>
          <w:tcPr>
            <w:tcW w:type="dxa" w:w="994"/>
          </w:tcPr>
          <w:p>
            <w:pPr>
              <w:spacing w:after="20" w:before="20"/>
              <w:jc w:val="right"/>
            </w:pPr>
            <w:r/>
            <w:r>
              <w:rPr>
                <w:rFonts w:ascii="맑은 고딕" w:hAnsi="맑은 고딕" w:eastAsia="맑은 고딕"/>
                <w:b w:val="0"/>
                <w:sz w:val="15"/>
              </w:rPr>
              <w:t>11.6</w:t>
            </w:r>
          </w:p>
        </w:tc>
        <w:tc>
          <w:tcPr>
            <w:tcW w:type="dxa" w:w="994"/>
          </w:tcPr>
          <w:p>
            <w:pPr>
              <w:spacing w:after="20" w:before="20"/>
              <w:jc w:val="right"/>
            </w:pPr>
            <w:r/>
            <w:r>
              <w:rPr>
                <w:rFonts w:ascii="맑은 고딕" w:hAnsi="맑은 고딕" w:eastAsia="맑은 고딕"/>
                <w:b w:val="0"/>
                <w:sz w:val="15"/>
              </w:rPr>
              <w:t>16.6</w:t>
            </w:r>
          </w:p>
        </w:tc>
        <w:tc>
          <w:tcPr>
            <w:tcW w:type="dxa" w:w="994"/>
          </w:tcPr>
          <w:p>
            <w:pPr>
              <w:spacing w:after="20" w:before="20"/>
              <w:jc w:val="right"/>
            </w:pPr>
            <w:r/>
            <w:r>
              <w:rPr>
                <w:rFonts w:ascii="맑은 고딕" w:hAnsi="맑은 고딕" w:eastAsia="맑은 고딕"/>
                <w:b w:val="0"/>
                <w:sz w:val="15"/>
              </w:rPr>
              <w:t>32.6</w:t>
            </w:r>
          </w:p>
        </w:tc>
        <w:tc>
          <w:tcPr>
            <w:tcW w:type="dxa" w:w="994"/>
          </w:tcPr>
          <w:p>
            <w:pPr>
              <w:spacing w:after="20" w:before="20"/>
              <w:jc w:val="right"/>
            </w:pPr>
            <w:r/>
            <w:r>
              <w:rPr>
                <w:rFonts w:ascii="맑은 고딕" w:hAnsi="맑은 고딕" w:eastAsia="맑은 고딕"/>
                <w:b w:val="0"/>
                <w:sz w:val="15"/>
              </w:rPr>
              <w:t>62.5</w:t>
            </w:r>
          </w:p>
        </w:tc>
        <w:tc>
          <w:tcPr>
            <w:tcW w:type="dxa" w:w="994"/>
          </w:tcPr>
          <w:p>
            <w:pPr>
              <w:spacing w:after="20" w:before="20"/>
              <w:jc w:val="right"/>
            </w:pPr>
            <w:r/>
            <w:r>
              <w:rPr>
                <w:rFonts w:ascii="맑은 고딕" w:hAnsi="맑은 고딕" w:eastAsia="맑은 고딕"/>
                <w:b w:val="0"/>
                <w:sz w:val="15"/>
              </w:rPr>
              <w:t>98.2</w:t>
            </w:r>
          </w:p>
        </w:tc>
        <w:tc>
          <w:tcPr>
            <w:tcW w:type="dxa" w:w="994"/>
          </w:tcPr>
          <w:p>
            <w:pPr>
              <w:spacing w:after="20" w:before="20"/>
              <w:jc w:val="right"/>
            </w:pPr>
            <w:r/>
            <w:r>
              <w:rPr>
                <w:rFonts w:ascii="맑은 고딕" w:hAnsi="맑은 고딕" w:eastAsia="맑은 고딕"/>
                <w:b w:val="0"/>
                <w:sz w:val="15"/>
              </w:rPr>
              <w:t>131.0</w:t>
            </w:r>
          </w:p>
        </w:tc>
        <w:tc>
          <w:tcPr>
            <w:tcW w:type="dxa" w:w="994"/>
          </w:tcPr>
          <w:p>
            <w:pPr>
              <w:spacing w:after="20" w:before="20"/>
              <w:jc w:val="right"/>
            </w:pPr>
            <w:r/>
            <w:r>
              <w:rPr>
                <w:rFonts w:ascii="맑은 고딕" w:hAnsi="맑은 고딕" w:eastAsia="맑은 고딕"/>
                <w:b w:val="0"/>
                <w:sz w:val="15"/>
              </w:rPr>
              <w:t>162.0</w:t>
            </w:r>
          </w:p>
        </w:tc>
        <w:tc>
          <w:tcPr>
            <w:tcW w:type="dxa" w:w="994"/>
          </w:tcPr>
          <w:p>
            <w:pPr>
              <w:spacing w:after="20" w:before="20"/>
              <w:jc w:val="right"/>
            </w:pPr>
            <w:r/>
            <w:r>
              <w:rPr>
                <w:rFonts w:ascii="맑은 고딕" w:hAnsi="맑은 고딕" w:eastAsia="맑은 고딕"/>
                <w:b w:val="0"/>
                <w:sz w:val="15"/>
              </w:rPr>
              <w:t>189.2</w:t>
            </w:r>
          </w:p>
        </w:tc>
        <w:tc>
          <w:tcPr>
            <w:tcW w:type="dxa" w:w="994"/>
          </w:tcPr>
          <w:p>
            <w:pPr>
              <w:spacing w:after="20" w:before="20"/>
              <w:jc w:val="right"/>
            </w:pPr>
            <w:r/>
            <w:r>
              <w:rPr>
                <w:rFonts w:ascii="맑은 고딕" w:hAnsi="맑은 고딕" w:eastAsia="맑은 고딕"/>
                <w:b w:val="0"/>
                <w:sz w:val="15"/>
              </w:rPr>
              <w:t>215.5</w:t>
            </w:r>
          </w:p>
        </w:tc>
      </w:tr>
      <w:tr>
        <w:tc>
          <w:tcPr>
            <w:tcW w:type="dxa" w:w="994"/>
          </w:tcPr>
          <w:p>
            <w:pPr>
              <w:spacing w:after="20" w:before="20"/>
              <w:jc w:val="left"/>
            </w:pPr>
            <w:r/>
            <w:r>
              <w:rPr>
                <w:rFonts w:ascii="맑은 고딕" w:hAnsi="맑은 고딕" w:eastAsia="맑은 고딕"/>
                <w:b w:val="0"/>
                <w:sz w:val="15"/>
              </w:rPr>
              <w:t>매출총이익</w:t>
            </w:r>
          </w:p>
        </w:tc>
        <w:tc>
          <w:tcPr>
            <w:tcW w:type="dxa" w:w="994"/>
          </w:tcPr>
          <w:p>
            <w:pPr>
              <w:spacing w:after="20" w:before="20"/>
              <w:jc w:val="right"/>
            </w:pPr>
            <w:r/>
            <w:r>
              <w:rPr>
                <w:rFonts w:ascii="맑은 고딕" w:hAnsi="맑은 고딕" w:eastAsia="맑은 고딕"/>
                <w:b w:val="0"/>
                <w:sz w:val="15"/>
              </w:rPr>
              <w:t>15.4</w:t>
            </w:r>
          </w:p>
        </w:tc>
        <w:tc>
          <w:tcPr>
            <w:tcW w:type="dxa" w:w="994"/>
          </w:tcPr>
          <w:p>
            <w:pPr>
              <w:spacing w:after="20" w:before="20"/>
              <w:jc w:val="right"/>
            </w:pPr>
            <w:r/>
            <w:r>
              <w:rPr>
                <w:rFonts w:ascii="맑은 고딕" w:hAnsi="맑은 고딕" w:eastAsia="맑은 고딕"/>
                <w:b w:val="0"/>
                <w:sz w:val="15"/>
              </w:rPr>
              <w:t>44.3</w:t>
            </w:r>
          </w:p>
        </w:tc>
        <w:tc>
          <w:tcPr>
            <w:tcW w:type="dxa" w:w="994"/>
          </w:tcPr>
          <w:p>
            <w:pPr>
              <w:spacing w:after="20" w:before="20"/>
              <w:jc w:val="right"/>
            </w:pPr>
            <w:r/>
            <w:r>
              <w:rPr>
                <w:rFonts w:ascii="맑은 고딕" w:hAnsi="맑은 고딕" w:eastAsia="맑은 고딕"/>
                <w:b w:val="0"/>
                <w:sz w:val="15"/>
              </w:rPr>
              <w:t>97.9</w:t>
            </w:r>
          </w:p>
        </w:tc>
        <w:tc>
          <w:tcPr>
            <w:tcW w:type="dxa" w:w="994"/>
          </w:tcPr>
          <w:p>
            <w:pPr>
              <w:spacing w:after="20" w:before="20"/>
              <w:jc w:val="right"/>
            </w:pPr>
            <w:r/>
            <w:r>
              <w:rPr>
                <w:rFonts w:ascii="맑은 고딕" w:hAnsi="맑은 고딕" w:eastAsia="맑은 고딕"/>
                <w:b w:val="0"/>
                <w:sz w:val="15"/>
              </w:rPr>
              <w:t>153.5</w:t>
            </w:r>
          </w:p>
        </w:tc>
        <w:tc>
          <w:tcPr>
            <w:tcW w:type="dxa" w:w="994"/>
          </w:tcPr>
          <w:p>
            <w:pPr>
              <w:spacing w:after="20" w:before="20"/>
              <w:jc w:val="right"/>
            </w:pPr>
            <w:r/>
            <w:r>
              <w:rPr>
                <w:rFonts w:ascii="맑은 고딕" w:hAnsi="맑은 고딕" w:eastAsia="맑은 고딕"/>
                <w:b w:val="0"/>
                <w:sz w:val="15"/>
              </w:rPr>
              <w:t>272.4</w:t>
            </w:r>
          </w:p>
        </w:tc>
        <w:tc>
          <w:tcPr>
            <w:tcW w:type="dxa" w:w="994"/>
          </w:tcPr>
          <w:p>
            <w:pPr>
              <w:spacing w:after="20" w:before="20"/>
              <w:jc w:val="right"/>
            </w:pPr>
            <w:r/>
            <w:r>
              <w:rPr>
                <w:rFonts w:ascii="맑은 고딕" w:hAnsi="맑은 고딕" w:eastAsia="맑은 고딕"/>
                <w:b w:val="0"/>
                <w:sz w:val="15"/>
              </w:rPr>
              <w:t>363.5</w:t>
            </w:r>
          </w:p>
        </w:tc>
        <w:tc>
          <w:tcPr>
            <w:tcW w:type="dxa" w:w="994"/>
          </w:tcPr>
          <w:p>
            <w:pPr>
              <w:spacing w:after="20" w:before="20"/>
              <w:jc w:val="right"/>
            </w:pPr>
            <w:r/>
            <w:r>
              <w:rPr>
                <w:rFonts w:ascii="맑은 고딕" w:hAnsi="맑은 고딕" w:eastAsia="맑은 고딕"/>
                <w:b w:val="0"/>
                <w:sz w:val="15"/>
              </w:rPr>
              <w:t>438.0</w:t>
            </w:r>
          </w:p>
        </w:tc>
        <w:tc>
          <w:tcPr>
            <w:tcW w:type="dxa" w:w="994"/>
          </w:tcPr>
          <w:p>
            <w:pPr>
              <w:spacing w:after="20" w:before="20"/>
              <w:jc w:val="right"/>
            </w:pPr>
            <w:r/>
            <w:r>
              <w:rPr>
                <w:rFonts w:ascii="맑은 고딕" w:hAnsi="맑은 고딕" w:eastAsia="맑은 고딕"/>
                <w:b w:val="0"/>
                <w:sz w:val="15"/>
              </w:rPr>
              <w:t>498.9</w:t>
            </w:r>
          </w:p>
        </w:tc>
        <w:tc>
          <w:tcPr>
            <w:tcW w:type="dxa" w:w="994"/>
          </w:tcPr>
          <w:p>
            <w:pPr>
              <w:spacing w:after="20" w:before="20"/>
              <w:jc w:val="right"/>
            </w:pPr>
            <w:r/>
            <w:r>
              <w:rPr>
                <w:rFonts w:ascii="맑은 고딕" w:hAnsi="맑은 고딕" w:eastAsia="맑은 고딕"/>
                <w:b w:val="0"/>
                <w:sz w:val="15"/>
              </w:rPr>
              <w:t>554.0</w:t>
            </w:r>
          </w:p>
        </w:tc>
      </w:tr>
      <w:tr>
        <w:tc>
          <w:tcPr>
            <w:tcW w:type="dxa" w:w="994"/>
          </w:tcPr>
          <w:p>
            <w:pPr>
              <w:spacing w:after="20" w:before="20"/>
              <w:jc w:val="left"/>
            </w:pPr>
            <w:r/>
            <w:r>
              <w:rPr>
                <w:rFonts w:ascii="맑은 고딕" w:hAnsi="맑은 고딕" w:eastAsia="맑은 고딕"/>
                <w:b w:val="0"/>
                <w:sz w:val="15"/>
              </w:rPr>
              <w:t>R&amp;D</w:t>
            </w:r>
          </w:p>
        </w:tc>
        <w:tc>
          <w:tcPr>
            <w:tcW w:type="dxa" w:w="994"/>
          </w:tcPr>
          <w:p>
            <w:pPr>
              <w:spacing w:after="20" w:before="20"/>
              <w:jc w:val="right"/>
            </w:pPr>
            <w:r/>
            <w:r>
              <w:rPr>
                <w:rFonts w:ascii="맑은 고딕" w:hAnsi="맑은 고딕" w:eastAsia="맑은 고딕"/>
                <w:b w:val="0"/>
                <w:sz w:val="15"/>
              </w:rPr>
              <w:t>7.3</w:t>
            </w:r>
          </w:p>
        </w:tc>
        <w:tc>
          <w:tcPr>
            <w:tcW w:type="dxa" w:w="994"/>
          </w:tcPr>
          <w:p>
            <w:pPr>
              <w:spacing w:after="20" w:before="20"/>
              <w:jc w:val="right"/>
            </w:pPr>
            <w:r/>
            <w:r>
              <w:rPr>
                <w:rFonts w:ascii="맑은 고딕" w:hAnsi="맑은 고딕" w:eastAsia="맑은 고딕"/>
                <w:b w:val="0"/>
                <w:sz w:val="15"/>
              </w:rPr>
              <w:t>8.7</w:t>
            </w:r>
          </w:p>
        </w:tc>
        <w:tc>
          <w:tcPr>
            <w:tcW w:type="dxa" w:w="994"/>
          </w:tcPr>
          <w:p>
            <w:pPr>
              <w:spacing w:after="20" w:before="20"/>
              <w:jc w:val="right"/>
            </w:pPr>
            <w:r/>
            <w:r>
              <w:rPr>
                <w:rFonts w:ascii="맑은 고딕" w:hAnsi="맑은 고딕" w:eastAsia="맑은 고딕"/>
                <w:b w:val="0"/>
                <w:sz w:val="15"/>
              </w:rPr>
              <w:t>12.9</w:t>
            </w:r>
          </w:p>
        </w:tc>
        <w:tc>
          <w:tcPr>
            <w:tcW w:type="dxa" w:w="994"/>
          </w:tcPr>
          <w:p>
            <w:pPr>
              <w:spacing w:after="20" w:before="20"/>
              <w:jc w:val="right"/>
            </w:pPr>
            <w:r/>
            <w:r>
              <w:rPr>
                <w:rFonts w:ascii="맑은 고딕" w:hAnsi="맑은 고딕" w:eastAsia="맑은 고딕"/>
                <w:b w:val="0"/>
                <w:sz w:val="15"/>
              </w:rPr>
              <w:t>18.5</w:t>
            </w:r>
          </w:p>
        </w:tc>
        <w:tc>
          <w:tcPr>
            <w:tcW w:type="dxa" w:w="994"/>
          </w:tcPr>
          <w:p>
            <w:pPr>
              <w:spacing w:after="20" w:before="20"/>
              <w:jc w:val="right"/>
            </w:pPr>
            <w:r/>
            <w:r>
              <w:rPr>
                <w:rFonts w:ascii="맑은 고딕" w:hAnsi="맑은 고딕" w:eastAsia="맑은 고딕"/>
                <w:b w:val="0"/>
                <w:sz w:val="15"/>
              </w:rPr>
              <w:t>42.6</w:t>
            </w:r>
          </w:p>
        </w:tc>
        <w:tc>
          <w:tcPr>
            <w:tcW w:type="dxa" w:w="994"/>
          </w:tcPr>
          <w:p>
            <w:pPr>
              <w:spacing w:after="20" w:before="20"/>
              <w:jc w:val="right"/>
            </w:pPr>
            <w:r/>
            <w:r>
              <w:rPr>
                <w:rFonts w:ascii="맑은 고딕" w:hAnsi="맑은 고딕" w:eastAsia="맑은 고딕"/>
                <w:b w:val="0"/>
                <w:sz w:val="15"/>
              </w:rPr>
              <w:t>59.3</w:t>
            </w:r>
          </w:p>
        </w:tc>
        <w:tc>
          <w:tcPr>
            <w:tcW w:type="dxa" w:w="994"/>
          </w:tcPr>
          <w:p>
            <w:pPr>
              <w:spacing w:after="20" w:before="20"/>
              <w:jc w:val="right"/>
            </w:pPr>
            <w:r/>
            <w:r>
              <w:rPr>
                <w:rFonts w:ascii="맑은 고딕" w:hAnsi="맑은 고딕" w:eastAsia="맑은 고딕"/>
                <w:b w:val="0"/>
                <w:sz w:val="15"/>
              </w:rPr>
              <w:t>75.0</w:t>
            </w:r>
          </w:p>
        </w:tc>
        <w:tc>
          <w:tcPr>
            <w:tcW w:type="dxa" w:w="994"/>
          </w:tcPr>
          <w:p>
            <w:pPr>
              <w:spacing w:after="20" w:before="20"/>
              <w:jc w:val="right"/>
            </w:pPr>
            <w:r/>
            <w:r>
              <w:rPr>
                <w:rFonts w:ascii="맑은 고딕" w:hAnsi="맑은 고딕" w:eastAsia="맑은 고딕"/>
                <w:b w:val="0"/>
                <w:sz w:val="15"/>
              </w:rPr>
              <w:t>89.5</w:t>
            </w:r>
          </w:p>
        </w:tc>
        <w:tc>
          <w:tcPr>
            <w:tcW w:type="dxa" w:w="994"/>
          </w:tcPr>
          <w:p>
            <w:pPr>
              <w:spacing w:after="20" w:before="20"/>
              <w:jc w:val="right"/>
            </w:pPr>
            <w:r/>
            <w:r>
              <w:rPr>
                <w:rFonts w:ascii="맑은 고딕" w:hAnsi="맑은 고딕" w:eastAsia="맑은 고딕"/>
                <w:b w:val="0"/>
                <w:sz w:val="15"/>
              </w:rPr>
              <w:t>100.0</w:t>
            </w:r>
          </w:p>
        </w:tc>
      </w:tr>
      <w:tr>
        <w:tc>
          <w:tcPr>
            <w:tcW w:type="dxa" w:w="994"/>
          </w:tcPr>
          <w:p>
            <w:pPr>
              <w:spacing w:after="20" w:before="20"/>
              <w:jc w:val="left"/>
            </w:pPr>
            <w:r/>
            <w:r>
              <w:rPr>
                <w:rFonts w:ascii="맑은 고딕" w:hAnsi="맑은 고딕" w:eastAsia="맑은 고딕"/>
                <w:b w:val="0"/>
                <w:sz w:val="15"/>
              </w:rPr>
              <w:t>SG&amp;A</w:t>
            </w:r>
          </w:p>
        </w:tc>
        <w:tc>
          <w:tcPr>
            <w:tcW w:type="dxa" w:w="994"/>
          </w:tcPr>
          <w:p>
            <w:pPr>
              <w:spacing w:after="20" w:before="20"/>
              <w:jc w:val="right"/>
            </w:pPr>
            <w:r/>
            <w:r>
              <w:rPr>
                <w:rFonts w:ascii="맑은 고딕" w:hAnsi="맑은 고딕" w:eastAsia="맑은 고딕"/>
                <w:b w:val="0"/>
                <w:sz w:val="15"/>
              </w:rPr>
              <w:t>2.4</w:t>
            </w:r>
          </w:p>
        </w:tc>
        <w:tc>
          <w:tcPr>
            <w:tcW w:type="dxa" w:w="994"/>
          </w:tcPr>
          <w:p>
            <w:pPr>
              <w:spacing w:after="20" w:before="20"/>
              <w:jc w:val="right"/>
            </w:pPr>
            <w:r/>
            <w:r>
              <w:rPr>
                <w:rFonts w:ascii="맑은 고딕" w:hAnsi="맑은 고딕" w:eastAsia="맑은 고딕"/>
                <w:b w:val="0"/>
                <w:sz w:val="15"/>
              </w:rPr>
              <w:t>2.7</w:t>
            </w:r>
          </w:p>
        </w:tc>
        <w:tc>
          <w:tcPr>
            <w:tcW w:type="dxa" w:w="994"/>
          </w:tcPr>
          <w:p>
            <w:pPr>
              <w:spacing w:after="20" w:before="20"/>
              <w:jc w:val="right"/>
            </w:pPr>
            <w:r/>
            <w:r>
              <w:rPr>
                <w:rFonts w:ascii="맑은 고딕" w:hAnsi="맑은 고딕" w:eastAsia="맑은 고딕"/>
                <w:b w:val="0"/>
                <w:sz w:val="15"/>
              </w:rPr>
              <w:t>3.5</w:t>
            </w:r>
          </w:p>
        </w:tc>
        <w:tc>
          <w:tcPr>
            <w:tcW w:type="dxa" w:w="994"/>
          </w:tcPr>
          <w:p>
            <w:pPr>
              <w:spacing w:after="20" w:before="20"/>
              <w:jc w:val="right"/>
            </w:pPr>
            <w:r/>
            <w:r>
              <w:rPr>
                <w:rFonts w:ascii="맑은 고딕" w:hAnsi="맑은 고딕" w:eastAsia="맑은 고딕"/>
                <w:b w:val="0"/>
                <w:sz w:val="15"/>
              </w:rPr>
              <w:t>4.6</w:t>
            </w:r>
          </w:p>
        </w:tc>
        <w:tc>
          <w:tcPr>
            <w:tcW w:type="dxa" w:w="994"/>
          </w:tcPr>
          <w:p>
            <w:pPr>
              <w:spacing w:after="20" w:before="20"/>
              <w:jc w:val="right"/>
            </w:pPr>
            <w:r/>
            <w:r>
              <w:rPr>
                <w:rFonts w:ascii="맑은 고딕" w:hAnsi="맑은 고딕" w:eastAsia="맑은 고딕"/>
                <w:b w:val="0"/>
                <w:sz w:val="15"/>
              </w:rPr>
              <w:t>11.1</w:t>
            </w:r>
          </w:p>
        </w:tc>
        <w:tc>
          <w:tcPr>
            <w:tcW w:type="dxa" w:w="994"/>
          </w:tcPr>
          <w:p>
            <w:pPr>
              <w:spacing w:after="20" w:before="20"/>
              <w:jc w:val="right"/>
            </w:pPr>
            <w:r/>
            <w:r>
              <w:rPr>
                <w:rFonts w:ascii="맑은 고딕" w:hAnsi="맑은 고딕" w:eastAsia="맑은 고딕"/>
                <w:b w:val="0"/>
                <w:sz w:val="15"/>
              </w:rPr>
              <w:t>15.8</w:t>
            </w:r>
          </w:p>
        </w:tc>
        <w:tc>
          <w:tcPr>
            <w:tcW w:type="dxa" w:w="994"/>
          </w:tcPr>
          <w:p>
            <w:pPr>
              <w:spacing w:after="20" w:before="20"/>
              <w:jc w:val="right"/>
            </w:pPr>
            <w:r/>
            <w:r>
              <w:rPr>
                <w:rFonts w:ascii="맑은 고딕" w:hAnsi="맑은 고딕" w:eastAsia="맑은 고딕"/>
                <w:b w:val="0"/>
                <w:sz w:val="15"/>
              </w:rPr>
              <w:t>20.4</w:t>
            </w:r>
          </w:p>
        </w:tc>
        <w:tc>
          <w:tcPr>
            <w:tcW w:type="dxa" w:w="994"/>
          </w:tcPr>
          <w:p>
            <w:pPr>
              <w:spacing w:after="20" w:before="20"/>
              <w:jc w:val="right"/>
            </w:pPr>
            <w:r/>
            <w:r>
              <w:rPr>
                <w:rFonts w:ascii="맑은 고딕" w:hAnsi="맑은 고딕" w:eastAsia="맑은 고딕"/>
                <w:b w:val="0"/>
                <w:sz w:val="15"/>
              </w:rPr>
              <w:t>24.1</w:t>
            </w:r>
          </w:p>
        </w:tc>
        <w:tc>
          <w:tcPr>
            <w:tcW w:type="dxa" w:w="994"/>
          </w:tcPr>
          <w:p>
            <w:pPr>
              <w:spacing w:after="20" w:before="20"/>
              <w:jc w:val="right"/>
            </w:pPr>
            <w:r/>
            <w:r>
              <w:rPr>
                <w:rFonts w:ascii="맑은 고딕" w:hAnsi="맑은 고딕" w:eastAsia="맑은 고딕"/>
                <w:b w:val="0"/>
                <w:sz w:val="15"/>
              </w:rPr>
              <w:t>26.9</w:t>
            </w:r>
          </w:p>
        </w:tc>
      </w:tr>
      <w:tr>
        <w:tc>
          <w:tcPr>
            <w:tcW w:type="dxa" w:w="994"/>
          </w:tcPr>
          <w:p>
            <w:pPr>
              <w:spacing w:after="20" w:before="20"/>
              <w:jc w:val="left"/>
            </w:pPr>
            <w:r/>
            <w:r>
              <w:rPr>
                <w:rFonts w:ascii="맑은 고딕" w:hAnsi="맑은 고딕" w:eastAsia="맑은 고딕"/>
                <w:b w:val="0"/>
                <w:sz w:val="15"/>
              </w:rPr>
              <w:t>영업이익</w:t>
            </w:r>
          </w:p>
        </w:tc>
        <w:tc>
          <w:tcPr>
            <w:tcW w:type="dxa" w:w="994"/>
          </w:tcPr>
          <w:p>
            <w:pPr>
              <w:spacing w:after="20" w:before="20"/>
              <w:jc w:val="right"/>
            </w:pPr>
            <w:r/>
            <w:r>
              <w:rPr>
                <w:rFonts w:ascii="맑은 고딕" w:hAnsi="맑은 고딕" w:eastAsia="맑은 고딕"/>
                <w:b w:val="0"/>
                <w:sz w:val="15"/>
              </w:rPr>
              <w:t>4.2</w:t>
            </w:r>
          </w:p>
        </w:tc>
        <w:tc>
          <w:tcPr>
            <w:tcW w:type="dxa" w:w="994"/>
          </w:tcPr>
          <w:p>
            <w:pPr>
              <w:spacing w:after="20" w:before="20"/>
              <w:jc w:val="right"/>
            </w:pPr>
            <w:r/>
            <w:r>
              <w:rPr>
                <w:rFonts w:ascii="맑은 고딕" w:hAnsi="맑은 고딕" w:eastAsia="맑은 고딕"/>
                <w:b w:val="0"/>
                <w:sz w:val="15"/>
              </w:rPr>
              <w:t>33.0</w:t>
            </w:r>
          </w:p>
        </w:tc>
        <w:tc>
          <w:tcPr>
            <w:tcW w:type="dxa" w:w="994"/>
          </w:tcPr>
          <w:p>
            <w:pPr>
              <w:spacing w:after="20" w:before="20"/>
              <w:jc w:val="right"/>
            </w:pPr>
            <w:r/>
            <w:r>
              <w:rPr>
                <w:rFonts w:ascii="맑은 고딕" w:hAnsi="맑은 고딕" w:eastAsia="맑은 고딕"/>
                <w:b w:val="0"/>
                <w:sz w:val="15"/>
              </w:rPr>
              <w:t>81.5</w:t>
            </w:r>
          </w:p>
        </w:tc>
        <w:tc>
          <w:tcPr>
            <w:tcW w:type="dxa" w:w="994"/>
          </w:tcPr>
          <w:p>
            <w:pPr>
              <w:spacing w:after="20" w:before="20"/>
              <w:jc w:val="right"/>
            </w:pPr>
            <w:r/>
            <w:r>
              <w:rPr>
                <w:rFonts w:ascii="맑은 고딕" w:hAnsi="맑은 고딕" w:eastAsia="맑은 고딕"/>
                <w:b w:val="0"/>
                <w:sz w:val="15"/>
              </w:rPr>
              <w:t>130.4</w:t>
            </w:r>
          </w:p>
        </w:tc>
        <w:tc>
          <w:tcPr>
            <w:tcW w:type="dxa" w:w="994"/>
          </w:tcPr>
          <w:p>
            <w:pPr>
              <w:spacing w:after="20" w:before="20"/>
              <w:jc w:val="right"/>
            </w:pPr>
            <w:r/>
            <w:r>
              <w:rPr>
                <w:rFonts w:ascii="맑은 고딕" w:hAnsi="맑은 고딕" w:eastAsia="맑은 고딕"/>
                <w:b w:val="0"/>
                <w:sz w:val="15"/>
              </w:rPr>
              <w:t>218.6</w:t>
            </w:r>
          </w:p>
        </w:tc>
        <w:tc>
          <w:tcPr>
            <w:tcW w:type="dxa" w:w="994"/>
          </w:tcPr>
          <w:p>
            <w:pPr>
              <w:spacing w:after="20" w:before="20"/>
              <w:jc w:val="right"/>
            </w:pPr>
            <w:r/>
            <w:r>
              <w:rPr>
                <w:rFonts w:ascii="맑은 고딕" w:hAnsi="맑은 고딕" w:eastAsia="맑은 고딕"/>
                <w:b w:val="0"/>
                <w:sz w:val="15"/>
              </w:rPr>
              <w:t>288.3</w:t>
            </w:r>
          </w:p>
        </w:tc>
        <w:tc>
          <w:tcPr>
            <w:tcW w:type="dxa" w:w="994"/>
          </w:tcPr>
          <w:p>
            <w:pPr>
              <w:spacing w:after="20" w:before="20"/>
              <w:jc w:val="right"/>
            </w:pPr>
            <w:r/>
            <w:r>
              <w:rPr>
                <w:rFonts w:ascii="맑은 고딕" w:hAnsi="맑은 고딕" w:eastAsia="맑은 고딕"/>
                <w:b w:val="0"/>
                <w:sz w:val="15"/>
              </w:rPr>
              <w:t>342.6</w:t>
            </w:r>
          </w:p>
        </w:tc>
        <w:tc>
          <w:tcPr>
            <w:tcW w:type="dxa" w:w="994"/>
          </w:tcPr>
          <w:p>
            <w:pPr>
              <w:spacing w:after="20" w:before="20"/>
              <w:jc w:val="right"/>
            </w:pPr>
            <w:r/>
            <w:r>
              <w:rPr>
                <w:rFonts w:ascii="맑은 고딕" w:hAnsi="맑은 고딕" w:eastAsia="맑은 고딕"/>
                <w:b w:val="0"/>
                <w:sz w:val="15"/>
              </w:rPr>
              <w:t>385.3</w:t>
            </w:r>
          </w:p>
        </w:tc>
        <w:tc>
          <w:tcPr>
            <w:tcW w:type="dxa" w:w="994"/>
          </w:tcPr>
          <w:p>
            <w:pPr>
              <w:spacing w:after="20" w:before="20"/>
              <w:jc w:val="right"/>
            </w:pPr>
            <w:r/>
            <w:r>
              <w:rPr>
                <w:rFonts w:ascii="맑은 고딕" w:hAnsi="맑은 고딕" w:eastAsia="맑은 고딕"/>
                <w:b w:val="0"/>
                <w:sz w:val="15"/>
              </w:rPr>
              <w:t>427.1</w:t>
            </w:r>
          </w:p>
        </w:tc>
      </w:tr>
      <w:tr>
        <w:tc>
          <w:tcPr>
            <w:tcW w:type="dxa" w:w="994"/>
          </w:tcPr>
          <w:p>
            <w:pPr>
              <w:spacing w:after="20" w:before="20"/>
              <w:jc w:val="left"/>
            </w:pPr>
            <w:r/>
            <w:r>
              <w:rPr>
                <w:rFonts w:ascii="맑은 고딕" w:hAnsi="맑은 고딕" w:eastAsia="맑은 고딕"/>
                <w:b w:val="0"/>
                <w:sz w:val="15"/>
              </w:rPr>
              <w:t>EBITDA</w:t>
            </w:r>
          </w:p>
        </w:tc>
        <w:tc>
          <w:tcPr>
            <w:tcW w:type="dxa" w:w="994"/>
          </w:tcPr>
          <w:p>
            <w:pPr>
              <w:spacing w:after="20" w:before="20"/>
              <w:jc w:val="right"/>
            </w:pPr>
            <w:r/>
            <w:r>
              <w:rPr>
                <w:rFonts w:ascii="맑은 고딕" w:hAnsi="맑은 고딕" w:eastAsia="맑은 고딕"/>
                <w:b w:val="0"/>
                <w:sz w:val="15"/>
              </w:rPr>
              <w:t>5.8</w:t>
            </w:r>
          </w:p>
        </w:tc>
        <w:tc>
          <w:tcPr>
            <w:tcW w:type="dxa" w:w="994"/>
          </w:tcPr>
          <w:p>
            <w:pPr>
              <w:spacing w:after="20" w:before="20"/>
              <w:jc w:val="right"/>
            </w:pPr>
            <w:r/>
            <w:r>
              <w:rPr>
                <w:rFonts w:ascii="맑은 고딕" w:hAnsi="맑은 고딕" w:eastAsia="맑은 고딕"/>
                <w:b w:val="0"/>
                <w:sz w:val="15"/>
              </w:rPr>
              <w:t>34.5</w:t>
            </w:r>
          </w:p>
        </w:tc>
        <w:tc>
          <w:tcPr>
            <w:tcW w:type="dxa" w:w="994"/>
          </w:tcPr>
          <w:p>
            <w:pPr>
              <w:spacing w:after="20" w:before="20"/>
              <w:jc w:val="right"/>
            </w:pPr>
            <w:r/>
            <w:r>
              <w:rPr>
                <w:rFonts w:ascii="맑은 고딕" w:hAnsi="맑은 고딕" w:eastAsia="맑은 고딕"/>
                <w:b w:val="0"/>
                <w:sz w:val="15"/>
              </w:rPr>
              <w:t>83.3</w:t>
            </w:r>
          </w:p>
        </w:tc>
        <w:tc>
          <w:tcPr>
            <w:tcW w:type="dxa" w:w="994"/>
          </w:tcPr>
          <w:p>
            <w:pPr>
              <w:spacing w:after="20" w:before="20"/>
              <w:jc w:val="right"/>
            </w:pPr>
            <w:r/>
            <w:r>
              <w:rPr>
                <w:rFonts w:ascii="맑은 고딕" w:hAnsi="맑은 고딕" w:eastAsia="맑은 고딕"/>
                <w:b w:val="0"/>
                <w:sz w:val="15"/>
              </w:rPr>
              <w:t>133.2</w:t>
            </w:r>
          </w:p>
        </w:tc>
        <w:tc>
          <w:tcPr>
            <w:tcW w:type="dxa" w:w="994"/>
          </w:tcPr>
          <w:p>
            <w:pPr>
              <w:spacing w:after="20" w:before="20"/>
              <w:jc w:val="right"/>
            </w:pPr>
            <w:r/>
            <w:r>
              <w:rPr>
                <w:rFonts w:ascii="맑은 고딕" w:hAnsi="맑은 고딕" w:eastAsia="맑은 고딕"/>
                <w:b w:val="0"/>
                <w:sz w:val="15"/>
              </w:rPr>
              <w:t>226.1</w:t>
            </w:r>
          </w:p>
        </w:tc>
        <w:tc>
          <w:tcPr>
            <w:tcW w:type="dxa" w:w="994"/>
          </w:tcPr>
          <w:p>
            <w:pPr>
              <w:spacing w:after="20" w:before="20"/>
              <w:jc w:val="right"/>
            </w:pPr>
            <w:r/>
            <w:r>
              <w:rPr>
                <w:rFonts w:ascii="맑은 고딕" w:hAnsi="맑은 고딕" w:eastAsia="맑은 고딕"/>
                <w:b w:val="0"/>
                <w:sz w:val="15"/>
              </w:rPr>
              <w:t>299.2</w:t>
            </w:r>
          </w:p>
        </w:tc>
        <w:tc>
          <w:tcPr>
            <w:tcW w:type="dxa" w:w="994"/>
          </w:tcPr>
          <w:p>
            <w:pPr>
              <w:spacing w:after="20" w:before="20"/>
              <w:jc w:val="right"/>
            </w:pPr>
            <w:r/>
            <w:r>
              <w:rPr>
                <w:rFonts w:ascii="맑은 고딕" w:hAnsi="맑은 고딕" w:eastAsia="맑은 고딕"/>
                <w:b w:val="0"/>
                <w:sz w:val="15"/>
              </w:rPr>
              <w:t>357.0</w:t>
            </w:r>
          </w:p>
        </w:tc>
        <w:tc>
          <w:tcPr>
            <w:tcW w:type="dxa" w:w="994"/>
          </w:tcPr>
          <w:p>
            <w:pPr>
              <w:spacing w:after="20" w:before="20"/>
              <w:jc w:val="right"/>
            </w:pPr>
            <w:r/>
            <w:r>
              <w:rPr>
                <w:rFonts w:ascii="맑은 고딕" w:hAnsi="맑은 고딕" w:eastAsia="맑은 고딕"/>
                <w:b w:val="0"/>
                <w:sz w:val="15"/>
              </w:rPr>
              <w:t>402.5</w:t>
            </w:r>
          </w:p>
        </w:tc>
        <w:tc>
          <w:tcPr>
            <w:tcW w:type="dxa" w:w="994"/>
          </w:tcPr>
          <w:p>
            <w:pPr>
              <w:spacing w:after="20" w:before="20"/>
              <w:jc w:val="right"/>
            </w:pPr>
            <w:r/>
            <w:r>
              <w:rPr>
                <w:rFonts w:ascii="맑은 고딕" w:hAnsi="맑은 고딕" w:eastAsia="맑은 고딕"/>
                <w:b w:val="0"/>
                <w:sz w:val="15"/>
              </w:rPr>
              <w:t>446.3</w:t>
            </w:r>
          </w:p>
        </w:tc>
      </w:tr>
      <w:tr>
        <w:tc>
          <w:tcPr>
            <w:tcW w:type="dxa" w:w="994"/>
          </w:tcPr>
          <w:p>
            <w:pPr>
              <w:spacing w:after="20" w:before="20"/>
              <w:jc w:val="left"/>
            </w:pPr>
            <w:r/>
            <w:r>
              <w:rPr>
                <w:rFonts w:ascii="맑은 고딕" w:hAnsi="맑은 고딕" w:eastAsia="맑은 고딕"/>
                <w:b w:val="0"/>
                <w:sz w:val="15"/>
              </w:rPr>
              <w:t>순이익</w:t>
            </w:r>
          </w:p>
        </w:tc>
        <w:tc>
          <w:tcPr>
            <w:tcW w:type="dxa" w:w="994"/>
          </w:tcPr>
          <w:p>
            <w:pPr>
              <w:spacing w:after="20" w:before="20"/>
              <w:jc w:val="right"/>
            </w:pPr>
            <w:r/>
            <w:r>
              <w:rPr>
                <w:rFonts w:ascii="맑은 고딕" w:hAnsi="맑은 고딕" w:eastAsia="맑은 고딕"/>
                <w:b w:val="0"/>
                <w:sz w:val="15"/>
              </w:rPr>
              <w:t>4.4</w:t>
            </w:r>
          </w:p>
        </w:tc>
        <w:tc>
          <w:tcPr>
            <w:tcW w:type="dxa" w:w="994"/>
          </w:tcPr>
          <w:p>
            <w:pPr>
              <w:spacing w:after="20" w:before="20"/>
              <w:jc w:val="right"/>
            </w:pPr>
            <w:r/>
            <w:r>
              <w:rPr>
                <w:rFonts w:ascii="맑은 고딕" w:hAnsi="맑은 고딕" w:eastAsia="맑은 고딕"/>
                <w:b w:val="0"/>
                <w:sz w:val="15"/>
              </w:rPr>
              <w:t>29.8</w:t>
            </w:r>
          </w:p>
        </w:tc>
        <w:tc>
          <w:tcPr>
            <w:tcW w:type="dxa" w:w="994"/>
          </w:tcPr>
          <w:p>
            <w:pPr>
              <w:spacing w:after="20" w:before="20"/>
              <w:jc w:val="right"/>
            </w:pPr>
            <w:r/>
            <w:r>
              <w:rPr>
                <w:rFonts w:ascii="맑은 고딕" w:hAnsi="맑은 고딕" w:eastAsia="맑은 고딕"/>
                <w:b w:val="0"/>
                <w:sz w:val="15"/>
              </w:rPr>
              <w:t>72.9</w:t>
            </w:r>
          </w:p>
        </w:tc>
        <w:tc>
          <w:tcPr>
            <w:tcW w:type="dxa" w:w="994"/>
          </w:tcPr>
          <w:p>
            <w:pPr>
              <w:spacing w:after="20" w:before="20"/>
              <w:jc w:val="right"/>
            </w:pPr>
            <w:r/>
            <w:r>
              <w:rPr>
                <w:rFonts w:ascii="맑은 고딕" w:hAnsi="맑은 고딕" w:eastAsia="맑은 고딕"/>
                <w:b w:val="0"/>
                <w:sz w:val="15"/>
              </w:rPr>
              <w:t>120.1</w:t>
            </w:r>
          </w:p>
        </w:tc>
        <w:tc>
          <w:tcPr>
            <w:tcW w:type="dxa" w:w="994"/>
          </w:tcPr>
          <w:p>
            <w:pPr>
              <w:spacing w:after="20" w:before="20"/>
              <w:jc w:val="right"/>
            </w:pPr>
            <w:r/>
            <w:r>
              <w:rPr>
                <w:rFonts w:ascii="맑은 고딕" w:hAnsi="맑은 고딕" w:eastAsia="맑은 고딕"/>
                <w:b w:val="0"/>
                <w:sz w:val="15"/>
              </w:rPr>
              <w:t>185.6</w:t>
            </w:r>
          </w:p>
        </w:tc>
        <w:tc>
          <w:tcPr>
            <w:tcW w:type="dxa" w:w="994"/>
          </w:tcPr>
          <w:p>
            <w:pPr>
              <w:spacing w:after="20" w:before="20"/>
              <w:jc w:val="right"/>
            </w:pPr>
            <w:r/>
            <w:r>
              <w:rPr>
                <w:rFonts w:ascii="맑은 고딕" w:hAnsi="맑은 고딕" w:eastAsia="맑은 고딕"/>
                <w:b w:val="0"/>
                <w:sz w:val="15"/>
              </w:rPr>
              <w:t>244.3</w:t>
            </w:r>
          </w:p>
        </w:tc>
        <w:tc>
          <w:tcPr>
            <w:tcW w:type="dxa" w:w="994"/>
          </w:tcPr>
          <w:p>
            <w:pPr>
              <w:spacing w:after="20" w:before="20"/>
              <w:jc w:val="right"/>
            </w:pPr>
            <w:r/>
            <w:r>
              <w:rPr>
                <w:rFonts w:ascii="맑은 고딕" w:hAnsi="맑은 고딕" w:eastAsia="맑은 고딕"/>
                <w:b w:val="0"/>
                <w:sz w:val="15"/>
              </w:rPr>
              <w:t>290.0</w:t>
            </w:r>
          </w:p>
        </w:tc>
        <w:tc>
          <w:tcPr>
            <w:tcW w:type="dxa" w:w="994"/>
          </w:tcPr>
          <w:p>
            <w:pPr>
              <w:spacing w:after="20" w:before="20"/>
              <w:jc w:val="right"/>
            </w:pPr>
            <w:r/>
            <w:r>
              <w:rPr>
                <w:rFonts w:ascii="맑은 고딕" w:hAnsi="맑은 고딕" w:eastAsia="맑은 고딕"/>
                <w:b w:val="0"/>
                <w:sz w:val="15"/>
              </w:rPr>
              <w:t>326.1</w:t>
            </w:r>
          </w:p>
        </w:tc>
        <w:tc>
          <w:tcPr>
            <w:tcW w:type="dxa" w:w="994"/>
          </w:tcPr>
          <w:p>
            <w:pPr>
              <w:spacing w:after="20" w:before="20"/>
              <w:jc w:val="right"/>
            </w:pPr>
            <w:r/>
            <w:r>
              <w:rPr>
                <w:rFonts w:ascii="맑은 고딕" w:hAnsi="맑은 고딕" w:eastAsia="맑은 고딕"/>
                <w:b w:val="0"/>
                <w:sz w:val="15"/>
              </w:rPr>
              <w:t>361.3</w:t>
            </w:r>
          </w:p>
        </w:tc>
      </w:tr>
      <w:tr>
        <w:tc>
          <w:tcPr>
            <w:tcW w:type="dxa" w:w="994"/>
          </w:tcPr>
          <w:p>
            <w:pPr>
              <w:spacing w:after="20" w:before="20"/>
              <w:jc w:val="left"/>
            </w:pPr>
            <w:r/>
            <w:r>
              <w:rPr>
                <w:rFonts w:ascii="맑은 고딕" w:hAnsi="맑은 고딕" w:eastAsia="맑은 고딕"/>
                <w:b w:val="0"/>
                <w:sz w:val="15"/>
              </w:rPr>
              <w:t>희석 EPS ($)</w:t>
            </w:r>
          </w:p>
        </w:tc>
        <w:tc>
          <w:tcPr>
            <w:tcW w:type="dxa" w:w="994"/>
          </w:tcPr>
          <w:p>
            <w:pPr>
              <w:spacing w:after="20" w:before="20"/>
              <w:jc w:val="right"/>
            </w:pPr>
            <w:r/>
            <w:r>
              <w:rPr>
                <w:rFonts w:ascii="맑은 고딕" w:hAnsi="맑은 고딕" w:eastAsia="맑은 고딕"/>
                <w:b w:val="0"/>
                <w:sz w:val="15"/>
              </w:rPr>
              <w:t>0.17</w:t>
            </w:r>
          </w:p>
        </w:tc>
        <w:tc>
          <w:tcPr>
            <w:tcW w:type="dxa" w:w="994"/>
          </w:tcPr>
          <w:p>
            <w:pPr>
              <w:spacing w:after="20" w:before="20"/>
              <w:jc w:val="right"/>
            </w:pPr>
            <w:r/>
            <w:r>
              <w:rPr>
                <w:rFonts w:ascii="맑은 고딕" w:hAnsi="맑은 고딕" w:eastAsia="맑은 고딕"/>
                <w:b w:val="0"/>
                <w:sz w:val="15"/>
              </w:rPr>
              <w:t>1.19</w:t>
            </w:r>
          </w:p>
        </w:tc>
        <w:tc>
          <w:tcPr>
            <w:tcW w:type="dxa" w:w="994"/>
          </w:tcPr>
          <w:p>
            <w:pPr>
              <w:spacing w:after="20" w:before="20"/>
              <w:jc w:val="right"/>
            </w:pPr>
            <w:r/>
            <w:r>
              <w:rPr>
                <w:rFonts w:ascii="맑은 고딕" w:hAnsi="맑은 고딕" w:eastAsia="맑은 고딕"/>
                <w:b w:val="0"/>
                <w:sz w:val="15"/>
              </w:rPr>
              <w:t>2.94</w:t>
            </w:r>
          </w:p>
        </w:tc>
        <w:tc>
          <w:tcPr>
            <w:tcW w:type="dxa" w:w="994"/>
          </w:tcPr>
          <w:p>
            <w:pPr>
              <w:spacing w:after="20" w:before="20"/>
              <w:jc w:val="right"/>
            </w:pPr>
            <w:r/>
            <w:r>
              <w:rPr>
                <w:rFonts w:ascii="맑은 고딕" w:hAnsi="맑은 고딕" w:eastAsia="맑은 고딕"/>
                <w:b w:val="0"/>
                <w:sz w:val="15"/>
              </w:rPr>
              <w:t>4.90</w:t>
            </w:r>
          </w:p>
        </w:tc>
        <w:tc>
          <w:tcPr>
            <w:tcW w:type="dxa" w:w="994"/>
          </w:tcPr>
          <w:p>
            <w:pPr>
              <w:spacing w:after="20" w:before="20"/>
              <w:jc w:val="right"/>
            </w:pPr>
            <w:r/>
            <w:r>
              <w:rPr>
                <w:rFonts w:ascii="맑은 고딕" w:hAnsi="맑은 고딕" w:eastAsia="맑은 고딕"/>
                <w:b w:val="0"/>
                <w:sz w:val="15"/>
              </w:rPr>
              <w:t>7.66</w:t>
            </w:r>
          </w:p>
        </w:tc>
        <w:tc>
          <w:tcPr>
            <w:tcW w:type="dxa" w:w="994"/>
          </w:tcPr>
          <w:p>
            <w:pPr>
              <w:spacing w:after="20" w:before="20"/>
              <w:jc w:val="right"/>
            </w:pPr>
            <w:r/>
            <w:r>
              <w:rPr>
                <w:rFonts w:ascii="맑은 고딕" w:hAnsi="맑은 고딕" w:eastAsia="맑은 고딕"/>
                <w:b w:val="0"/>
                <w:sz w:val="15"/>
              </w:rPr>
              <w:t>10.21</w:t>
            </w:r>
          </w:p>
        </w:tc>
        <w:tc>
          <w:tcPr>
            <w:tcW w:type="dxa" w:w="994"/>
          </w:tcPr>
          <w:p>
            <w:pPr>
              <w:spacing w:after="20" w:before="20"/>
              <w:jc w:val="right"/>
            </w:pPr>
            <w:r/>
            <w:r>
              <w:rPr>
                <w:rFonts w:ascii="맑은 고딕" w:hAnsi="맑은 고딕" w:eastAsia="맑은 고딕"/>
                <w:b w:val="0"/>
                <w:sz w:val="15"/>
              </w:rPr>
              <w:t>12.27</w:t>
            </w:r>
          </w:p>
        </w:tc>
        <w:tc>
          <w:tcPr>
            <w:tcW w:type="dxa" w:w="994"/>
          </w:tcPr>
          <w:p>
            <w:pPr>
              <w:spacing w:after="20" w:before="20"/>
              <w:jc w:val="right"/>
            </w:pPr>
            <w:r/>
            <w:r>
              <w:rPr>
                <w:rFonts w:ascii="맑은 고딕" w:hAnsi="맑은 고딕" w:eastAsia="맑은 고딕"/>
                <w:b w:val="0"/>
                <w:sz w:val="15"/>
              </w:rPr>
              <w:t>13.96</w:t>
            </w:r>
          </w:p>
        </w:tc>
        <w:tc>
          <w:tcPr>
            <w:tcW w:type="dxa" w:w="994"/>
          </w:tcPr>
          <w:p>
            <w:pPr>
              <w:spacing w:after="20" w:before="20"/>
              <w:jc w:val="right"/>
            </w:pPr>
            <w:r/>
            <w:r>
              <w:rPr>
                <w:rFonts w:ascii="맑은 고딕" w:hAnsi="맑은 고딕" w:eastAsia="맑은 고딕"/>
                <w:b w:val="0"/>
                <w:sz w:val="15"/>
              </w:rPr>
              <w:t>15.66</w:t>
            </w:r>
          </w:p>
        </w:tc>
      </w:tr>
    </w:tbl>
    <w:p>
      <w:pPr>
        <w:spacing w:after="40"/>
      </w:pPr>
    </w:p>
    <w:p>
      <w:pPr>
        <w:spacing w:after="200"/>
      </w:pPr>
      <w:r>
        <w:rPr>
          <w:rFonts w:ascii="맑은 고딕" w:hAnsi="맑은 고딕" w:eastAsia="맑은 고딕"/>
          <w:i/>
          <w:color w:val="595959"/>
          <w:sz w:val="16"/>
        </w:rPr>
        <w:t>표 2 — 손익계산서 요약. 자료: 모델(Task 2).</w:t>
      </w:r>
    </w:p>
    <w:p>
      <w:pPr>
        <w:jc w:val="center"/>
      </w:pPr>
      <w:r>
        <w:drawing>
          <wp:inline xmlns:a="http://schemas.openxmlformats.org/drawingml/2006/main" xmlns:pic="http://schemas.openxmlformats.org/drawingml/2006/picture">
            <wp:extent cx="5852160" cy="3320806"/>
            <wp:docPr id="12" name="Picture 12"/>
            <wp:cNvGraphicFramePr>
              <a:graphicFrameLocks noChangeAspect="1"/>
            </wp:cNvGraphicFramePr>
            <a:graphic>
              <a:graphicData uri="http://schemas.openxmlformats.org/drawingml/2006/picture">
                <pic:pic>
                  <pic:nvPicPr>
                    <pic:cNvPr id="0" name="chart_03_revenue_by_product_stacked_area.png"/>
                    <pic:cNvPicPr/>
                  </pic:nvPicPr>
                  <pic:blipFill>
                    <a:blip r:embed="rId20"/>
                    <a:stretch>
                      <a:fillRect/>
                    </a:stretch>
                  </pic:blipFill>
                  <pic:spPr>
                    <a:xfrm>
                      <a:off x="0" y="0"/>
                      <a:ext cx="5852160" cy="3320806"/>
                    </a:xfrm>
                    <a:prstGeom prst="rect"/>
                  </pic:spPr>
                </pic:pic>
              </a:graphicData>
            </a:graphic>
          </wp:inline>
        </w:drawing>
      </w:r>
    </w:p>
    <w:p>
      <w:pPr>
        <w:spacing w:after="200"/>
      </w:pPr>
      <w:r>
        <w:rPr>
          <w:rFonts w:ascii="맑은 고딕" w:hAnsi="맑은 고딕" w:eastAsia="맑은 고딕"/>
          <w:i/>
          <w:color w:val="595959"/>
          <w:sz w:val="16"/>
        </w:rPr>
        <w:t>그림 3 — 세그먼트별 매출. 자료: 모델. ⭐</w:t>
      </w:r>
    </w:p>
    <w:tbl>
      <w:tblPr>
        <w:tblStyle w:val="LightGrid-Accent1"/>
        <w:tblW w:type="auto" w:w="0"/>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3864"/>
          </w:tcPr>
          <w:p>
            <w:pPr>
              <w:spacing w:after="20" w:before="20"/>
              <w:jc w:val="left"/>
            </w:pPr>
            <w:r/>
            <w:r>
              <w:rPr>
                <w:rFonts w:ascii="맑은 고딕" w:hAnsi="맑은 고딕" w:eastAsia="맑은 고딕"/>
                <w:b/>
                <w:color w:val="FFFFFF"/>
                <w:sz w:val="15"/>
              </w:rPr>
              <w:t>세그먼트 ($B)</w:t>
            </w:r>
          </w:p>
        </w:tc>
        <w:tc>
          <w:tcPr>
            <w:tcW w:type="dxa" w:w="994"/>
            <w:shd w:fill="1F3864"/>
          </w:tcPr>
          <w:p>
            <w:pPr>
              <w:spacing w:after="20" w:before="20"/>
              <w:jc w:val="right"/>
            </w:pPr>
            <w:r/>
            <w:r>
              <w:rPr>
                <w:rFonts w:ascii="맑은 고딕" w:hAnsi="맑은 고딕" w:eastAsia="맑은 고딕"/>
                <w:b/>
                <w:color w:val="FFFFFF"/>
                <w:sz w:val="15"/>
              </w:rPr>
              <w:t>FY23</w:t>
            </w:r>
          </w:p>
        </w:tc>
        <w:tc>
          <w:tcPr>
            <w:tcW w:type="dxa" w:w="994"/>
            <w:shd w:fill="1F3864"/>
          </w:tcPr>
          <w:p>
            <w:pPr>
              <w:spacing w:after="20" w:before="20"/>
              <w:jc w:val="right"/>
            </w:pPr>
            <w:r/>
            <w:r>
              <w:rPr>
                <w:rFonts w:ascii="맑은 고딕" w:hAnsi="맑은 고딕" w:eastAsia="맑은 고딕"/>
                <w:b/>
                <w:color w:val="FFFFFF"/>
                <w:sz w:val="15"/>
              </w:rPr>
              <w:t>FY24</w:t>
            </w:r>
          </w:p>
        </w:tc>
        <w:tc>
          <w:tcPr>
            <w:tcW w:type="dxa" w:w="994"/>
            <w:shd w:fill="1F3864"/>
          </w:tcPr>
          <w:p>
            <w:pPr>
              <w:spacing w:after="20" w:before="20"/>
              <w:jc w:val="right"/>
            </w:pPr>
            <w:r/>
            <w:r>
              <w:rPr>
                <w:rFonts w:ascii="맑은 고딕" w:hAnsi="맑은 고딕" w:eastAsia="맑은 고딕"/>
                <w:b/>
                <w:color w:val="FFFFFF"/>
                <w:sz w:val="15"/>
              </w:rPr>
              <w:t>FY25</w:t>
            </w:r>
          </w:p>
        </w:tc>
        <w:tc>
          <w:tcPr>
            <w:tcW w:type="dxa" w:w="994"/>
            <w:shd w:fill="1F3864"/>
          </w:tcPr>
          <w:p>
            <w:pPr>
              <w:spacing w:after="20" w:before="20"/>
              <w:jc w:val="right"/>
            </w:pPr>
            <w:r/>
            <w:r>
              <w:rPr>
                <w:rFonts w:ascii="맑은 고딕" w:hAnsi="맑은 고딕" w:eastAsia="맑은 고딕"/>
                <w:b/>
                <w:color w:val="FFFFFF"/>
                <w:sz w:val="15"/>
              </w:rPr>
              <w:t>FY26</w:t>
            </w:r>
          </w:p>
        </w:tc>
        <w:tc>
          <w:tcPr>
            <w:tcW w:type="dxa" w:w="994"/>
            <w:shd w:fill="1F3864"/>
          </w:tcPr>
          <w:p>
            <w:pPr>
              <w:spacing w:after="20" w:before="20"/>
              <w:jc w:val="right"/>
            </w:pPr>
            <w:r/>
            <w:r>
              <w:rPr>
                <w:rFonts w:ascii="맑은 고딕" w:hAnsi="맑은 고딕" w:eastAsia="맑은 고딕"/>
                <w:b/>
                <w:color w:val="FFFFFF"/>
                <w:sz w:val="15"/>
              </w:rPr>
              <w:t>FY27E</w:t>
            </w:r>
          </w:p>
        </w:tc>
        <w:tc>
          <w:tcPr>
            <w:tcW w:type="dxa" w:w="994"/>
            <w:shd w:fill="1F3864"/>
          </w:tcPr>
          <w:p>
            <w:pPr>
              <w:spacing w:after="20" w:before="20"/>
              <w:jc w:val="right"/>
            </w:pPr>
            <w:r/>
            <w:r>
              <w:rPr>
                <w:rFonts w:ascii="맑은 고딕" w:hAnsi="맑은 고딕" w:eastAsia="맑은 고딕"/>
                <w:b/>
                <w:color w:val="FFFFFF"/>
                <w:sz w:val="15"/>
              </w:rPr>
              <w:t>FY28E</w:t>
            </w:r>
          </w:p>
        </w:tc>
        <w:tc>
          <w:tcPr>
            <w:tcW w:type="dxa" w:w="994"/>
            <w:shd w:fill="1F3864"/>
          </w:tcPr>
          <w:p>
            <w:pPr>
              <w:spacing w:after="20" w:before="20"/>
              <w:jc w:val="right"/>
            </w:pPr>
            <w:r/>
            <w:r>
              <w:rPr>
                <w:rFonts w:ascii="맑은 고딕" w:hAnsi="맑은 고딕" w:eastAsia="맑은 고딕"/>
                <w:b/>
                <w:color w:val="FFFFFF"/>
                <w:sz w:val="15"/>
              </w:rPr>
              <w:t>FY29E</w:t>
            </w:r>
          </w:p>
        </w:tc>
        <w:tc>
          <w:tcPr>
            <w:tcW w:type="dxa" w:w="994"/>
            <w:shd w:fill="1F3864"/>
          </w:tcPr>
          <w:p>
            <w:pPr>
              <w:spacing w:after="20" w:before="20"/>
              <w:jc w:val="right"/>
            </w:pPr>
            <w:r/>
            <w:r>
              <w:rPr>
                <w:rFonts w:ascii="맑은 고딕" w:hAnsi="맑은 고딕" w:eastAsia="맑은 고딕"/>
                <w:b/>
                <w:color w:val="FFFFFF"/>
                <w:sz w:val="15"/>
              </w:rPr>
              <w:t>FY30E</w:t>
            </w:r>
          </w:p>
        </w:tc>
        <w:tc>
          <w:tcPr>
            <w:tcW w:type="dxa" w:w="994"/>
            <w:shd w:fill="1F3864"/>
          </w:tcPr>
          <w:p>
            <w:pPr>
              <w:spacing w:after="20" w:before="20"/>
              <w:jc w:val="right"/>
            </w:pPr>
            <w:r/>
            <w:r>
              <w:rPr>
                <w:rFonts w:ascii="맑은 고딕" w:hAnsi="맑은 고딕" w:eastAsia="맑은 고딕"/>
                <w:b/>
                <w:color w:val="FFFFFF"/>
                <w:sz w:val="15"/>
              </w:rPr>
              <w:t>FY31E</w:t>
            </w:r>
          </w:p>
        </w:tc>
      </w:tr>
      <w:tr>
        <w:tc>
          <w:tcPr>
            <w:tcW w:type="dxa" w:w="994"/>
          </w:tcPr>
          <w:p>
            <w:pPr>
              <w:spacing w:after="20" w:before="20"/>
              <w:jc w:val="left"/>
            </w:pPr>
            <w:r/>
            <w:r>
              <w:rPr>
                <w:rFonts w:ascii="맑은 고딕" w:hAnsi="맑은 고딕" w:eastAsia="맑은 고딕"/>
                <w:b w:val="0"/>
                <w:sz w:val="15"/>
              </w:rPr>
              <w:t>데이터센터</w:t>
            </w:r>
          </w:p>
        </w:tc>
        <w:tc>
          <w:tcPr>
            <w:tcW w:type="dxa" w:w="994"/>
          </w:tcPr>
          <w:p>
            <w:pPr>
              <w:spacing w:after="20" w:before="20"/>
              <w:jc w:val="right"/>
            </w:pPr>
            <w:r/>
            <w:r>
              <w:rPr>
                <w:rFonts w:ascii="맑은 고딕" w:hAnsi="맑은 고딕" w:eastAsia="맑은 고딕"/>
                <w:b w:val="0"/>
                <w:sz w:val="15"/>
              </w:rPr>
              <w:t>15.0</w:t>
            </w:r>
          </w:p>
        </w:tc>
        <w:tc>
          <w:tcPr>
            <w:tcW w:type="dxa" w:w="994"/>
          </w:tcPr>
          <w:p>
            <w:pPr>
              <w:spacing w:after="20" w:before="20"/>
              <w:jc w:val="right"/>
            </w:pPr>
            <w:r/>
            <w:r>
              <w:rPr>
                <w:rFonts w:ascii="맑은 고딕" w:hAnsi="맑은 고딕" w:eastAsia="맑은 고딕"/>
                <w:b w:val="0"/>
                <w:sz w:val="15"/>
              </w:rPr>
              <w:t>47.5</w:t>
            </w:r>
          </w:p>
        </w:tc>
        <w:tc>
          <w:tcPr>
            <w:tcW w:type="dxa" w:w="994"/>
          </w:tcPr>
          <w:p>
            <w:pPr>
              <w:spacing w:after="20" w:before="20"/>
              <w:jc w:val="right"/>
            </w:pPr>
            <w:r/>
            <w:r>
              <w:rPr>
                <w:rFonts w:ascii="맑은 고딕" w:hAnsi="맑은 고딕" w:eastAsia="맑은 고딕"/>
                <w:b w:val="0"/>
                <w:sz w:val="15"/>
              </w:rPr>
              <w:t>115.2</w:t>
            </w:r>
          </w:p>
        </w:tc>
        <w:tc>
          <w:tcPr>
            <w:tcW w:type="dxa" w:w="994"/>
          </w:tcPr>
          <w:p>
            <w:pPr>
              <w:spacing w:after="20" w:before="20"/>
              <w:jc w:val="right"/>
            </w:pPr>
            <w:r/>
            <w:r>
              <w:rPr>
                <w:rFonts w:ascii="맑은 고딕" w:hAnsi="맑은 고딕" w:eastAsia="맑은 고딕"/>
                <w:b w:val="0"/>
                <w:sz w:val="15"/>
              </w:rPr>
              <w:t>193.7</w:t>
            </w:r>
          </w:p>
        </w:tc>
        <w:tc>
          <w:tcPr>
            <w:tcW w:type="dxa" w:w="994"/>
          </w:tcPr>
          <w:p>
            <w:pPr>
              <w:spacing w:after="20" w:before="20"/>
              <w:jc w:val="right"/>
            </w:pPr>
            <w:r/>
            <w:r>
              <w:rPr>
                <w:rFonts w:ascii="맑은 고딕" w:hAnsi="맑은 고딕" w:eastAsia="맑은 고딕"/>
                <w:b w:val="0"/>
                <w:sz w:val="15"/>
              </w:rPr>
              <w:t>344.9</w:t>
            </w:r>
          </w:p>
        </w:tc>
        <w:tc>
          <w:tcPr>
            <w:tcW w:type="dxa" w:w="994"/>
          </w:tcPr>
          <w:p>
            <w:pPr>
              <w:spacing w:after="20" w:before="20"/>
              <w:jc w:val="right"/>
            </w:pPr>
            <w:r/>
            <w:r>
              <w:rPr>
                <w:rFonts w:ascii="맑은 고딕" w:hAnsi="맑은 고딕" w:eastAsia="맑은 고딕"/>
                <w:b w:val="0"/>
                <w:sz w:val="15"/>
              </w:rPr>
              <w:t>465.6</w:t>
            </w:r>
          </w:p>
        </w:tc>
        <w:tc>
          <w:tcPr>
            <w:tcW w:type="dxa" w:w="994"/>
          </w:tcPr>
          <w:p>
            <w:pPr>
              <w:spacing w:after="20" w:before="20"/>
              <w:jc w:val="right"/>
            </w:pPr>
            <w:r/>
            <w:r>
              <w:rPr>
                <w:rFonts w:ascii="맑은 고딕" w:hAnsi="맑은 고딕" w:eastAsia="맑은 고딕"/>
                <w:b w:val="0"/>
                <w:sz w:val="15"/>
              </w:rPr>
              <w:t>568.0</w:t>
            </w:r>
          </w:p>
        </w:tc>
        <w:tc>
          <w:tcPr>
            <w:tcW w:type="dxa" w:w="994"/>
          </w:tcPr>
          <w:p>
            <w:pPr>
              <w:spacing w:after="20" w:before="20"/>
              <w:jc w:val="right"/>
            </w:pPr>
            <w:r/>
            <w:r>
              <w:rPr>
                <w:rFonts w:ascii="맑은 고딕" w:hAnsi="맑은 고딕" w:eastAsia="맑은 고딕"/>
                <w:b w:val="0"/>
                <w:sz w:val="15"/>
              </w:rPr>
              <w:t>653.2</w:t>
            </w:r>
          </w:p>
        </w:tc>
        <w:tc>
          <w:tcPr>
            <w:tcW w:type="dxa" w:w="994"/>
          </w:tcPr>
          <w:p>
            <w:pPr>
              <w:spacing w:after="20" w:before="20"/>
              <w:jc w:val="right"/>
            </w:pPr>
            <w:r/>
            <w:r>
              <w:rPr>
                <w:rFonts w:ascii="맑은 고딕" w:hAnsi="맑은 고딕" w:eastAsia="맑은 고딕"/>
                <w:b w:val="0"/>
                <w:sz w:val="15"/>
              </w:rPr>
              <w:t>731.5</w:t>
            </w:r>
          </w:p>
        </w:tc>
      </w:tr>
      <w:tr>
        <w:tc>
          <w:tcPr>
            <w:tcW w:type="dxa" w:w="994"/>
          </w:tcPr>
          <w:p>
            <w:pPr>
              <w:spacing w:after="20" w:before="20"/>
              <w:jc w:val="left"/>
            </w:pPr>
            <w:r/>
            <w:r>
              <w:rPr>
                <w:rFonts w:ascii="맑은 고딕" w:hAnsi="맑은 고딕" w:eastAsia="맑은 고딕"/>
                <w:b w:val="0"/>
                <w:sz w:val="15"/>
              </w:rPr>
              <w:t>게이밍</w:t>
            </w:r>
          </w:p>
        </w:tc>
        <w:tc>
          <w:tcPr>
            <w:tcW w:type="dxa" w:w="994"/>
          </w:tcPr>
          <w:p>
            <w:pPr>
              <w:spacing w:after="20" w:before="20"/>
              <w:jc w:val="right"/>
            </w:pPr>
            <w:r/>
            <w:r>
              <w:rPr>
                <w:rFonts w:ascii="맑은 고딕" w:hAnsi="맑은 고딕" w:eastAsia="맑은 고딕"/>
                <w:b w:val="0"/>
                <w:sz w:val="15"/>
              </w:rPr>
              <w:t>9.1</w:t>
            </w:r>
          </w:p>
        </w:tc>
        <w:tc>
          <w:tcPr>
            <w:tcW w:type="dxa" w:w="994"/>
          </w:tcPr>
          <w:p>
            <w:pPr>
              <w:spacing w:after="20" w:before="20"/>
              <w:jc w:val="right"/>
            </w:pPr>
            <w:r/>
            <w:r>
              <w:rPr>
                <w:rFonts w:ascii="맑은 고딕" w:hAnsi="맑은 고딕" w:eastAsia="맑은 고딕"/>
                <w:b w:val="0"/>
                <w:sz w:val="15"/>
              </w:rPr>
              <w:t>10.4</w:t>
            </w:r>
          </w:p>
        </w:tc>
        <w:tc>
          <w:tcPr>
            <w:tcW w:type="dxa" w:w="994"/>
          </w:tcPr>
          <w:p>
            <w:pPr>
              <w:spacing w:after="20" w:before="20"/>
              <w:jc w:val="right"/>
            </w:pPr>
            <w:r/>
            <w:r>
              <w:rPr>
                <w:rFonts w:ascii="맑은 고딕" w:hAnsi="맑은 고딕" w:eastAsia="맑은 고딕"/>
                <w:b w:val="0"/>
                <w:sz w:val="15"/>
              </w:rPr>
              <w:t>11.3</w:t>
            </w:r>
          </w:p>
        </w:tc>
        <w:tc>
          <w:tcPr>
            <w:tcW w:type="dxa" w:w="994"/>
          </w:tcPr>
          <w:p>
            <w:pPr>
              <w:spacing w:after="20" w:before="20"/>
              <w:jc w:val="right"/>
            </w:pPr>
            <w:r/>
            <w:r>
              <w:rPr>
                <w:rFonts w:ascii="맑은 고딕" w:hAnsi="맑은 고딕" w:eastAsia="맑은 고딕"/>
                <w:b w:val="0"/>
                <w:sz w:val="15"/>
              </w:rPr>
              <w:t>16.0</w:t>
            </w:r>
          </w:p>
        </w:tc>
        <w:tc>
          <w:tcPr>
            <w:tcW w:type="dxa" w:w="994"/>
          </w:tcPr>
          <w:p>
            <w:pPr>
              <w:spacing w:after="20" w:before="20"/>
              <w:jc w:val="right"/>
            </w:pPr>
            <w:r/>
            <w:r>
              <w:rPr>
                <w:rFonts w:ascii="맑은 고딕" w:hAnsi="맑은 고딕" w:eastAsia="맑은 고딕"/>
                <w:b w:val="0"/>
                <w:sz w:val="15"/>
              </w:rPr>
              <w:t>18.0</w:t>
            </w:r>
          </w:p>
        </w:tc>
        <w:tc>
          <w:tcPr>
            <w:tcW w:type="dxa" w:w="994"/>
          </w:tcPr>
          <w:p>
            <w:pPr>
              <w:spacing w:after="20" w:before="20"/>
              <w:jc w:val="right"/>
            </w:pPr>
            <w:r/>
            <w:r>
              <w:rPr>
                <w:rFonts w:ascii="맑은 고딕" w:hAnsi="맑은 고딕" w:eastAsia="맑은 고딕"/>
                <w:b w:val="0"/>
                <w:sz w:val="15"/>
              </w:rPr>
              <w:t>19.4</w:t>
            </w:r>
          </w:p>
        </w:tc>
        <w:tc>
          <w:tcPr>
            <w:tcW w:type="dxa" w:w="994"/>
          </w:tcPr>
          <w:p>
            <w:pPr>
              <w:spacing w:after="20" w:before="20"/>
              <w:jc w:val="right"/>
            </w:pPr>
            <w:r/>
            <w:r>
              <w:rPr>
                <w:rFonts w:ascii="맑은 고딕" w:hAnsi="맑은 고딕" w:eastAsia="맑은 고딕"/>
                <w:b w:val="0"/>
                <w:sz w:val="15"/>
              </w:rPr>
              <w:t>20.6</w:t>
            </w:r>
          </w:p>
        </w:tc>
        <w:tc>
          <w:tcPr>
            <w:tcW w:type="dxa" w:w="994"/>
          </w:tcPr>
          <w:p>
            <w:pPr>
              <w:spacing w:after="20" w:before="20"/>
              <w:jc w:val="right"/>
            </w:pPr>
            <w:r/>
            <w:r>
              <w:rPr>
                <w:rFonts w:ascii="맑은 고딕" w:hAnsi="맑은 고딕" w:eastAsia="맑은 고딕"/>
                <w:b w:val="0"/>
                <w:sz w:val="15"/>
              </w:rPr>
              <w:t>21.6</w:t>
            </w:r>
          </w:p>
        </w:tc>
        <w:tc>
          <w:tcPr>
            <w:tcW w:type="dxa" w:w="994"/>
          </w:tcPr>
          <w:p>
            <w:pPr>
              <w:spacing w:after="20" w:before="20"/>
              <w:jc w:val="right"/>
            </w:pPr>
            <w:r/>
            <w:r>
              <w:rPr>
                <w:rFonts w:ascii="맑은 고딕" w:hAnsi="맑은 고딕" w:eastAsia="맑은 고딕"/>
                <w:b w:val="0"/>
                <w:sz w:val="15"/>
              </w:rPr>
              <w:t>22.7</w:t>
            </w:r>
          </w:p>
        </w:tc>
      </w:tr>
      <w:tr>
        <w:tc>
          <w:tcPr>
            <w:tcW w:type="dxa" w:w="994"/>
          </w:tcPr>
          <w:p>
            <w:pPr>
              <w:spacing w:after="20" w:before="20"/>
              <w:jc w:val="left"/>
            </w:pPr>
            <w:r/>
            <w:r>
              <w:rPr>
                <w:rFonts w:ascii="맑은 고딕" w:hAnsi="맑은 고딕" w:eastAsia="맑은 고딕"/>
                <w:b w:val="0"/>
                <w:sz w:val="15"/>
              </w:rPr>
              <w:t>프로 비주얼라이제이션</w:t>
            </w:r>
          </w:p>
        </w:tc>
        <w:tc>
          <w:tcPr>
            <w:tcW w:type="dxa" w:w="994"/>
          </w:tcPr>
          <w:p>
            <w:pPr>
              <w:spacing w:after="20" w:before="20"/>
              <w:jc w:val="right"/>
            </w:pPr>
            <w:r/>
            <w:r>
              <w:rPr>
                <w:rFonts w:ascii="맑은 고딕" w:hAnsi="맑은 고딕" w:eastAsia="맑은 고딕"/>
                <w:b w:val="0"/>
                <w:sz w:val="15"/>
              </w:rPr>
              <w:t>1.5</w:t>
            </w:r>
          </w:p>
        </w:tc>
        <w:tc>
          <w:tcPr>
            <w:tcW w:type="dxa" w:w="994"/>
          </w:tcPr>
          <w:p>
            <w:pPr>
              <w:spacing w:after="20" w:before="20"/>
              <w:jc w:val="right"/>
            </w:pPr>
            <w:r/>
            <w:r>
              <w:rPr>
                <w:rFonts w:ascii="맑은 고딕" w:hAnsi="맑은 고딕" w:eastAsia="맑은 고딕"/>
                <w:b w:val="0"/>
                <w:sz w:val="15"/>
              </w:rPr>
              <w:t>1.6</w:t>
            </w:r>
          </w:p>
        </w:tc>
        <w:tc>
          <w:tcPr>
            <w:tcW w:type="dxa" w:w="994"/>
          </w:tcPr>
          <w:p>
            <w:pPr>
              <w:spacing w:after="20" w:before="20"/>
              <w:jc w:val="right"/>
            </w:pPr>
            <w:r/>
            <w:r>
              <w:rPr>
                <w:rFonts w:ascii="맑은 고딕" w:hAnsi="맑은 고딕" w:eastAsia="맑은 고딕"/>
                <w:b w:val="0"/>
                <w:sz w:val="15"/>
              </w:rPr>
              <w:t>1.9</w:t>
            </w:r>
          </w:p>
        </w:tc>
        <w:tc>
          <w:tcPr>
            <w:tcW w:type="dxa" w:w="994"/>
          </w:tcPr>
          <w:p>
            <w:pPr>
              <w:spacing w:after="20" w:before="20"/>
              <w:jc w:val="right"/>
            </w:pPr>
            <w:r/>
            <w:r>
              <w:rPr>
                <w:rFonts w:ascii="맑은 고딕" w:hAnsi="맑은 고딕" w:eastAsia="맑은 고딕"/>
                <w:b w:val="0"/>
                <w:sz w:val="15"/>
              </w:rPr>
              <w:t>3.2</w:t>
            </w:r>
          </w:p>
        </w:tc>
        <w:tc>
          <w:tcPr>
            <w:tcW w:type="dxa" w:w="994"/>
          </w:tcPr>
          <w:p>
            <w:pPr>
              <w:spacing w:after="20" w:before="20"/>
              <w:jc w:val="right"/>
            </w:pPr>
            <w:r/>
            <w:r>
              <w:rPr>
                <w:rFonts w:ascii="맑은 고딕" w:hAnsi="맑은 고딕" w:eastAsia="맑은 고딕"/>
                <w:b w:val="0"/>
                <w:sz w:val="15"/>
              </w:rPr>
              <w:t>3.7</w:t>
            </w:r>
          </w:p>
        </w:tc>
        <w:tc>
          <w:tcPr>
            <w:tcW w:type="dxa" w:w="994"/>
          </w:tcPr>
          <w:p>
            <w:pPr>
              <w:spacing w:after="20" w:before="20"/>
              <w:jc w:val="right"/>
            </w:pPr>
            <w:r/>
            <w:r>
              <w:rPr>
                <w:rFonts w:ascii="맑은 고딕" w:hAnsi="맑은 고딕" w:eastAsia="맑은 고딕"/>
                <w:b w:val="0"/>
                <w:sz w:val="15"/>
              </w:rPr>
              <w:t>4.1</w:t>
            </w:r>
          </w:p>
        </w:tc>
        <w:tc>
          <w:tcPr>
            <w:tcW w:type="dxa" w:w="994"/>
          </w:tcPr>
          <w:p>
            <w:pPr>
              <w:spacing w:after="20" w:before="20"/>
              <w:jc w:val="right"/>
            </w:pPr>
            <w:r/>
            <w:r>
              <w:rPr>
                <w:rFonts w:ascii="맑은 고딕" w:hAnsi="맑은 고딕" w:eastAsia="맑은 고딕"/>
                <w:b w:val="0"/>
                <w:sz w:val="15"/>
              </w:rPr>
              <w:t>4.5</w:t>
            </w:r>
          </w:p>
        </w:tc>
        <w:tc>
          <w:tcPr>
            <w:tcW w:type="dxa" w:w="994"/>
          </w:tcPr>
          <w:p>
            <w:pPr>
              <w:spacing w:after="20" w:before="20"/>
              <w:jc w:val="right"/>
            </w:pPr>
            <w:r/>
            <w:r>
              <w:rPr>
                <w:rFonts w:ascii="맑은 고딕" w:hAnsi="맑은 고딕" w:eastAsia="맑은 고딕"/>
                <w:b w:val="0"/>
                <w:sz w:val="15"/>
              </w:rPr>
              <w:t>4.9</w:t>
            </w:r>
          </w:p>
        </w:tc>
        <w:tc>
          <w:tcPr>
            <w:tcW w:type="dxa" w:w="994"/>
          </w:tcPr>
          <w:p>
            <w:pPr>
              <w:spacing w:after="20" w:before="20"/>
              <w:jc w:val="right"/>
            </w:pPr>
            <w:r/>
            <w:r>
              <w:rPr>
                <w:rFonts w:ascii="맑은 고딕" w:hAnsi="맑은 고딕" w:eastAsia="맑은 고딕"/>
                <w:b w:val="0"/>
                <w:sz w:val="15"/>
              </w:rPr>
              <w:t>5.2</w:t>
            </w:r>
          </w:p>
        </w:tc>
      </w:tr>
      <w:tr>
        <w:tc>
          <w:tcPr>
            <w:tcW w:type="dxa" w:w="994"/>
          </w:tcPr>
          <w:p>
            <w:pPr>
              <w:spacing w:after="20" w:before="20"/>
              <w:jc w:val="left"/>
            </w:pPr>
            <w:r/>
            <w:r>
              <w:rPr>
                <w:rFonts w:ascii="맑은 고딕" w:hAnsi="맑은 고딕" w:eastAsia="맑은 고딕"/>
                <w:b w:val="0"/>
                <w:sz w:val="15"/>
              </w:rPr>
              <w:t>오토모티브</w:t>
            </w:r>
          </w:p>
        </w:tc>
        <w:tc>
          <w:tcPr>
            <w:tcW w:type="dxa" w:w="994"/>
          </w:tcPr>
          <w:p>
            <w:pPr>
              <w:spacing w:after="20" w:before="20"/>
              <w:jc w:val="right"/>
            </w:pPr>
            <w:r/>
            <w:r>
              <w:rPr>
                <w:rFonts w:ascii="맑은 고딕" w:hAnsi="맑은 고딕" w:eastAsia="맑은 고딕"/>
                <w:b w:val="0"/>
                <w:sz w:val="15"/>
              </w:rPr>
              <w:t>0.9</w:t>
            </w:r>
          </w:p>
        </w:tc>
        <w:tc>
          <w:tcPr>
            <w:tcW w:type="dxa" w:w="994"/>
          </w:tcPr>
          <w:p>
            <w:pPr>
              <w:spacing w:after="20" w:before="20"/>
              <w:jc w:val="right"/>
            </w:pPr>
            <w:r/>
            <w:r>
              <w:rPr>
                <w:rFonts w:ascii="맑은 고딕" w:hAnsi="맑은 고딕" w:eastAsia="맑은 고딕"/>
                <w:b w:val="0"/>
                <w:sz w:val="15"/>
              </w:rPr>
              <w:t>1.1</w:t>
            </w:r>
          </w:p>
        </w:tc>
        <w:tc>
          <w:tcPr>
            <w:tcW w:type="dxa" w:w="994"/>
          </w:tcPr>
          <w:p>
            <w:pPr>
              <w:spacing w:after="20" w:before="20"/>
              <w:jc w:val="right"/>
            </w:pPr>
            <w:r/>
            <w:r>
              <w:rPr>
                <w:rFonts w:ascii="맑은 고딕" w:hAnsi="맑은 고딕" w:eastAsia="맑은 고딕"/>
                <w:b w:val="0"/>
                <w:sz w:val="15"/>
              </w:rPr>
              <w:t>1.7</w:t>
            </w:r>
          </w:p>
        </w:tc>
        <w:tc>
          <w:tcPr>
            <w:tcW w:type="dxa" w:w="994"/>
          </w:tcPr>
          <w:p>
            <w:pPr>
              <w:spacing w:after="20" w:before="20"/>
              <w:jc w:val="right"/>
            </w:pPr>
            <w:r/>
            <w:r>
              <w:rPr>
                <w:rFonts w:ascii="맑은 고딕" w:hAnsi="맑은 고딕" w:eastAsia="맑은 고딕"/>
                <w:b w:val="0"/>
                <w:sz w:val="15"/>
              </w:rPr>
              <w:t>2.3</w:t>
            </w:r>
          </w:p>
        </w:tc>
        <w:tc>
          <w:tcPr>
            <w:tcW w:type="dxa" w:w="994"/>
          </w:tcPr>
          <w:p>
            <w:pPr>
              <w:spacing w:after="20" w:before="20"/>
              <w:jc w:val="right"/>
            </w:pPr>
            <w:r/>
            <w:r>
              <w:rPr>
                <w:rFonts w:ascii="맑은 고딕" w:hAnsi="맑은 고딕" w:eastAsia="맑은 고딕"/>
                <w:b w:val="0"/>
                <w:sz w:val="15"/>
              </w:rPr>
              <w:t>3.4</w:t>
            </w:r>
          </w:p>
        </w:tc>
        <w:tc>
          <w:tcPr>
            <w:tcW w:type="dxa" w:w="994"/>
          </w:tcPr>
          <w:p>
            <w:pPr>
              <w:spacing w:after="20" w:before="20"/>
              <w:jc w:val="right"/>
            </w:pPr>
            <w:r/>
            <w:r>
              <w:rPr>
                <w:rFonts w:ascii="맑은 고딕" w:hAnsi="맑은 고딕" w:eastAsia="맑은 고딕"/>
                <w:b w:val="0"/>
                <w:sz w:val="15"/>
              </w:rPr>
              <w:t>4.7</w:t>
            </w:r>
          </w:p>
        </w:tc>
        <w:tc>
          <w:tcPr>
            <w:tcW w:type="dxa" w:w="994"/>
          </w:tcPr>
          <w:p>
            <w:pPr>
              <w:spacing w:after="20" w:before="20"/>
              <w:jc w:val="right"/>
            </w:pPr>
            <w:r/>
            <w:r>
              <w:rPr>
                <w:rFonts w:ascii="맑은 고딕" w:hAnsi="맑은 고딕" w:eastAsia="맑은 고딕"/>
                <w:b w:val="0"/>
                <w:sz w:val="15"/>
              </w:rPr>
              <w:t>6.1</w:t>
            </w:r>
          </w:p>
        </w:tc>
        <w:tc>
          <w:tcPr>
            <w:tcW w:type="dxa" w:w="994"/>
          </w:tcPr>
          <w:p>
            <w:pPr>
              <w:spacing w:after="20" w:before="20"/>
              <w:jc w:val="right"/>
            </w:pPr>
            <w:r/>
            <w:r>
              <w:rPr>
                <w:rFonts w:ascii="맑은 고딕" w:hAnsi="맑은 고딕" w:eastAsia="맑은 고딕"/>
                <w:b w:val="0"/>
                <w:sz w:val="15"/>
              </w:rPr>
              <w:t>7.6</w:t>
            </w:r>
          </w:p>
        </w:tc>
        <w:tc>
          <w:tcPr>
            <w:tcW w:type="dxa" w:w="994"/>
          </w:tcPr>
          <w:p>
            <w:pPr>
              <w:spacing w:after="20" w:before="20"/>
              <w:jc w:val="right"/>
            </w:pPr>
            <w:r/>
            <w:r>
              <w:rPr>
                <w:rFonts w:ascii="맑은 고딕" w:hAnsi="맑은 고딕" w:eastAsia="맑은 고딕"/>
                <w:b w:val="0"/>
                <w:sz w:val="15"/>
              </w:rPr>
              <w:t>9.2</w:t>
            </w:r>
          </w:p>
        </w:tc>
      </w:tr>
      <w:tr>
        <w:tc>
          <w:tcPr>
            <w:tcW w:type="dxa" w:w="994"/>
          </w:tcPr>
          <w:p>
            <w:pPr>
              <w:spacing w:after="20" w:before="20"/>
              <w:jc w:val="left"/>
            </w:pPr>
            <w:r/>
            <w:r>
              <w:rPr>
                <w:rFonts w:ascii="맑은 고딕" w:hAnsi="맑은 고딕" w:eastAsia="맑은 고딕"/>
                <w:b w:val="0"/>
                <w:sz w:val="15"/>
              </w:rPr>
              <w:t>OEM·기타</w:t>
            </w:r>
          </w:p>
        </w:tc>
        <w:tc>
          <w:tcPr>
            <w:tcW w:type="dxa" w:w="994"/>
          </w:tcPr>
          <w:p>
            <w:pPr>
              <w:spacing w:after="20" w:before="20"/>
              <w:jc w:val="right"/>
            </w:pPr>
            <w:r/>
            <w:r>
              <w:rPr>
                <w:rFonts w:ascii="맑은 고딕" w:hAnsi="맑은 고딕" w:eastAsia="맑은 고딕"/>
                <w:b w:val="0"/>
                <w:sz w:val="15"/>
              </w:rPr>
              <w:t>0.5</w:t>
            </w:r>
          </w:p>
        </w:tc>
        <w:tc>
          <w:tcPr>
            <w:tcW w:type="dxa" w:w="994"/>
          </w:tcPr>
          <w:p>
            <w:pPr>
              <w:spacing w:after="20" w:before="20"/>
              <w:jc w:val="right"/>
            </w:pPr>
            <w:r/>
            <w:r>
              <w:rPr>
                <w:rFonts w:ascii="맑은 고딕" w:hAnsi="맑은 고딕" w:eastAsia="맑은 고딕"/>
                <w:b w:val="0"/>
                <w:sz w:val="15"/>
              </w:rPr>
              <w:t>0.3</w:t>
            </w:r>
          </w:p>
        </w:tc>
        <w:tc>
          <w:tcPr>
            <w:tcW w:type="dxa" w:w="994"/>
          </w:tcPr>
          <w:p>
            <w:pPr>
              <w:spacing w:after="20" w:before="20"/>
              <w:jc w:val="right"/>
            </w:pPr>
            <w:r/>
            <w:r>
              <w:rPr>
                <w:rFonts w:ascii="맑은 고딕" w:hAnsi="맑은 고딕" w:eastAsia="맑은 고딕"/>
                <w:b w:val="0"/>
                <w:sz w:val="15"/>
              </w:rPr>
              <w:t>0.4</w:t>
            </w:r>
          </w:p>
        </w:tc>
        <w:tc>
          <w:tcPr>
            <w:tcW w:type="dxa" w:w="994"/>
          </w:tcPr>
          <w:p>
            <w:pPr>
              <w:spacing w:after="20" w:before="20"/>
              <w:jc w:val="right"/>
            </w:pPr>
            <w:r/>
            <w:r>
              <w:rPr>
                <w:rFonts w:ascii="맑은 고딕" w:hAnsi="맑은 고딕" w:eastAsia="맑은 고딕"/>
                <w:b w:val="0"/>
                <w:sz w:val="15"/>
              </w:rPr>
              <w:t>0.6</w:t>
            </w:r>
          </w:p>
        </w:tc>
        <w:tc>
          <w:tcPr>
            <w:tcW w:type="dxa" w:w="994"/>
          </w:tcPr>
          <w:p>
            <w:pPr>
              <w:spacing w:after="20" w:before="20"/>
              <w:jc w:val="right"/>
            </w:pPr>
            <w:r/>
            <w:r>
              <w:rPr>
                <w:rFonts w:ascii="맑은 고딕" w:hAnsi="맑은 고딕" w:eastAsia="맑은 고딕"/>
                <w:b w:val="0"/>
                <w:sz w:val="15"/>
              </w:rPr>
              <w:t>0.7</w:t>
            </w:r>
          </w:p>
        </w:tc>
        <w:tc>
          <w:tcPr>
            <w:tcW w:type="dxa" w:w="994"/>
          </w:tcPr>
          <w:p>
            <w:pPr>
              <w:spacing w:after="20" w:before="20"/>
              <w:jc w:val="right"/>
            </w:pPr>
            <w:r/>
            <w:r>
              <w:rPr>
                <w:rFonts w:ascii="맑은 고딕" w:hAnsi="맑은 고딕" w:eastAsia="맑은 고딕"/>
                <w:b w:val="0"/>
                <w:sz w:val="15"/>
              </w:rPr>
              <w:t>0.7</w:t>
            </w:r>
          </w:p>
        </w:tc>
        <w:tc>
          <w:tcPr>
            <w:tcW w:type="dxa" w:w="994"/>
          </w:tcPr>
          <w:p>
            <w:pPr>
              <w:spacing w:after="20" w:before="20"/>
              <w:jc w:val="right"/>
            </w:pPr>
            <w:r/>
            <w:r>
              <w:rPr>
                <w:rFonts w:ascii="맑은 고딕" w:hAnsi="맑은 고딕" w:eastAsia="맑은 고딕"/>
                <w:b w:val="0"/>
                <w:sz w:val="15"/>
              </w:rPr>
              <w:t>0.8</w:t>
            </w:r>
          </w:p>
        </w:tc>
        <w:tc>
          <w:tcPr>
            <w:tcW w:type="dxa" w:w="994"/>
          </w:tcPr>
          <w:p>
            <w:pPr>
              <w:spacing w:after="20" w:before="20"/>
              <w:jc w:val="right"/>
            </w:pPr>
            <w:r/>
            <w:r>
              <w:rPr>
                <w:rFonts w:ascii="맑은 고딕" w:hAnsi="맑은 고딕" w:eastAsia="맑은 고딕"/>
                <w:b w:val="0"/>
                <w:sz w:val="15"/>
              </w:rPr>
              <w:t>0.8</w:t>
            </w:r>
          </w:p>
        </w:tc>
        <w:tc>
          <w:tcPr>
            <w:tcW w:type="dxa" w:w="994"/>
          </w:tcPr>
          <w:p>
            <w:pPr>
              <w:spacing w:after="20" w:before="20"/>
              <w:jc w:val="right"/>
            </w:pPr>
            <w:r/>
            <w:r>
              <w:rPr>
                <w:rFonts w:ascii="맑은 고딕" w:hAnsi="맑은 고딕" w:eastAsia="맑은 고딕"/>
                <w:b w:val="0"/>
                <w:sz w:val="15"/>
              </w:rPr>
              <w:t>0.9</w:t>
            </w:r>
          </w:p>
        </w:tc>
      </w:tr>
      <w:tr>
        <w:tc>
          <w:tcPr>
            <w:tcW w:type="dxa" w:w="994"/>
          </w:tcPr>
          <w:p>
            <w:pPr>
              <w:spacing w:after="20" w:before="20"/>
              <w:jc w:val="left"/>
            </w:pPr>
            <w:r/>
            <w:r>
              <w:rPr>
                <w:rFonts w:ascii="맑은 고딕" w:hAnsi="맑은 고딕" w:eastAsia="맑은 고딕"/>
                <w:b w:val="0"/>
                <w:sz w:val="15"/>
              </w:rPr>
              <w:t>합계</w:t>
            </w:r>
          </w:p>
        </w:tc>
        <w:tc>
          <w:tcPr>
            <w:tcW w:type="dxa" w:w="994"/>
          </w:tcPr>
          <w:p>
            <w:pPr>
              <w:spacing w:after="20" w:before="20"/>
              <w:jc w:val="right"/>
            </w:pPr>
            <w:r/>
            <w:r>
              <w:rPr>
                <w:rFonts w:ascii="맑은 고딕" w:hAnsi="맑은 고딕" w:eastAsia="맑은 고딕"/>
                <w:b w:val="0"/>
                <w:sz w:val="15"/>
              </w:rPr>
              <w:t>27.0</w:t>
            </w:r>
          </w:p>
        </w:tc>
        <w:tc>
          <w:tcPr>
            <w:tcW w:type="dxa" w:w="994"/>
          </w:tcPr>
          <w:p>
            <w:pPr>
              <w:spacing w:after="20" w:before="20"/>
              <w:jc w:val="right"/>
            </w:pPr>
            <w:r/>
            <w:r>
              <w:rPr>
                <w:rFonts w:ascii="맑은 고딕" w:hAnsi="맑은 고딕" w:eastAsia="맑은 고딕"/>
                <w:b w:val="0"/>
                <w:sz w:val="15"/>
              </w:rPr>
              <w:t>60.9</w:t>
            </w:r>
          </w:p>
        </w:tc>
        <w:tc>
          <w:tcPr>
            <w:tcW w:type="dxa" w:w="994"/>
          </w:tcPr>
          <w:p>
            <w:pPr>
              <w:spacing w:after="20" w:before="20"/>
              <w:jc w:val="right"/>
            </w:pPr>
            <w:r/>
            <w:r>
              <w:rPr>
                <w:rFonts w:ascii="맑은 고딕" w:hAnsi="맑은 고딕" w:eastAsia="맑은 고딕"/>
                <w:b w:val="0"/>
                <w:sz w:val="15"/>
              </w:rPr>
              <w:t>130.5</w:t>
            </w:r>
          </w:p>
        </w:tc>
        <w:tc>
          <w:tcPr>
            <w:tcW w:type="dxa" w:w="994"/>
          </w:tcPr>
          <w:p>
            <w:pPr>
              <w:spacing w:after="20" w:before="20"/>
              <w:jc w:val="right"/>
            </w:pPr>
            <w:r/>
            <w:r>
              <w:rPr>
                <w:rFonts w:ascii="맑은 고딕" w:hAnsi="맑은 고딕" w:eastAsia="맑은 고딕"/>
                <w:b w:val="0"/>
                <w:sz w:val="15"/>
              </w:rPr>
              <w:t>215.9</w:t>
            </w:r>
          </w:p>
        </w:tc>
        <w:tc>
          <w:tcPr>
            <w:tcW w:type="dxa" w:w="994"/>
          </w:tcPr>
          <w:p>
            <w:pPr>
              <w:spacing w:after="20" w:before="20"/>
              <w:jc w:val="right"/>
            </w:pPr>
            <w:r/>
            <w:r>
              <w:rPr>
                <w:rFonts w:ascii="맑은 고딕" w:hAnsi="맑은 고딕" w:eastAsia="맑은 고딕"/>
                <w:b w:val="0"/>
                <w:sz w:val="15"/>
              </w:rPr>
              <w:t>370.6</w:t>
            </w:r>
          </w:p>
        </w:tc>
        <w:tc>
          <w:tcPr>
            <w:tcW w:type="dxa" w:w="994"/>
          </w:tcPr>
          <w:p>
            <w:pPr>
              <w:spacing w:after="20" w:before="20"/>
              <w:jc w:val="right"/>
            </w:pPr>
            <w:r/>
            <w:r>
              <w:rPr>
                <w:rFonts w:ascii="맑은 고딕" w:hAnsi="맑은 고딕" w:eastAsia="맑은 고딕"/>
                <w:b w:val="0"/>
                <w:sz w:val="15"/>
              </w:rPr>
              <w:t>494.5</w:t>
            </w:r>
          </w:p>
        </w:tc>
        <w:tc>
          <w:tcPr>
            <w:tcW w:type="dxa" w:w="994"/>
          </w:tcPr>
          <w:p>
            <w:pPr>
              <w:spacing w:after="20" w:before="20"/>
              <w:jc w:val="right"/>
            </w:pPr>
            <w:r/>
            <w:r>
              <w:rPr>
                <w:rFonts w:ascii="맑은 고딕" w:hAnsi="맑은 고딕" w:eastAsia="맑은 고딕"/>
                <w:b w:val="0"/>
                <w:sz w:val="15"/>
              </w:rPr>
              <w:t>600.0</w:t>
            </w:r>
          </w:p>
        </w:tc>
        <w:tc>
          <w:tcPr>
            <w:tcW w:type="dxa" w:w="994"/>
          </w:tcPr>
          <w:p>
            <w:pPr>
              <w:spacing w:after="20" w:before="20"/>
              <w:jc w:val="right"/>
            </w:pPr>
            <w:r/>
            <w:r>
              <w:rPr>
                <w:rFonts w:ascii="맑은 고딕" w:hAnsi="맑은 고딕" w:eastAsia="맑은 고딕"/>
                <w:b w:val="0"/>
                <w:sz w:val="15"/>
              </w:rPr>
              <w:t>688.1</w:t>
            </w:r>
          </w:p>
        </w:tc>
        <w:tc>
          <w:tcPr>
            <w:tcW w:type="dxa" w:w="994"/>
          </w:tcPr>
          <w:p>
            <w:pPr>
              <w:spacing w:after="20" w:before="20"/>
              <w:jc w:val="right"/>
            </w:pPr>
            <w:r/>
            <w:r>
              <w:rPr>
                <w:rFonts w:ascii="맑은 고딕" w:hAnsi="맑은 고딕" w:eastAsia="맑은 고딕"/>
                <w:b w:val="0"/>
                <w:sz w:val="15"/>
              </w:rPr>
              <w:t>769.5</w:t>
            </w:r>
          </w:p>
        </w:tc>
      </w:tr>
    </w:tbl>
    <w:p>
      <w:pPr>
        <w:spacing w:after="40"/>
      </w:pPr>
    </w:p>
    <w:p>
      <w:pPr>
        <w:spacing w:after="200"/>
      </w:pPr>
      <w:r>
        <w:rPr>
          <w:rFonts w:ascii="맑은 고딕" w:hAnsi="맑은 고딕" w:eastAsia="맑은 고딕"/>
          <w:i/>
          <w:color w:val="595959"/>
          <w:sz w:val="16"/>
        </w:rPr>
        <w:t>표 3 — 세그먼트별 매출($B). 자료: 모델(Task 2).</w:t>
      </w:r>
    </w:p>
    <w:p>
      <w:pPr>
        <w:jc w:val="center"/>
      </w:pPr>
      <w:r>
        <w:drawing>
          <wp:inline xmlns:a="http://schemas.openxmlformats.org/drawingml/2006/main" xmlns:pic="http://schemas.openxmlformats.org/drawingml/2006/picture">
            <wp:extent cx="5852160" cy="3320806"/>
            <wp:docPr id="13" name="Picture 13"/>
            <wp:cNvGraphicFramePr>
              <a:graphicFrameLocks noChangeAspect="1"/>
            </wp:cNvGraphicFramePr>
            <a:graphic>
              <a:graphicData uri="http://schemas.openxmlformats.org/drawingml/2006/picture">
                <pic:pic>
                  <pic:nvPicPr>
                    <pic:cNvPr id="0" name="chart_04_revenue_by_geography_stacked_bar.png"/>
                    <pic:cNvPicPr/>
                  </pic:nvPicPr>
                  <pic:blipFill>
                    <a:blip r:embed="rId21"/>
                    <a:stretch>
                      <a:fillRect/>
                    </a:stretch>
                  </pic:blipFill>
                  <pic:spPr>
                    <a:xfrm>
                      <a:off x="0" y="0"/>
                      <a:ext cx="5852160" cy="3320806"/>
                    </a:xfrm>
                    <a:prstGeom prst="rect"/>
                  </pic:spPr>
                </pic:pic>
              </a:graphicData>
            </a:graphic>
          </wp:inline>
        </w:drawing>
      </w:r>
    </w:p>
    <w:p>
      <w:pPr>
        <w:spacing w:after="200"/>
      </w:pPr>
      <w:r>
        <w:rPr>
          <w:rFonts w:ascii="맑은 고딕" w:hAnsi="맑은 고딕" w:eastAsia="맑은 고딕"/>
          <w:i/>
          <w:color w:val="595959"/>
          <w:sz w:val="16"/>
        </w:rPr>
        <w:t>그림 4 — 지역별 매출. 자료: 모델. ⭐</w:t>
      </w:r>
    </w:p>
    <w:tbl>
      <w:tblPr>
        <w:tblStyle w:val="LightGrid-Accent1"/>
        <w:tblW w:type="auto" w:w="0"/>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3864"/>
          </w:tcPr>
          <w:p>
            <w:pPr>
              <w:spacing w:after="20" w:before="20"/>
              <w:jc w:val="left"/>
            </w:pPr>
            <w:r/>
            <w:r>
              <w:rPr>
                <w:rFonts w:ascii="맑은 고딕" w:hAnsi="맑은 고딕" w:eastAsia="맑은 고딕"/>
                <w:b/>
                <w:color w:val="FFFFFF"/>
                <w:sz w:val="15"/>
              </w:rPr>
              <w:t>지역 ($B)</w:t>
            </w:r>
          </w:p>
        </w:tc>
        <w:tc>
          <w:tcPr>
            <w:tcW w:type="dxa" w:w="994"/>
            <w:shd w:fill="1F3864"/>
          </w:tcPr>
          <w:p>
            <w:pPr>
              <w:spacing w:after="20" w:before="20"/>
              <w:jc w:val="right"/>
            </w:pPr>
            <w:r/>
            <w:r>
              <w:rPr>
                <w:rFonts w:ascii="맑은 고딕" w:hAnsi="맑은 고딕" w:eastAsia="맑은 고딕"/>
                <w:b/>
                <w:color w:val="FFFFFF"/>
                <w:sz w:val="15"/>
              </w:rPr>
              <w:t>FY23</w:t>
            </w:r>
          </w:p>
        </w:tc>
        <w:tc>
          <w:tcPr>
            <w:tcW w:type="dxa" w:w="994"/>
            <w:shd w:fill="1F3864"/>
          </w:tcPr>
          <w:p>
            <w:pPr>
              <w:spacing w:after="20" w:before="20"/>
              <w:jc w:val="right"/>
            </w:pPr>
            <w:r/>
            <w:r>
              <w:rPr>
                <w:rFonts w:ascii="맑은 고딕" w:hAnsi="맑은 고딕" w:eastAsia="맑은 고딕"/>
                <w:b/>
                <w:color w:val="FFFFFF"/>
                <w:sz w:val="15"/>
              </w:rPr>
              <w:t>FY24</w:t>
            </w:r>
          </w:p>
        </w:tc>
        <w:tc>
          <w:tcPr>
            <w:tcW w:type="dxa" w:w="994"/>
            <w:shd w:fill="1F3864"/>
          </w:tcPr>
          <w:p>
            <w:pPr>
              <w:spacing w:after="20" w:before="20"/>
              <w:jc w:val="right"/>
            </w:pPr>
            <w:r/>
            <w:r>
              <w:rPr>
                <w:rFonts w:ascii="맑은 고딕" w:hAnsi="맑은 고딕" w:eastAsia="맑은 고딕"/>
                <w:b/>
                <w:color w:val="FFFFFF"/>
                <w:sz w:val="15"/>
              </w:rPr>
              <w:t>FY25</w:t>
            </w:r>
          </w:p>
        </w:tc>
        <w:tc>
          <w:tcPr>
            <w:tcW w:type="dxa" w:w="994"/>
            <w:shd w:fill="1F3864"/>
          </w:tcPr>
          <w:p>
            <w:pPr>
              <w:spacing w:after="20" w:before="20"/>
              <w:jc w:val="right"/>
            </w:pPr>
            <w:r/>
            <w:r>
              <w:rPr>
                <w:rFonts w:ascii="맑은 고딕" w:hAnsi="맑은 고딕" w:eastAsia="맑은 고딕"/>
                <w:b/>
                <w:color w:val="FFFFFF"/>
                <w:sz w:val="15"/>
              </w:rPr>
              <w:t>FY26</w:t>
            </w:r>
          </w:p>
        </w:tc>
        <w:tc>
          <w:tcPr>
            <w:tcW w:type="dxa" w:w="994"/>
            <w:shd w:fill="1F3864"/>
          </w:tcPr>
          <w:p>
            <w:pPr>
              <w:spacing w:after="20" w:before="20"/>
              <w:jc w:val="right"/>
            </w:pPr>
            <w:r/>
            <w:r>
              <w:rPr>
                <w:rFonts w:ascii="맑은 고딕" w:hAnsi="맑은 고딕" w:eastAsia="맑은 고딕"/>
                <w:b/>
                <w:color w:val="FFFFFF"/>
                <w:sz w:val="15"/>
              </w:rPr>
              <w:t>FY27E</w:t>
            </w:r>
          </w:p>
        </w:tc>
        <w:tc>
          <w:tcPr>
            <w:tcW w:type="dxa" w:w="994"/>
            <w:shd w:fill="1F3864"/>
          </w:tcPr>
          <w:p>
            <w:pPr>
              <w:spacing w:after="20" w:before="20"/>
              <w:jc w:val="right"/>
            </w:pPr>
            <w:r/>
            <w:r>
              <w:rPr>
                <w:rFonts w:ascii="맑은 고딕" w:hAnsi="맑은 고딕" w:eastAsia="맑은 고딕"/>
                <w:b/>
                <w:color w:val="FFFFFF"/>
                <w:sz w:val="15"/>
              </w:rPr>
              <w:t>FY28E</w:t>
            </w:r>
          </w:p>
        </w:tc>
        <w:tc>
          <w:tcPr>
            <w:tcW w:type="dxa" w:w="994"/>
            <w:shd w:fill="1F3864"/>
          </w:tcPr>
          <w:p>
            <w:pPr>
              <w:spacing w:after="20" w:before="20"/>
              <w:jc w:val="right"/>
            </w:pPr>
            <w:r/>
            <w:r>
              <w:rPr>
                <w:rFonts w:ascii="맑은 고딕" w:hAnsi="맑은 고딕" w:eastAsia="맑은 고딕"/>
                <w:b/>
                <w:color w:val="FFFFFF"/>
                <w:sz w:val="15"/>
              </w:rPr>
              <w:t>FY29E</w:t>
            </w:r>
          </w:p>
        </w:tc>
        <w:tc>
          <w:tcPr>
            <w:tcW w:type="dxa" w:w="994"/>
            <w:shd w:fill="1F3864"/>
          </w:tcPr>
          <w:p>
            <w:pPr>
              <w:spacing w:after="20" w:before="20"/>
              <w:jc w:val="right"/>
            </w:pPr>
            <w:r/>
            <w:r>
              <w:rPr>
                <w:rFonts w:ascii="맑은 고딕" w:hAnsi="맑은 고딕" w:eastAsia="맑은 고딕"/>
                <w:b/>
                <w:color w:val="FFFFFF"/>
                <w:sz w:val="15"/>
              </w:rPr>
              <w:t>FY30E</w:t>
            </w:r>
          </w:p>
        </w:tc>
        <w:tc>
          <w:tcPr>
            <w:tcW w:type="dxa" w:w="994"/>
            <w:shd w:fill="1F3864"/>
          </w:tcPr>
          <w:p>
            <w:pPr>
              <w:spacing w:after="20" w:before="20"/>
              <w:jc w:val="right"/>
            </w:pPr>
            <w:r/>
            <w:r>
              <w:rPr>
                <w:rFonts w:ascii="맑은 고딕" w:hAnsi="맑은 고딕" w:eastAsia="맑은 고딕"/>
                <w:b/>
                <w:color w:val="FFFFFF"/>
                <w:sz w:val="15"/>
              </w:rPr>
              <w:t>FY31E</w:t>
            </w:r>
          </w:p>
        </w:tc>
      </w:tr>
      <w:tr>
        <w:tc>
          <w:tcPr>
            <w:tcW w:type="dxa" w:w="994"/>
          </w:tcPr>
          <w:p>
            <w:pPr>
              <w:spacing w:after="20" w:before="20"/>
              <w:jc w:val="left"/>
            </w:pPr>
            <w:r/>
            <w:r>
              <w:rPr>
                <w:rFonts w:ascii="맑은 고딕" w:hAnsi="맑은 고딕" w:eastAsia="맑은 고딕"/>
                <w:b w:val="0"/>
                <w:sz w:val="15"/>
              </w:rPr>
              <w:t>미국</w:t>
            </w:r>
          </w:p>
        </w:tc>
        <w:tc>
          <w:tcPr>
            <w:tcW w:type="dxa" w:w="994"/>
          </w:tcPr>
          <w:p>
            <w:pPr>
              <w:spacing w:after="20" w:before="20"/>
              <w:jc w:val="right"/>
            </w:pPr>
            <w:r/>
            <w:r>
              <w:rPr>
                <w:rFonts w:ascii="맑은 고딕" w:hAnsi="맑은 고딕" w:eastAsia="맑은 고딕"/>
                <w:b w:val="0"/>
                <w:sz w:val="15"/>
              </w:rPr>
              <w:t>7.6</w:t>
            </w:r>
          </w:p>
        </w:tc>
        <w:tc>
          <w:tcPr>
            <w:tcW w:type="dxa" w:w="994"/>
          </w:tcPr>
          <w:p>
            <w:pPr>
              <w:spacing w:after="20" w:before="20"/>
              <w:jc w:val="right"/>
            </w:pPr>
            <w:r/>
            <w:r>
              <w:rPr>
                <w:rFonts w:ascii="맑은 고딕" w:hAnsi="맑은 고딕" w:eastAsia="맑은 고딕"/>
                <w:b w:val="0"/>
                <w:sz w:val="15"/>
              </w:rPr>
              <w:t>21.3</w:t>
            </w:r>
          </w:p>
        </w:tc>
        <w:tc>
          <w:tcPr>
            <w:tcW w:type="dxa" w:w="994"/>
          </w:tcPr>
          <w:p>
            <w:pPr>
              <w:spacing w:after="20" w:before="20"/>
              <w:jc w:val="right"/>
            </w:pPr>
            <w:r/>
            <w:r>
              <w:rPr>
                <w:rFonts w:ascii="맑은 고딕" w:hAnsi="맑은 고딕" w:eastAsia="맑은 고딕"/>
                <w:b w:val="0"/>
                <w:sz w:val="15"/>
              </w:rPr>
              <w:t>61.3</w:t>
            </w:r>
          </w:p>
        </w:tc>
        <w:tc>
          <w:tcPr>
            <w:tcW w:type="dxa" w:w="994"/>
          </w:tcPr>
          <w:p>
            <w:pPr>
              <w:spacing w:after="20" w:before="20"/>
              <w:jc w:val="right"/>
            </w:pPr>
            <w:r/>
            <w:r>
              <w:rPr>
                <w:rFonts w:ascii="맑은 고딕" w:hAnsi="맑은 고딕" w:eastAsia="맑은 고딕"/>
                <w:b w:val="0"/>
                <w:sz w:val="15"/>
              </w:rPr>
              <w:t>112.3</w:t>
            </w:r>
          </w:p>
        </w:tc>
        <w:tc>
          <w:tcPr>
            <w:tcW w:type="dxa" w:w="994"/>
          </w:tcPr>
          <w:p>
            <w:pPr>
              <w:spacing w:after="20" w:before="20"/>
              <w:jc w:val="right"/>
            </w:pPr>
            <w:r/>
            <w:r>
              <w:rPr>
                <w:rFonts w:ascii="맑은 고딕" w:hAnsi="맑은 고딕" w:eastAsia="맑은 고딕"/>
                <w:b w:val="0"/>
                <w:sz w:val="15"/>
              </w:rPr>
              <w:t>196.4</w:t>
            </w:r>
          </w:p>
        </w:tc>
        <w:tc>
          <w:tcPr>
            <w:tcW w:type="dxa" w:w="994"/>
          </w:tcPr>
          <w:p>
            <w:pPr>
              <w:spacing w:after="20" w:before="20"/>
              <w:jc w:val="right"/>
            </w:pPr>
            <w:r/>
            <w:r>
              <w:rPr>
                <w:rFonts w:ascii="맑은 고딕" w:hAnsi="맑은 고딕" w:eastAsia="맑은 고딕"/>
                <w:b w:val="0"/>
                <w:sz w:val="15"/>
              </w:rPr>
              <w:t>267.0</w:t>
            </w:r>
          </w:p>
        </w:tc>
        <w:tc>
          <w:tcPr>
            <w:tcW w:type="dxa" w:w="994"/>
          </w:tcPr>
          <w:p>
            <w:pPr>
              <w:spacing w:after="20" w:before="20"/>
              <w:jc w:val="right"/>
            </w:pPr>
            <w:r/>
            <w:r>
              <w:rPr>
                <w:rFonts w:ascii="맑은 고딕" w:hAnsi="맑은 고딕" w:eastAsia="맑은 고딕"/>
                <w:b w:val="0"/>
                <w:sz w:val="15"/>
              </w:rPr>
              <w:t>330.0</w:t>
            </w:r>
          </w:p>
        </w:tc>
        <w:tc>
          <w:tcPr>
            <w:tcW w:type="dxa" w:w="994"/>
          </w:tcPr>
          <w:p>
            <w:pPr>
              <w:spacing w:after="20" w:before="20"/>
              <w:jc w:val="right"/>
            </w:pPr>
            <w:r/>
            <w:r>
              <w:rPr>
                <w:rFonts w:ascii="맑은 고딕" w:hAnsi="맑은 고딕" w:eastAsia="맑은 고딕"/>
                <w:b w:val="0"/>
                <w:sz w:val="15"/>
              </w:rPr>
              <w:t>378.5</w:t>
            </w:r>
          </w:p>
        </w:tc>
        <w:tc>
          <w:tcPr>
            <w:tcW w:type="dxa" w:w="994"/>
          </w:tcPr>
          <w:p>
            <w:pPr>
              <w:spacing w:after="20" w:before="20"/>
              <w:jc w:val="right"/>
            </w:pPr>
            <w:r/>
            <w:r>
              <w:rPr>
                <w:rFonts w:ascii="맑은 고딕" w:hAnsi="맑은 고딕" w:eastAsia="맑은 고딕"/>
                <w:b w:val="0"/>
                <w:sz w:val="15"/>
              </w:rPr>
              <w:t>423.2</w:t>
            </w:r>
          </w:p>
        </w:tc>
      </w:tr>
      <w:tr>
        <w:tc>
          <w:tcPr>
            <w:tcW w:type="dxa" w:w="994"/>
          </w:tcPr>
          <w:p>
            <w:pPr>
              <w:spacing w:after="20" w:before="20"/>
              <w:jc w:val="left"/>
            </w:pPr>
            <w:r/>
            <w:r>
              <w:rPr>
                <w:rFonts w:ascii="맑은 고딕" w:hAnsi="맑은 고딕" w:eastAsia="맑은 고딕"/>
                <w:b w:val="0"/>
                <w:sz w:val="15"/>
              </w:rPr>
              <w:t>대만</w:t>
            </w:r>
          </w:p>
        </w:tc>
        <w:tc>
          <w:tcPr>
            <w:tcW w:type="dxa" w:w="994"/>
          </w:tcPr>
          <w:p>
            <w:pPr>
              <w:spacing w:after="20" w:before="20"/>
              <w:jc w:val="right"/>
            </w:pPr>
            <w:r/>
            <w:r>
              <w:rPr>
                <w:rFonts w:ascii="맑은 고딕" w:hAnsi="맑은 고딕" w:eastAsia="맑은 고딕"/>
                <w:b w:val="0"/>
                <w:sz w:val="15"/>
              </w:rPr>
              <w:t>6.5</w:t>
            </w:r>
          </w:p>
        </w:tc>
        <w:tc>
          <w:tcPr>
            <w:tcW w:type="dxa" w:w="994"/>
          </w:tcPr>
          <w:p>
            <w:pPr>
              <w:spacing w:after="20" w:before="20"/>
              <w:jc w:val="right"/>
            </w:pPr>
            <w:r/>
            <w:r>
              <w:rPr>
                <w:rFonts w:ascii="맑은 고딕" w:hAnsi="맑은 고딕" w:eastAsia="맑은 고딕"/>
                <w:b w:val="0"/>
                <w:sz w:val="15"/>
              </w:rPr>
              <w:t>13.4</w:t>
            </w:r>
          </w:p>
        </w:tc>
        <w:tc>
          <w:tcPr>
            <w:tcW w:type="dxa" w:w="994"/>
          </w:tcPr>
          <w:p>
            <w:pPr>
              <w:spacing w:after="20" w:before="20"/>
              <w:jc w:val="right"/>
            </w:pPr>
            <w:r/>
            <w:r>
              <w:rPr>
                <w:rFonts w:ascii="맑은 고딕" w:hAnsi="맑은 고딕" w:eastAsia="맑은 고딕"/>
                <w:b w:val="0"/>
                <w:sz w:val="15"/>
              </w:rPr>
              <w:t>20.9</w:t>
            </w:r>
          </w:p>
        </w:tc>
        <w:tc>
          <w:tcPr>
            <w:tcW w:type="dxa" w:w="994"/>
          </w:tcPr>
          <w:p>
            <w:pPr>
              <w:spacing w:after="20" w:before="20"/>
              <w:jc w:val="right"/>
            </w:pPr>
            <w:r/>
            <w:r>
              <w:rPr>
                <w:rFonts w:ascii="맑은 고딕" w:hAnsi="맑은 고딕" w:eastAsia="맑은 고딕"/>
                <w:b w:val="0"/>
                <w:sz w:val="15"/>
              </w:rPr>
              <w:t>30.2</w:t>
            </w:r>
          </w:p>
        </w:tc>
        <w:tc>
          <w:tcPr>
            <w:tcW w:type="dxa" w:w="994"/>
          </w:tcPr>
          <w:p>
            <w:pPr>
              <w:spacing w:after="20" w:before="20"/>
              <w:jc w:val="right"/>
            </w:pPr>
            <w:r/>
            <w:r>
              <w:rPr>
                <w:rFonts w:ascii="맑은 고딕" w:hAnsi="맑은 고딕" w:eastAsia="맑은 고딕"/>
                <w:b w:val="0"/>
                <w:sz w:val="15"/>
              </w:rPr>
              <w:t>51.9</w:t>
            </w:r>
          </w:p>
        </w:tc>
        <w:tc>
          <w:tcPr>
            <w:tcW w:type="dxa" w:w="994"/>
          </w:tcPr>
          <w:p>
            <w:pPr>
              <w:spacing w:after="20" w:before="20"/>
              <w:jc w:val="right"/>
            </w:pPr>
            <w:r/>
            <w:r>
              <w:rPr>
                <w:rFonts w:ascii="맑은 고딕" w:hAnsi="맑은 고딕" w:eastAsia="맑은 고딕"/>
                <w:b w:val="0"/>
                <w:sz w:val="15"/>
              </w:rPr>
              <w:t>64.3</w:t>
            </w:r>
          </w:p>
        </w:tc>
        <w:tc>
          <w:tcPr>
            <w:tcW w:type="dxa" w:w="994"/>
          </w:tcPr>
          <w:p>
            <w:pPr>
              <w:spacing w:after="20" w:before="20"/>
              <w:jc w:val="right"/>
            </w:pPr>
            <w:r/>
            <w:r>
              <w:rPr>
                <w:rFonts w:ascii="맑은 고딕" w:hAnsi="맑은 고딕" w:eastAsia="맑은 고딕"/>
                <w:b w:val="0"/>
                <w:sz w:val="15"/>
              </w:rPr>
              <w:t>78.0</w:t>
            </w:r>
          </w:p>
        </w:tc>
        <w:tc>
          <w:tcPr>
            <w:tcW w:type="dxa" w:w="994"/>
          </w:tcPr>
          <w:p>
            <w:pPr>
              <w:spacing w:after="20" w:before="20"/>
              <w:jc w:val="right"/>
            </w:pPr>
            <w:r/>
            <w:r>
              <w:rPr>
                <w:rFonts w:ascii="맑은 고딕" w:hAnsi="맑은 고딕" w:eastAsia="맑은 고딕"/>
                <w:b w:val="0"/>
                <w:sz w:val="15"/>
              </w:rPr>
              <w:t>89.5</w:t>
            </w:r>
          </w:p>
        </w:tc>
        <w:tc>
          <w:tcPr>
            <w:tcW w:type="dxa" w:w="994"/>
          </w:tcPr>
          <w:p>
            <w:pPr>
              <w:spacing w:after="20" w:before="20"/>
              <w:jc w:val="right"/>
            </w:pPr>
            <w:r/>
            <w:r>
              <w:rPr>
                <w:rFonts w:ascii="맑은 고딕" w:hAnsi="맑은 고딕" w:eastAsia="맑은 고딕"/>
                <w:b w:val="0"/>
                <w:sz w:val="15"/>
              </w:rPr>
              <w:t>100.0</w:t>
            </w:r>
          </w:p>
        </w:tc>
      </w:tr>
      <w:tr>
        <w:tc>
          <w:tcPr>
            <w:tcW w:type="dxa" w:w="994"/>
          </w:tcPr>
          <w:p>
            <w:pPr>
              <w:spacing w:after="20" w:before="20"/>
              <w:jc w:val="left"/>
            </w:pPr>
            <w:r/>
            <w:r>
              <w:rPr>
                <w:rFonts w:ascii="맑은 고딕" w:hAnsi="맑은 고딕" w:eastAsia="맑은 고딕"/>
                <w:b w:val="0"/>
                <w:sz w:val="15"/>
              </w:rPr>
              <w:t>중국(홍콩 포함)</w:t>
            </w:r>
          </w:p>
        </w:tc>
        <w:tc>
          <w:tcPr>
            <w:tcW w:type="dxa" w:w="994"/>
          </w:tcPr>
          <w:p>
            <w:pPr>
              <w:spacing w:after="20" w:before="20"/>
              <w:jc w:val="right"/>
            </w:pPr>
            <w:r/>
            <w:r>
              <w:rPr>
                <w:rFonts w:ascii="맑은 고딕" w:hAnsi="맑은 고딕" w:eastAsia="맑은 고딕"/>
                <w:b w:val="0"/>
                <w:sz w:val="15"/>
              </w:rPr>
              <w:t>7.0</w:t>
            </w:r>
          </w:p>
        </w:tc>
        <w:tc>
          <w:tcPr>
            <w:tcW w:type="dxa" w:w="994"/>
          </w:tcPr>
          <w:p>
            <w:pPr>
              <w:spacing w:after="20" w:before="20"/>
              <w:jc w:val="right"/>
            </w:pPr>
            <w:r/>
            <w:r>
              <w:rPr>
                <w:rFonts w:ascii="맑은 고딕" w:hAnsi="맑은 고딕" w:eastAsia="맑은 고딕"/>
                <w:b w:val="0"/>
                <w:sz w:val="15"/>
              </w:rPr>
              <w:t>13.4</w:t>
            </w:r>
          </w:p>
        </w:tc>
        <w:tc>
          <w:tcPr>
            <w:tcW w:type="dxa" w:w="994"/>
          </w:tcPr>
          <w:p>
            <w:pPr>
              <w:spacing w:after="20" w:before="20"/>
              <w:jc w:val="right"/>
            </w:pPr>
            <w:r/>
            <w:r>
              <w:rPr>
                <w:rFonts w:ascii="맑은 고딕" w:hAnsi="맑은 고딕" w:eastAsia="맑은 고딕"/>
                <w:b w:val="0"/>
                <w:sz w:val="15"/>
              </w:rPr>
              <w:t>17.0</w:t>
            </w:r>
          </w:p>
        </w:tc>
        <w:tc>
          <w:tcPr>
            <w:tcW w:type="dxa" w:w="994"/>
          </w:tcPr>
          <w:p>
            <w:pPr>
              <w:spacing w:after="20" w:before="20"/>
              <w:jc w:val="right"/>
            </w:pPr>
            <w:r/>
            <w:r>
              <w:rPr>
                <w:rFonts w:ascii="맑은 고딕" w:hAnsi="맑은 고딕" w:eastAsia="맑은 고딕"/>
                <w:b w:val="0"/>
                <w:sz w:val="15"/>
              </w:rPr>
              <w:t>10.8</w:t>
            </w:r>
          </w:p>
        </w:tc>
        <w:tc>
          <w:tcPr>
            <w:tcW w:type="dxa" w:w="994"/>
          </w:tcPr>
          <w:p>
            <w:pPr>
              <w:spacing w:after="20" w:before="20"/>
              <w:jc w:val="right"/>
            </w:pPr>
            <w:r/>
            <w:r>
              <w:rPr>
                <w:rFonts w:ascii="맑은 고딕" w:hAnsi="맑은 고딕" w:eastAsia="맑은 고딕"/>
                <w:b w:val="0"/>
                <w:sz w:val="15"/>
              </w:rPr>
              <w:t>14.8</w:t>
            </w:r>
          </w:p>
        </w:tc>
        <w:tc>
          <w:tcPr>
            <w:tcW w:type="dxa" w:w="994"/>
          </w:tcPr>
          <w:p>
            <w:pPr>
              <w:spacing w:after="20" w:before="20"/>
              <w:jc w:val="right"/>
            </w:pPr>
            <w:r/>
            <w:r>
              <w:rPr>
                <w:rFonts w:ascii="맑은 고딕" w:hAnsi="맑은 고딕" w:eastAsia="맑은 고딕"/>
                <w:b w:val="0"/>
                <w:sz w:val="15"/>
              </w:rPr>
              <w:t>19.8</w:t>
            </w:r>
          </w:p>
        </w:tc>
        <w:tc>
          <w:tcPr>
            <w:tcW w:type="dxa" w:w="994"/>
          </w:tcPr>
          <w:p>
            <w:pPr>
              <w:spacing w:after="20" w:before="20"/>
              <w:jc w:val="right"/>
            </w:pPr>
            <w:r/>
            <w:r>
              <w:rPr>
                <w:rFonts w:ascii="맑은 고딕" w:hAnsi="맑은 고딕" w:eastAsia="맑은 고딕"/>
                <w:b w:val="0"/>
                <w:sz w:val="15"/>
              </w:rPr>
              <w:t>24.0</w:t>
            </w:r>
          </w:p>
        </w:tc>
        <w:tc>
          <w:tcPr>
            <w:tcW w:type="dxa" w:w="994"/>
          </w:tcPr>
          <w:p>
            <w:pPr>
              <w:spacing w:after="20" w:before="20"/>
              <w:jc w:val="right"/>
            </w:pPr>
            <w:r/>
            <w:r>
              <w:rPr>
                <w:rFonts w:ascii="맑은 고딕" w:hAnsi="맑은 고딕" w:eastAsia="맑은 고딕"/>
                <w:b w:val="0"/>
                <w:sz w:val="15"/>
              </w:rPr>
              <w:t>27.5</w:t>
            </w:r>
          </w:p>
        </w:tc>
        <w:tc>
          <w:tcPr>
            <w:tcW w:type="dxa" w:w="994"/>
          </w:tcPr>
          <w:p>
            <w:pPr>
              <w:spacing w:after="20" w:before="20"/>
              <w:jc w:val="right"/>
            </w:pPr>
            <w:r/>
            <w:r>
              <w:rPr>
                <w:rFonts w:ascii="맑은 고딕" w:hAnsi="맑은 고딕" w:eastAsia="맑은 고딕"/>
                <w:b w:val="0"/>
                <w:sz w:val="15"/>
              </w:rPr>
              <w:t>30.8</w:t>
            </w:r>
          </w:p>
        </w:tc>
      </w:tr>
      <w:tr>
        <w:tc>
          <w:tcPr>
            <w:tcW w:type="dxa" w:w="994"/>
          </w:tcPr>
          <w:p>
            <w:pPr>
              <w:spacing w:after="20" w:before="20"/>
              <w:jc w:val="left"/>
            </w:pPr>
            <w:r/>
            <w:r>
              <w:rPr>
                <w:rFonts w:ascii="맑은 고딕" w:hAnsi="맑은 고딕" w:eastAsia="맑은 고딕"/>
                <w:b w:val="0"/>
                <w:sz w:val="15"/>
              </w:rPr>
              <w:t>기타 아시아·태평양</w:t>
            </w:r>
          </w:p>
        </w:tc>
        <w:tc>
          <w:tcPr>
            <w:tcW w:type="dxa" w:w="994"/>
          </w:tcPr>
          <w:p>
            <w:pPr>
              <w:spacing w:after="20" w:before="20"/>
              <w:jc w:val="right"/>
            </w:pPr>
            <w:r/>
            <w:r>
              <w:rPr>
                <w:rFonts w:ascii="맑은 고딕" w:hAnsi="맑은 고딕" w:eastAsia="맑은 고딕"/>
                <w:b w:val="0"/>
                <w:sz w:val="15"/>
              </w:rPr>
              <w:t>3.8</w:t>
            </w:r>
          </w:p>
        </w:tc>
        <w:tc>
          <w:tcPr>
            <w:tcW w:type="dxa" w:w="994"/>
          </w:tcPr>
          <w:p>
            <w:pPr>
              <w:spacing w:after="20" w:before="20"/>
              <w:jc w:val="right"/>
            </w:pPr>
            <w:r/>
            <w:r>
              <w:rPr>
                <w:rFonts w:ascii="맑은 고딕" w:hAnsi="맑은 고딕" w:eastAsia="맑은 고딕"/>
                <w:b w:val="0"/>
                <w:sz w:val="15"/>
              </w:rPr>
              <w:t>7.9</w:t>
            </w:r>
          </w:p>
        </w:tc>
        <w:tc>
          <w:tcPr>
            <w:tcW w:type="dxa" w:w="994"/>
          </w:tcPr>
          <w:p>
            <w:pPr>
              <w:spacing w:after="20" w:before="20"/>
              <w:jc w:val="right"/>
            </w:pPr>
            <w:r/>
            <w:r>
              <w:rPr>
                <w:rFonts w:ascii="맑은 고딕" w:hAnsi="맑은 고딕" w:eastAsia="맑은 고딕"/>
                <w:b w:val="0"/>
                <w:sz w:val="15"/>
              </w:rPr>
              <w:t>20.9</w:t>
            </w:r>
          </w:p>
        </w:tc>
        <w:tc>
          <w:tcPr>
            <w:tcW w:type="dxa" w:w="994"/>
          </w:tcPr>
          <w:p>
            <w:pPr>
              <w:spacing w:after="20" w:before="20"/>
              <w:jc w:val="right"/>
            </w:pPr>
            <w:r/>
            <w:r>
              <w:rPr>
                <w:rFonts w:ascii="맑은 고딕" w:hAnsi="맑은 고딕" w:eastAsia="맑은 고딕"/>
                <w:b w:val="0"/>
                <w:sz w:val="15"/>
              </w:rPr>
              <w:t>41.0</w:t>
            </w:r>
          </w:p>
        </w:tc>
        <w:tc>
          <w:tcPr>
            <w:tcW w:type="dxa" w:w="994"/>
          </w:tcPr>
          <w:p>
            <w:pPr>
              <w:spacing w:after="20" w:before="20"/>
              <w:jc w:val="right"/>
            </w:pPr>
            <w:r/>
            <w:r>
              <w:rPr>
                <w:rFonts w:ascii="맑은 고딕" w:hAnsi="맑은 고딕" w:eastAsia="맑은 고딕"/>
                <w:b w:val="0"/>
                <w:sz w:val="15"/>
              </w:rPr>
              <w:t>70.4</w:t>
            </w:r>
          </w:p>
        </w:tc>
        <w:tc>
          <w:tcPr>
            <w:tcW w:type="dxa" w:w="994"/>
          </w:tcPr>
          <w:p>
            <w:pPr>
              <w:spacing w:after="20" w:before="20"/>
              <w:jc w:val="right"/>
            </w:pPr>
            <w:r/>
            <w:r>
              <w:rPr>
                <w:rFonts w:ascii="맑은 고딕" w:hAnsi="맑은 고딕" w:eastAsia="맑은 고딕"/>
                <w:b w:val="0"/>
                <w:sz w:val="15"/>
              </w:rPr>
              <w:t>94.0</w:t>
            </w:r>
          </w:p>
        </w:tc>
        <w:tc>
          <w:tcPr>
            <w:tcW w:type="dxa" w:w="994"/>
          </w:tcPr>
          <w:p>
            <w:pPr>
              <w:spacing w:after="20" w:before="20"/>
              <w:jc w:val="right"/>
            </w:pPr>
            <w:r/>
            <w:r>
              <w:rPr>
                <w:rFonts w:ascii="맑은 고딕" w:hAnsi="맑은 고딕" w:eastAsia="맑은 고딕"/>
                <w:b w:val="0"/>
                <w:sz w:val="15"/>
              </w:rPr>
              <w:t>108.0</w:t>
            </w:r>
          </w:p>
        </w:tc>
        <w:tc>
          <w:tcPr>
            <w:tcW w:type="dxa" w:w="994"/>
          </w:tcPr>
          <w:p>
            <w:pPr>
              <w:spacing w:after="20" w:before="20"/>
              <w:jc w:val="right"/>
            </w:pPr>
            <w:r/>
            <w:r>
              <w:rPr>
                <w:rFonts w:ascii="맑은 고딕" w:hAnsi="맑은 고딕" w:eastAsia="맑은 고딕"/>
                <w:b w:val="0"/>
                <w:sz w:val="15"/>
              </w:rPr>
              <w:t>123.9</w:t>
            </w:r>
          </w:p>
        </w:tc>
        <w:tc>
          <w:tcPr>
            <w:tcW w:type="dxa" w:w="994"/>
          </w:tcPr>
          <w:p>
            <w:pPr>
              <w:spacing w:after="20" w:before="20"/>
              <w:jc w:val="right"/>
            </w:pPr>
            <w:r/>
            <w:r>
              <w:rPr>
                <w:rFonts w:ascii="맑은 고딕" w:hAnsi="맑은 고딕" w:eastAsia="맑은 고딕"/>
                <w:b w:val="0"/>
                <w:sz w:val="15"/>
              </w:rPr>
              <w:t>138.5</w:t>
            </w:r>
          </w:p>
        </w:tc>
      </w:tr>
      <w:tr>
        <w:tc>
          <w:tcPr>
            <w:tcW w:type="dxa" w:w="994"/>
          </w:tcPr>
          <w:p>
            <w:pPr>
              <w:spacing w:after="20" w:before="20"/>
              <w:jc w:val="left"/>
            </w:pPr>
            <w:r/>
            <w:r>
              <w:rPr>
                <w:rFonts w:ascii="맑은 고딕" w:hAnsi="맑은 고딕" w:eastAsia="맑은 고딕"/>
                <w:b w:val="0"/>
                <w:sz w:val="15"/>
              </w:rPr>
              <w:t>유럽/EMEA</w:t>
            </w:r>
          </w:p>
        </w:tc>
        <w:tc>
          <w:tcPr>
            <w:tcW w:type="dxa" w:w="994"/>
          </w:tcPr>
          <w:p>
            <w:pPr>
              <w:spacing w:after="20" w:before="20"/>
              <w:jc w:val="right"/>
            </w:pPr>
            <w:r/>
            <w:r>
              <w:rPr>
                <w:rFonts w:ascii="맑은 고딕" w:hAnsi="맑은 고딕" w:eastAsia="맑은 고딕"/>
                <w:b w:val="0"/>
                <w:sz w:val="15"/>
              </w:rPr>
              <w:t>1.6</w:t>
            </w:r>
          </w:p>
        </w:tc>
        <w:tc>
          <w:tcPr>
            <w:tcW w:type="dxa" w:w="994"/>
          </w:tcPr>
          <w:p>
            <w:pPr>
              <w:spacing w:after="20" w:before="20"/>
              <w:jc w:val="right"/>
            </w:pPr>
            <w:r/>
            <w:r>
              <w:rPr>
                <w:rFonts w:ascii="맑은 고딕" w:hAnsi="맑은 고딕" w:eastAsia="맑은 고딕"/>
                <w:b w:val="0"/>
                <w:sz w:val="15"/>
              </w:rPr>
              <w:t>3.7</w:t>
            </w:r>
          </w:p>
        </w:tc>
        <w:tc>
          <w:tcPr>
            <w:tcW w:type="dxa" w:w="994"/>
          </w:tcPr>
          <w:p>
            <w:pPr>
              <w:spacing w:after="20" w:before="20"/>
              <w:jc w:val="right"/>
            </w:pPr>
            <w:r/>
            <w:r>
              <w:rPr>
                <w:rFonts w:ascii="맑은 고딕" w:hAnsi="맑은 고딕" w:eastAsia="맑은 고딕"/>
                <w:b w:val="0"/>
                <w:sz w:val="15"/>
              </w:rPr>
              <w:t>7.8</w:t>
            </w:r>
          </w:p>
        </w:tc>
        <w:tc>
          <w:tcPr>
            <w:tcW w:type="dxa" w:w="994"/>
          </w:tcPr>
          <w:p>
            <w:pPr>
              <w:spacing w:after="20" w:before="20"/>
              <w:jc w:val="right"/>
            </w:pPr>
            <w:r/>
            <w:r>
              <w:rPr>
                <w:rFonts w:ascii="맑은 고딕" w:hAnsi="맑은 고딕" w:eastAsia="맑은 고딕"/>
                <w:b w:val="0"/>
                <w:sz w:val="15"/>
              </w:rPr>
              <w:t>17.3</w:t>
            </w:r>
          </w:p>
        </w:tc>
        <w:tc>
          <w:tcPr>
            <w:tcW w:type="dxa" w:w="994"/>
          </w:tcPr>
          <w:p>
            <w:pPr>
              <w:spacing w:after="20" w:before="20"/>
              <w:jc w:val="right"/>
            </w:pPr>
            <w:r/>
            <w:r>
              <w:rPr>
                <w:rFonts w:ascii="맑은 고딕" w:hAnsi="맑은 고딕" w:eastAsia="맑은 고딕"/>
                <w:b w:val="0"/>
                <w:sz w:val="15"/>
              </w:rPr>
              <w:t>29.6</w:t>
            </w:r>
          </w:p>
        </w:tc>
        <w:tc>
          <w:tcPr>
            <w:tcW w:type="dxa" w:w="994"/>
          </w:tcPr>
          <w:p>
            <w:pPr>
              <w:spacing w:after="20" w:before="20"/>
              <w:jc w:val="right"/>
            </w:pPr>
            <w:r/>
            <w:r>
              <w:rPr>
                <w:rFonts w:ascii="맑은 고딕" w:hAnsi="맑은 고딕" w:eastAsia="맑은 고딕"/>
                <w:b w:val="0"/>
                <w:sz w:val="15"/>
              </w:rPr>
              <w:t>39.6</w:t>
            </w:r>
          </w:p>
        </w:tc>
        <w:tc>
          <w:tcPr>
            <w:tcW w:type="dxa" w:w="994"/>
          </w:tcPr>
          <w:p>
            <w:pPr>
              <w:spacing w:after="20" w:before="20"/>
              <w:jc w:val="right"/>
            </w:pPr>
            <w:r/>
            <w:r>
              <w:rPr>
                <w:rFonts w:ascii="맑은 고딕" w:hAnsi="맑은 고딕" w:eastAsia="맑은 고딕"/>
                <w:b w:val="0"/>
                <w:sz w:val="15"/>
              </w:rPr>
              <w:t>48.0</w:t>
            </w:r>
          </w:p>
        </w:tc>
        <w:tc>
          <w:tcPr>
            <w:tcW w:type="dxa" w:w="994"/>
          </w:tcPr>
          <w:p>
            <w:pPr>
              <w:spacing w:after="20" w:before="20"/>
              <w:jc w:val="right"/>
            </w:pPr>
            <w:r/>
            <w:r>
              <w:rPr>
                <w:rFonts w:ascii="맑은 고딕" w:hAnsi="맑은 고딕" w:eastAsia="맑은 고딕"/>
                <w:b w:val="0"/>
                <w:sz w:val="15"/>
              </w:rPr>
              <w:t>55.0</w:t>
            </w:r>
          </w:p>
        </w:tc>
        <w:tc>
          <w:tcPr>
            <w:tcW w:type="dxa" w:w="994"/>
          </w:tcPr>
          <w:p>
            <w:pPr>
              <w:spacing w:after="20" w:before="20"/>
              <w:jc w:val="right"/>
            </w:pPr>
            <w:r/>
            <w:r>
              <w:rPr>
                <w:rFonts w:ascii="맑은 고딕" w:hAnsi="맑은 고딕" w:eastAsia="맑은 고딕"/>
                <w:b w:val="0"/>
                <w:sz w:val="15"/>
              </w:rPr>
              <w:t>61.6</w:t>
            </w:r>
          </w:p>
        </w:tc>
      </w:tr>
      <w:tr>
        <w:tc>
          <w:tcPr>
            <w:tcW w:type="dxa" w:w="994"/>
          </w:tcPr>
          <w:p>
            <w:pPr>
              <w:spacing w:after="20" w:before="20"/>
              <w:jc w:val="left"/>
            </w:pPr>
            <w:r/>
            <w:r>
              <w:rPr>
                <w:rFonts w:ascii="맑은 고딕" w:hAnsi="맑은 고딕" w:eastAsia="맑은 고딕"/>
                <w:b w:val="0"/>
                <w:sz w:val="15"/>
              </w:rPr>
              <w:t>기타 지역</w:t>
            </w:r>
          </w:p>
        </w:tc>
        <w:tc>
          <w:tcPr>
            <w:tcW w:type="dxa" w:w="994"/>
          </w:tcPr>
          <w:p>
            <w:pPr>
              <w:spacing w:after="20" w:before="20"/>
              <w:jc w:val="right"/>
            </w:pPr>
            <w:r/>
            <w:r>
              <w:rPr>
                <w:rFonts w:ascii="맑은 고딕" w:hAnsi="맑은 고딕" w:eastAsia="맑은 고딕"/>
                <w:b w:val="0"/>
                <w:sz w:val="15"/>
              </w:rPr>
              <w:t>0.5</w:t>
            </w:r>
          </w:p>
        </w:tc>
        <w:tc>
          <w:tcPr>
            <w:tcW w:type="dxa" w:w="994"/>
          </w:tcPr>
          <w:p>
            <w:pPr>
              <w:spacing w:after="20" w:before="20"/>
              <w:jc w:val="right"/>
            </w:pPr>
            <w:r/>
            <w:r>
              <w:rPr>
                <w:rFonts w:ascii="맑은 고딕" w:hAnsi="맑은 고딕" w:eastAsia="맑은 고딕"/>
                <w:b w:val="0"/>
                <w:sz w:val="15"/>
              </w:rPr>
              <w:t>1.2</w:t>
            </w:r>
          </w:p>
        </w:tc>
        <w:tc>
          <w:tcPr>
            <w:tcW w:type="dxa" w:w="994"/>
          </w:tcPr>
          <w:p>
            <w:pPr>
              <w:spacing w:after="20" w:before="20"/>
              <w:jc w:val="right"/>
            </w:pPr>
            <w:r/>
            <w:r>
              <w:rPr>
                <w:rFonts w:ascii="맑은 고딕" w:hAnsi="맑은 고딕" w:eastAsia="맑은 고딕"/>
                <w:b w:val="0"/>
                <w:sz w:val="15"/>
              </w:rPr>
              <w:t>2.6</w:t>
            </w:r>
          </w:p>
        </w:tc>
        <w:tc>
          <w:tcPr>
            <w:tcW w:type="dxa" w:w="994"/>
          </w:tcPr>
          <w:p>
            <w:pPr>
              <w:spacing w:after="20" w:before="20"/>
              <w:jc w:val="right"/>
            </w:pPr>
            <w:r/>
            <w:r>
              <w:rPr>
                <w:rFonts w:ascii="맑은 고딕" w:hAnsi="맑은 고딕" w:eastAsia="맑은 고딕"/>
                <w:b w:val="0"/>
                <w:sz w:val="15"/>
              </w:rPr>
              <w:t>4.3</w:t>
            </w:r>
          </w:p>
        </w:tc>
        <w:tc>
          <w:tcPr>
            <w:tcW w:type="dxa" w:w="994"/>
          </w:tcPr>
          <w:p>
            <w:pPr>
              <w:spacing w:after="20" w:before="20"/>
              <w:jc w:val="right"/>
            </w:pPr>
            <w:r/>
            <w:r>
              <w:rPr>
                <w:rFonts w:ascii="맑은 고딕" w:hAnsi="맑은 고딕" w:eastAsia="맑은 고딕"/>
                <w:b w:val="0"/>
                <w:sz w:val="15"/>
              </w:rPr>
              <w:t>7.4</w:t>
            </w:r>
          </w:p>
        </w:tc>
        <w:tc>
          <w:tcPr>
            <w:tcW w:type="dxa" w:w="994"/>
          </w:tcPr>
          <w:p>
            <w:pPr>
              <w:spacing w:after="20" w:before="20"/>
              <w:jc w:val="right"/>
            </w:pPr>
            <w:r/>
            <w:r>
              <w:rPr>
                <w:rFonts w:ascii="맑은 고딕" w:hAnsi="맑은 고딕" w:eastAsia="맑은 고딕"/>
                <w:b w:val="0"/>
                <w:sz w:val="15"/>
              </w:rPr>
              <w:t>9.9</w:t>
            </w:r>
          </w:p>
        </w:tc>
        <w:tc>
          <w:tcPr>
            <w:tcW w:type="dxa" w:w="994"/>
          </w:tcPr>
          <w:p>
            <w:pPr>
              <w:spacing w:after="20" w:before="20"/>
              <w:jc w:val="right"/>
            </w:pPr>
            <w:r/>
            <w:r>
              <w:rPr>
                <w:rFonts w:ascii="맑은 고딕" w:hAnsi="맑은 고딕" w:eastAsia="맑은 고딕"/>
                <w:b w:val="0"/>
                <w:sz w:val="15"/>
              </w:rPr>
              <w:t>12.0</w:t>
            </w:r>
          </w:p>
        </w:tc>
        <w:tc>
          <w:tcPr>
            <w:tcW w:type="dxa" w:w="994"/>
          </w:tcPr>
          <w:p>
            <w:pPr>
              <w:spacing w:after="20" w:before="20"/>
              <w:jc w:val="right"/>
            </w:pPr>
            <w:r/>
            <w:r>
              <w:rPr>
                <w:rFonts w:ascii="맑은 고딕" w:hAnsi="맑은 고딕" w:eastAsia="맑은 고딕"/>
                <w:b w:val="0"/>
                <w:sz w:val="15"/>
              </w:rPr>
              <w:t>13.8</w:t>
            </w:r>
          </w:p>
        </w:tc>
        <w:tc>
          <w:tcPr>
            <w:tcW w:type="dxa" w:w="994"/>
          </w:tcPr>
          <w:p>
            <w:pPr>
              <w:spacing w:after="20" w:before="20"/>
              <w:jc w:val="right"/>
            </w:pPr>
            <w:r/>
            <w:r>
              <w:rPr>
                <w:rFonts w:ascii="맑은 고딕" w:hAnsi="맑은 고딕" w:eastAsia="맑은 고딕"/>
                <w:b w:val="0"/>
                <w:sz w:val="15"/>
              </w:rPr>
              <w:t>15.4</w:t>
            </w:r>
          </w:p>
        </w:tc>
      </w:tr>
    </w:tbl>
    <w:p>
      <w:pPr>
        <w:spacing w:after="40"/>
      </w:pPr>
    </w:p>
    <w:p>
      <w:pPr>
        <w:spacing w:after="200"/>
      </w:pPr>
      <w:r>
        <w:rPr>
          <w:rFonts w:ascii="맑은 고딕" w:hAnsi="맑은 고딕" w:eastAsia="맑은 고딕"/>
          <w:i/>
          <w:color w:val="595959"/>
          <w:sz w:val="16"/>
        </w:rPr>
        <w:t>표 4 — 지역별 매출($B, 10-K 청구지 기준 추정). 자료: 모델.</w:t>
      </w:r>
    </w:p>
    <w:p>
      <w:pPr>
        <w:jc w:val="center"/>
      </w:pPr>
      <w:r>
        <w:drawing>
          <wp:inline xmlns:a="http://schemas.openxmlformats.org/drawingml/2006/main" xmlns:pic="http://schemas.openxmlformats.org/drawingml/2006/picture">
            <wp:extent cx="5120640" cy="2651392"/>
            <wp:docPr id="14" name="Picture 14"/>
            <wp:cNvGraphicFramePr>
              <a:graphicFrameLocks noChangeAspect="1"/>
            </wp:cNvGraphicFramePr>
            <a:graphic>
              <a:graphicData uri="http://schemas.openxmlformats.org/drawingml/2006/picture">
                <pic:pic>
                  <pic:nvPicPr>
                    <pic:cNvPr id="0" name="chart_10_gross_margin_evolution.png"/>
                    <pic:cNvPicPr/>
                  </pic:nvPicPr>
                  <pic:blipFill>
                    <a:blip r:embed="rId22"/>
                    <a:stretch>
                      <a:fillRect/>
                    </a:stretch>
                  </pic:blipFill>
                  <pic:spPr>
                    <a:xfrm>
                      <a:off x="0" y="0"/>
                      <a:ext cx="5120640" cy="2651392"/>
                    </a:xfrm>
                    <a:prstGeom prst="rect"/>
                  </pic:spPr>
                </pic:pic>
              </a:graphicData>
            </a:graphic>
          </wp:inline>
        </w:drawing>
      </w:r>
    </w:p>
    <w:p>
      <w:pPr>
        <w:spacing w:after="200"/>
      </w:pPr>
      <w:r>
        <w:rPr>
          <w:rFonts w:ascii="맑은 고딕" w:hAnsi="맑은 고딕" w:eastAsia="맑은 고딕"/>
          <w:i/>
          <w:color w:val="595959"/>
          <w:sz w:val="16"/>
        </w:rPr>
        <w:t>그림 10 — 매출총이익률. 자료: 모델.</w:t>
      </w:r>
    </w:p>
    <w:p>
      <w:pPr>
        <w:jc w:val="center"/>
      </w:pPr>
      <w:r>
        <w:drawing>
          <wp:inline xmlns:a="http://schemas.openxmlformats.org/drawingml/2006/main" xmlns:pic="http://schemas.openxmlformats.org/drawingml/2006/picture">
            <wp:extent cx="5120640" cy="2651392"/>
            <wp:docPr id="15" name="Picture 15"/>
            <wp:cNvGraphicFramePr>
              <a:graphicFrameLocks noChangeAspect="1"/>
            </wp:cNvGraphicFramePr>
            <a:graphic>
              <a:graphicData uri="http://schemas.openxmlformats.org/drawingml/2006/picture">
                <pic:pic>
                  <pic:nvPicPr>
                    <pic:cNvPr id="0" name="chart_11_ebitda_margin_progression.png"/>
                    <pic:cNvPicPr/>
                  </pic:nvPicPr>
                  <pic:blipFill>
                    <a:blip r:embed="rId23"/>
                    <a:stretch>
                      <a:fillRect/>
                    </a:stretch>
                  </pic:blipFill>
                  <pic:spPr>
                    <a:xfrm>
                      <a:off x="0" y="0"/>
                      <a:ext cx="5120640" cy="2651392"/>
                    </a:xfrm>
                    <a:prstGeom prst="rect"/>
                  </pic:spPr>
                </pic:pic>
              </a:graphicData>
            </a:graphic>
          </wp:inline>
        </w:drawing>
      </w:r>
    </w:p>
    <w:p>
      <w:pPr>
        <w:spacing w:after="200"/>
      </w:pPr>
      <w:r>
        <w:rPr>
          <w:rFonts w:ascii="맑은 고딕" w:hAnsi="맑은 고딕" w:eastAsia="맑은 고딕"/>
          <w:i/>
          <w:color w:val="595959"/>
          <w:sz w:val="16"/>
        </w:rPr>
        <w:t>그림 11 — EBITDA 마진. 자료: 모델.</w:t>
      </w:r>
    </w:p>
    <w:p>
      <w:pPr>
        <w:jc w:val="center"/>
      </w:pPr>
      <w:r>
        <w:drawing>
          <wp:inline xmlns:a="http://schemas.openxmlformats.org/drawingml/2006/main" xmlns:pic="http://schemas.openxmlformats.org/drawingml/2006/picture">
            <wp:extent cx="5120640" cy="2651392"/>
            <wp:docPr id="16" name="Picture 16"/>
            <wp:cNvGraphicFramePr>
              <a:graphicFrameLocks noChangeAspect="1"/>
            </wp:cNvGraphicFramePr>
            <a:graphic>
              <a:graphicData uri="http://schemas.openxmlformats.org/drawingml/2006/picture">
                <pic:pic>
                  <pic:nvPicPr>
                    <pic:cNvPr id="0" name="chart_12_free_cash_flow_trend.png"/>
                    <pic:cNvPicPr/>
                  </pic:nvPicPr>
                  <pic:blipFill>
                    <a:blip r:embed="rId24"/>
                    <a:stretch>
                      <a:fillRect/>
                    </a:stretch>
                  </pic:blipFill>
                  <pic:spPr>
                    <a:xfrm>
                      <a:off x="0" y="0"/>
                      <a:ext cx="5120640" cy="2651392"/>
                    </a:xfrm>
                    <a:prstGeom prst="rect"/>
                  </pic:spPr>
                </pic:pic>
              </a:graphicData>
            </a:graphic>
          </wp:inline>
        </w:drawing>
      </w:r>
    </w:p>
    <w:p>
      <w:pPr>
        <w:spacing w:after="200"/>
      </w:pPr>
      <w:r>
        <w:rPr>
          <w:rFonts w:ascii="맑은 고딕" w:hAnsi="맑은 고딕" w:eastAsia="맑은 고딕"/>
          <w:i/>
          <w:color w:val="595959"/>
          <w:sz w:val="16"/>
        </w:rPr>
        <w:t>그림 12 — 잉여현금흐름. 자료: 모델.</w:t>
      </w:r>
    </w:p>
    <w:p>
      <w:pPr>
        <w:jc w:val="center"/>
      </w:pPr>
      <w:r>
        <w:drawing>
          <wp:inline xmlns:a="http://schemas.openxmlformats.org/drawingml/2006/main" xmlns:pic="http://schemas.openxmlformats.org/drawingml/2006/picture">
            <wp:extent cx="5120640" cy="2651392"/>
            <wp:docPr id="17" name="Picture 17"/>
            <wp:cNvGraphicFramePr>
              <a:graphicFrameLocks noChangeAspect="1"/>
            </wp:cNvGraphicFramePr>
            <a:graphic>
              <a:graphicData uri="http://schemas.openxmlformats.org/drawingml/2006/picture">
                <pic:pic>
                  <pic:nvPicPr>
                    <pic:cNvPr id="0" name="chart_23_rd_investment_trends.png"/>
                    <pic:cNvPicPr/>
                  </pic:nvPicPr>
                  <pic:blipFill>
                    <a:blip r:embed="rId25"/>
                    <a:stretch>
                      <a:fillRect/>
                    </a:stretch>
                  </pic:blipFill>
                  <pic:spPr>
                    <a:xfrm>
                      <a:off x="0" y="0"/>
                      <a:ext cx="5120640" cy="2651392"/>
                    </a:xfrm>
                    <a:prstGeom prst="rect"/>
                  </pic:spPr>
                </pic:pic>
              </a:graphicData>
            </a:graphic>
          </wp:inline>
        </w:drawing>
      </w:r>
    </w:p>
    <w:p>
      <w:pPr>
        <w:spacing w:after="200"/>
      </w:pPr>
      <w:r>
        <w:rPr>
          <w:rFonts w:ascii="맑은 고딕" w:hAnsi="맑은 고딕" w:eastAsia="맑은 고딕"/>
          <w:i/>
          <w:color w:val="595959"/>
          <w:sz w:val="16"/>
        </w:rPr>
        <w:t>그림 23 — R&amp;D 투자. 자료: 모델.</w:t>
      </w:r>
    </w:p>
    <w:p>
      <w:pPr>
        <w:jc w:val="center"/>
      </w:pPr>
      <w:r>
        <w:drawing>
          <wp:inline xmlns:a="http://schemas.openxmlformats.org/drawingml/2006/main" xmlns:pic="http://schemas.openxmlformats.org/drawingml/2006/picture">
            <wp:extent cx="5669280" cy="3691866"/>
            <wp:docPr id="18" name="Picture 18"/>
            <wp:cNvGraphicFramePr>
              <a:graphicFrameLocks noChangeAspect="1"/>
            </wp:cNvGraphicFramePr>
            <a:graphic>
              <a:graphicData uri="http://schemas.openxmlformats.org/drawingml/2006/picture">
                <pic:pic>
                  <pic:nvPicPr>
                    <pic:cNvPr id="0" name="chart_13_operating_metrics_dashboard.png"/>
                    <pic:cNvPicPr/>
                  </pic:nvPicPr>
                  <pic:blipFill>
                    <a:blip r:embed="rId26"/>
                    <a:stretch>
                      <a:fillRect/>
                    </a:stretch>
                  </pic:blipFill>
                  <pic:spPr>
                    <a:xfrm>
                      <a:off x="0" y="0"/>
                      <a:ext cx="5669280" cy="3691866"/>
                    </a:xfrm>
                    <a:prstGeom prst="rect"/>
                  </pic:spPr>
                </pic:pic>
              </a:graphicData>
            </a:graphic>
          </wp:inline>
        </w:drawing>
      </w:r>
    </w:p>
    <w:p>
      <w:pPr>
        <w:spacing w:after="200"/>
      </w:pPr>
      <w:r>
        <w:rPr>
          <w:rFonts w:ascii="맑은 고딕" w:hAnsi="맑은 고딕" w:eastAsia="맑은 고딕"/>
          <w:i/>
          <w:color w:val="595959"/>
          <w:sz w:val="16"/>
        </w:rPr>
        <w:t>그림 13 — 운영지표 대시보드. 자료: 모델.</w:t>
      </w:r>
    </w:p>
    <w:p>
      <w:pPr>
        <w:spacing w:before="160" w:after="80"/>
      </w:pPr>
      <w:r>
        <w:rPr>
          <w:rFonts w:ascii="맑은 고딕" w:hAnsi="맑은 고딕" w:eastAsia="맑은 고딕"/>
          <w:b/>
          <w:color w:val="1A1A1A"/>
          <w:sz w:val="25"/>
        </w:rPr>
        <w:t>추정 가정</w:t>
      </w:r>
    </w:p>
    <w:p>
      <w:pPr>
        <w:spacing w:after="140"/>
      </w:pPr>
      <w:r>
        <w:rPr>
          <w:rFonts w:ascii="맑은 고딕" w:hAnsi="맑은 고딕" w:eastAsia="맑은 고딕"/>
          <w:i w:val="0"/>
          <w:sz w:val="21"/>
        </w:rPr>
        <w:t>당사의 향후 추정 모델은 매출액이 FY2026 $215,938M에서 FY2027E $370,576M(+72%), FY2028E $494,500M(+33%), FY2029E $599,951M(+21%), FY2030E $688,103M(+15%), FY2031E $769,473M(+12%)으로 성장하여, 기본 시나리오 기준 5년 CAGR 약 29%를 기록할 것으로 전망한다. 이 궤적은 의도적으로 둔화 곡선의 형태를 취하는데, 보고된 FY2027 1분기 실적 및 2분기 가이던스에 연동된 성장률에서 출발하여, 대수(大數)의 법칙과 점진적인 점유율 정상화가 작용함에 따라 매년 단계적으로 하락한다. FY2027E 수치는 낙관적 가정에 근거한 추정치가 아니라, FY2027 1분기 Data Center 실적 $75.2B에 전사 매출 약 $91B를 시사하는 2분기 가이던스를 더하여 산출된 것이며, 이는 연간 수치가 단순히 연장하는 런레이트를 설정한다. 이후 각 연도의 성장률은 직전 연도보다 낮은데, 이는 AI 인프라 실리콘 및 시스템 TAM의 약 60~70%를 점유한 상태에서 NVIDIA의 성장은 시장 성장률로 수렴할 수밖에 없다는 당사의 견해를 반영한다. 이미 자사 목표 시장의 대부분을 확보한 기업은 해당 시장을 무한정 상회하여 성장할 수 없으며, 따라서 FY2027E 이후에는 점유율 확대가 아닌 점유율 유지가 지배적 변수가 된다. 당사는 이 모델을 TAM 추정치에서 하향식으로 구성하기보다 사업부문별로 상향식으로 구축하였는데, 이는 압도적으로 Data Center 중심인 부문 믹스가 성장률과 마진 구조를 모두 결정하기 때문이다. 이러한 합계를 산출하는 부문별, 지역별, 마진 가정은 각각 특정 정량화 동인에 연동되어 아래에서 상세히 기술하며, 어떤 가정이 보고된 데이터의 외삽이 아닌 진정한 판단에 근거한 것인지를 전반에 걸쳐 명시한다.</w:t>
      </w:r>
    </w:p>
    <w:p>
      <w:pPr>
        <w:spacing w:after="140"/>
      </w:pPr>
      <w:r>
        <w:rPr>
          <w:rFonts w:ascii="맑은 고딕" w:hAnsi="맑은 고딕" w:eastAsia="맑은 고딕"/>
          <w:i w:val="0"/>
          <w:sz w:val="21"/>
        </w:rPr>
        <w:t>Data Center는 성장 엔진이자 변동 요인으로, 당사는 이를 FY2026 $193,737M에서 FY2031E $731,547M으로 모델링하며, 매출 비중을 약 90% 수준으로 유지하고 추정 기간 전반에 걸쳐 소폭 상승하는 것으로 본다. 이 추정치는 여러 정량화된 근거에 기반한다. 첫째, FY2027E Data Center 성장률 +78%는 FY2027 1분기 실적 $75.2B에 전사 매출 약 $91B를 시사하는 2분기 가이던스를 더한 값에 연동되며, 이는 해당 부문이 이월하는 런레이트이다. 둘째, 연 1회의 아키텍처 주기(현재 Blackwell/Blackwell Ultra, 2026년 하반기 출하 예정인 Vera Rubin, 2027년 Kyber 144-GPU 랙 기반의 Rubin Ultra)는 세대당 달러당 성능을 약 10배씩 재설정하며, 당사는 이것이 매출을 잠식하기보다 가격과 유닛 수요를 방어한다고 가정한다. 셋째, 랙 규모 시스템으로의 전환(랙당 시장 추정 약 $3M 이상의 NVL72)은 배치당 콘텐츠를 확대하고 각 판매에 CPU, 네트워킹, 소프트웨어 부착 매출을 견인한다. 넷째, FY2027 1분기 분기 런레이트 $14.8B(+199% y/y)에 이른 네트워킹은 제2의 Data Center 엔진이자 해자로서 성장하는데, 경쟁 가속기는 여전히 NVIDIA 수준의 패브릭을 넘어서야 하기 때문이다. 다섯째, 수요는 2026년 하이퍼스케일러 capex 약 $725B(+77% y/y)와 국가 주도 프로그램에 의해 뒷받침된다. 여섯째, 경영진이 공개한 2027년까지 누적 약 $1조 규모의 Blackwell/Rubin 수주 가시성은 백로그 완충 역할을 제공한다. 일곱째, 당사 모델은 ASIC이 표준화된 추론(inference)을 잠식함에 따라 NVIDIA의 가속기 가치 점유율이 추정 기간 후반부에 걸쳐 약 85~90%에서 약 70~75%로 하락한다고 가정하며, 이는 여덟째, NVIDIA가 랙 전체를 판매함에 따른 시스템당 지갑 점유율 상승으로 상쇄된다. 아홉째, 국가 주도 AI 수요(Stargate UAE 5 GW, 일본, 유럽)는 미국 하이퍼스케일러 예산에서 벗어나 기반을 다변화한다. 열째, 당사는 현행 가이던스에 부합하도록 추정 기간 전반에 걸쳐 중국 Data Center 컴퓨팅 매출을 제로로 가정하며, 이에 따라 약 $50B의 봉쇄된 시장은 모델에 반영된 기여분이 아닌 순수한 옵션 가치로 남겨둔다.</w:t>
      </w:r>
    </w:p>
    <w:p>
      <w:pPr>
        <w:spacing w:after="140"/>
      </w:pPr>
      <w:r>
        <w:rPr>
          <w:rFonts w:ascii="맑은 고딕" w:hAnsi="맑은 고딕" w:eastAsia="맑은 고딕"/>
          <w:i w:val="0"/>
          <w:sz w:val="21"/>
        </w:rPr>
        <w:t>Gaming은 FY2026 $16,042M에서 FY2031E $22,677M으로 완만하게 성장하는 것으로 모델링하며, 이 중저 한 자릿수 CAGR은 해당 부문을 성장 동력이 아닌 성숙한 경기 순환형 사업으로 취급한다. 단기 지지 요인은 RTX 50 시리즈(Blackwell 아키텍처) 교체 주기로, 이는 FY2026에 +41% 성장을 견인하였으나, 당사는 해당 주기가 정상화되고 Gaming이 유닛 가속의 원천이라기보다 점차 로컬 AI PC의 설치 기반 역할을 겸하게 된다고 가정한다. FY2031E 기준 매출의 약 3% 수준으로 Gaming은 밸류에이션에 유의미하지 않으며, 모델 내에서의 역할은 AI capex 사이클과 상관관계가 없어 Data Center 집중도에 대한 완만한 다변화 요소가 되는 안정적이고 고마진의 현금 기반을 제공하는 데 있다.</w:t>
      </w:r>
    </w:p>
    <w:p>
      <w:pPr>
        <w:spacing w:after="140"/>
      </w:pPr>
      <w:r>
        <w:rPr>
          <w:rFonts w:ascii="맑은 고딕" w:hAnsi="맑은 고딕" w:eastAsia="맑은 고딕"/>
          <w:i w:val="0"/>
          <w:sz w:val="21"/>
        </w:rPr>
        <w:t>Professional Visualization은 FY2026 $3,191M에서 FY2031E $5,224M으로 모델링하며, RTX 워크스테이션 교체와 산업용 디지털 트윈을 위한 Omniverse의 점진적 기업 채택에 힘입은 견조한 고 한 자릿수 궤적을 나타낸다. 해당 부문은 작은 기반에서 FY2026에 70% 성장하였으나, 당사는 이 성장률을 외삽하지 않으며, 대신 디지털 트윈 및 설계/엔지니어링 활용 사례가 AI 훈련의 폭발적 수요 역학 없이 꾸준히 확장된다고 가정한다. Pro Viz는 추정 기간 전반에 걸쳐 매출의 1% 미만을 유지하며, Gaming과 마찬가지로 밸류에이션 동인이라기보다 플랫폼의 폭넓음을 입증하는 근거로서 더 큰 의미를 갖는다.</w:t>
      </w:r>
    </w:p>
    <w:p>
      <w:pPr>
        <w:spacing w:after="140"/>
      </w:pPr>
      <w:r>
        <w:rPr>
          <w:rFonts w:ascii="맑은 고딕" w:hAnsi="맑은 고딕" w:eastAsia="맑은 고딕"/>
          <w:i w:val="0"/>
          <w:sz w:val="21"/>
        </w:rPr>
        <w:t>Automotive &amp; Robotics는 보고되는 부문 중 규모가 가장 작지만 백분율 기준 성장률은 가장 높으며, FY2026 $2,349M에서 FY2031E $9,166M으로 모델링하여 5년간 약 4배에 가까운 증가를 나타낸다. 동인은 Toyota, Mercedes-Benz, 중국 EV 제조사 등 파트너 전반에 걸친 DRIVE AGX Thor 자율주행 컴퓨터의 초기 양산 램프업과, 경영진이 장기 옵션 가치로 가장 적극적으로 내세우는 '피지컬 AI(physical AI)' 기회를 겨냥한 Jetson 및 IGX 로보틱스 플랫폼이다. 당사는 이를 진정한 성장 벡터로 모델링하되 절제된 관점을 유지하는데, FY2031E $9,166M 기준으로도 Automotive &amp; Robotics는 매출의 약 1.2%에 불과하여, 밸류에이션을 유의미하게 움직이지 않으면서 성장 스토리에 질감을 더한다. 이 부문의 중요성은 옵션 가치에 있으며, 만약 피지컬 AI가 Data Center AI가 그러했던 방식으로 변곡을 일으킨다면 기본 시나리오는 보수적이었던 것으로 판명될 것이다.</w:t>
      </w:r>
    </w:p>
    <w:p>
      <w:pPr>
        <w:spacing w:after="140"/>
      </w:pPr>
      <w:r>
        <w:rPr>
          <w:rFonts w:ascii="맑은 고딕" w:hAnsi="맑은 고딕" w:eastAsia="맑은 고딕"/>
          <w:i w:val="0"/>
          <w:sz w:val="21"/>
        </w:rPr>
        <w:t>OEM &amp; Other는 잔여 항목으로, FY2026 $619M에서 FY2031E $860M으로 대체로 횡보하는 것으로 모델링한다. 이는 모델 내에서 전략적 비중이 없는 임베디드 및 OEM 매출로 구성되며 완전성을 위해서만 포함된다. 매출의 0.2%를 크게 하회하는 수준으로 밸류에이션에 영향을 미치지 않으며, 당사는 이에 대해 어떠한 무리한 가정도 하지 않는다.</w:t>
      </w:r>
    </w:p>
    <w:p>
      <w:pPr>
        <w:spacing w:after="140"/>
      </w:pPr>
      <w:r>
        <w:rPr>
          <w:rFonts w:ascii="맑은 고딕" w:hAnsi="맑은 고딕" w:eastAsia="맑은 고딕"/>
          <w:i w:val="0"/>
          <w:sz w:val="21"/>
        </w:rPr>
        <w:t>지역별로 보면, 모델은 고객사 본사 소재지를 기준으로 보고되지만 궁극적으로는 상이한 최종 고객 지형을 담당하는 수요 기반을 반영한다. 미국은 매출의 약 3분의 2(FY2026 기준 약 69%, 약 $149.6B)를 차지하는 최대 보고 지역이며, 대만은 약 20%(약 $42.4B)로 두 번째로 크다. 다만 대만 수치는 주로 ODM 및 시스템 통합업체 청구를 반영하며, 경영진은 대만 본사 소재 고객사에 청구된 Data Center 매출의 약 76%가 궁극적으로 미국 및 유럽의 최종 고객을 담당하는 것으로 추정한다. 따라서 당사는 미국 및 유럽의 최종 수요를 예측의 진정한 앵커로 모델링하며, 이는 하이퍼스케일러 capex와 함께 성장한다. 중국은 FY2026 10-K의 '사실상 봉쇄됨(effectively foreclosed)' 표현에 부합하도록 추정 기간 전반에 걸쳐 Data Center 컴퓨팅 매출을 제로로 모델링하여, 약 $50B의 시장을 모델에 반영되지 않은 상방 옵션 가치로 전환한다. 나머지 APAC 및 중동 기여분은 UAE, 일본, 광범위한 걸프 지역의 국가 주도 AI 프로그램에 힘입어 가장 빠르게 성장하는 지역 벡터로 모델링하며, 당사는 이것이 미국 하이퍼스케일러 예산의 어떠한 둔화도 부분적으로 상쇄한다고 가정한다. 이 지역 믹스는 다변화의 원천이자 FX/정책 리스크의 원천이기도 한데, 현지 예산에 대응하여 책정된 국가 거래는 유가 및 재정 사이클에 민감하며, 강달러는 해외 실효 가격을 상승시킨다. 또한 당사는 보고 기준과 최종 수요 간의 구분이 분기 실적 해석에 중요하다는 점을 명시한다. 대만 본사 소재 청구의 변동은 실제로는 ODM 라우팅에 불과할 때에도 지역 믹스 변화처럼 보일 수 있으므로, 당사는 보고된 청구 지역이 아닌 기저의 미국/유럽 최종 수요를 모델링하며, 어떠한 중국 기여분도 완만한 램프업이 아닌 특정 정책 승인 시에만 도래하는 개별적 계단식 상방으로 취급한다.</w:t>
      </w:r>
    </w:p>
    <w:p>
      <w:pPr>
        <w:spacing w:after="140"/>
      </w:pPr>
      <w:r>
        <w:rPr>
          <w:rFonts w:ascii="맑은 고딕" w:hAnsi="맑은 고딕" w:eastAsia="맑은 고딕"/>
          <w:i w:val="0"/>
          <w:sz w:val="21"/>
        </w:rPr>
        <w:t>총이익률 브리지는 FY2026 71.1%에서 출발하여 FY2027E 및 FY2028E에 73.5%로 단계적으로 상승한 후, FY2029E 73.0%, FY2030E 72.5%, FY2031E 72.0%로 점진적으로 완화된다. 73.5%로의 단기 확대는 세 가지 요인을 반영한다. 즉, 고부가가치 랙 규모 시스템 및 소프트웨어로의 지속적인 믹스 전환, Blackwell 및 Rubin 램프업의 수율 및 원가 성숙, 그리고 경쟁사가 가격을 잠식할 수 있는 속도보다 빠르게 세대마다 가격 대비 성능을 재설정하는 NVIDIA의 역량이다. 이후의 점진적 완화, 즉 정점에서 FY2031E까지 통제된 약 150bp의 하락은 당사가 의도적으로 반영한 상쇄 압력을 반영한다. 이는 HBM 및 첨단 패키징 투입 원가 상승('memflation'), AMD MI450과 같은 신뢰할 만한 제2 공급원의 약 20~30% 할인 램프업, 그리고 가장 원가 민감한 추론 워크로드의 ASIC 이전이다. 당사는 시스템 및 소프트웨어 믹스와 연 1회 주기가 실질적 방어력을 제공하므로 마진 붕괴를 모델링하지 않으나, FY2026 GAAP 정점을 외삽하지도 않는다. 70%대 초반의 안정 상태는 모델에서 가장 중요한 단일 마진 판단이자, 이것이 무너질 경우 핵심 SELL 트리거가 된다.</w:t>
      </w:r>
    </w:p>
    <w:p>
      <w:pPr>
        <w:spacing w:after="140"/>
      </w:pPr>
      <w:r>
        <w:rPr>
          <w:rFonts w:ascii="맑은 고딕" w:hAnsi="맑은 고딕" w:eastAsia="맑은 고딕"/>
          <w:i w:val="0"/>
          <w:sz w:val="21"/>
        </w:rPr>
        <w:t>영업비용은 절대 지출이 증가하더라도 지속적인 영업 레버리지를 창출하는 것으로 모델링한다. 연구개발비는 추정 기간 전반에 걸쳐 매출의 약 11.5~13.0% 수준으로, 연 1회의 아키텍처 주기와 해자를 구성하는 CPU, 네트워킹, 소프트웨어 로드맵을 뒷받침할 만큼 절대 금액이 충분히 높되, 빠르게 성장하는 매출 기반에 대한 비율로는 하락한다. SG&amp;A는 매출의 약 3.0~3.5% 수준으로 모델링하며, 이는 ODM 및 클라우드 채널로 보강된 비교적 소규모의 직접 영업 인력을 통해 멀티 기가와트급 인프라 프로그램을 판매하는 기업의 운영 규율을 반영한다. 이 조합은 FY2027E 약 61%에서 FY2031E 약 58%로 완화되는 EBITDA 마진 경로를 만들어내며, 이는 매출 둔화 곡선을 FY2027E $7.66에서 FY2031E $15.7로 상승하는 EPS 궤적으로 전환하는 영업 레버리지 엔진이다. 당사는 인수 또는 전략적 전환에 따른 opex 강도의 급변을 가정하지 않으며, Groq 라이선스 계약과 OpenAI/Anthropic/Intel 투자는 손익계산서 동인이 아닌 재무상태표 항목으로 취급한다.</w:t>
      </w:r>
    </w:p>
    <w:p>
      <w:pPr>
        <w:spacing w:after="140"/>
      </w:pPr>
      <w:r>
        <w:rPr>
          <w:rFonts w:ascii="맑은 고딕" w:hAnsi="맑은 고딕" w:eastAsia="맑은 고딕"/>
          <w:i w:val="0"/>
          <w:sz w:val="21"/>
        </w:rPr>
        <w:t>자본적 지출은 추정 기간 전반에 걸쳐 매출의 약 3.0~3.5% 수준으로 모델링하며, 이는 TSMC, HBM 공급사, ODM 생태계가 제조의 자본 집약도를 담당하는 팹리스 모델에 부합한다. 이것이 잉여현금흐름이 그토록 강력하게 확대되는 구조적 이유이다. 즉, FY2031E까지 $769,473M으로 성장하는 매출은 한 자릿수 백분율의 재투자만을 요구하므로, 증분 매출이 높은 비율로 현금으로 전환되며, 재무상태표는 순현금을 소진하기보다 축적한다. 잉여현금흐름은 FY2026 $96,669M에서 FY2027E $172,042M, FY2028E $239,327M, FY2029E $293,062M, FY2030E $337,192M, FY2031E $376,254M으로 상승하는 것으로 모델링하며, 이는 5개 예측 연도에 걸쳐 누적 약 $1.4조의 잉여현금흐름으로서 주주가치를 뒷받침하는 가장 강력한 단일 근거이자, 터미널 밸류 비중이 높은 DCF조차도 방어 가능한 $157의 하한선을 산출하는 이유이다. 유일한 자본 집약도상의 유의점은 부외(off-balance-sheet) 항목으로, 약 $155B의 구매 및 클라우드 약정은 경쟁사 공급을 선점하지만 NVIDIA를 수요 충격 상각에 노출시키는 형태의 확정 지출을 나타내며, 당사는 이를 모델에 반영된 비용이 아닌 FCF 경로에 대한 리스크로 취급한다. 당사는 NVIDIA의 전략적 투자(OpenAI 최대 $100B, Anthropic 최대 $10B, Intel 지분, 약 $20B Groq 계약)가 모델에 반영된 수익을 창출한다고 가정하지 않으며, 이들은 재무상태표 배치로, 그리고 Bear 시나리오에서는 성장 항목이 아닌 손상차손 리스크로 취급한다.</w:t>
      </w:r>
    </w:p>
    <w:p>
      <w:pPr>
        <w:spacing w:after="140"/>
      </w:pPr>
      <w:r>
        <w:rPr>
          <w:rFonts w:ascii="맑은 고딕" w:hAnsi="맑은 고딕" w:eastAsia="맑은 고딕"/>
          <w:i w:val="0"/>
          <w:sz w:val="21"/>
        </w:rPr>
        <w:t>운전자본은 공급 제약이 있는 수주 잔고를 담당하기 위해 재고와 매출채권을 축적하는 기업에 부합하도록 성장 국면 동안 완만한 현금 유출로 모델링하며, 이후 추정 기간 후반부에 성장이 둔화됨에 따라 정상화된다. 당사는 공격적인 운전자본 방출을 모델링하지 않는데, 약 $119B의 공급 약정과 연 1회 주기에 대비한 전략적 재고 보유 필요성이 높은 재고 수준을 뒷받침하기 때문이다. 그 순효과는 위의 잉여현금흐름 수치에 반영되어 있으며, 당사는 수요 변곡이 재고를 동시에 팽창시키고 2025년 H20 사례에서 나타난 유형의 상각을 촉발하여, 운전자본을 완만한 항목이라기보다 주시해야 할 선행 지표로 만든다는 점을 명시한다.</w:t>
      </w:r>
    </w:p>
    <w:p>
      <w:pPr>
        <w:spacing w:after="140"/>
      </w:pPr>
      <w:r>
        <w:rPr>
          <w:rFonts w:ascii="맑은 고딕" w:hAnsi="맑은 고딕" w:eastAsia="맑은 고딕"/>
          <w:i w:val="0"/>
          <w:sz w:val="21"/>
        </w:rPr>
        <w:t>세율은 NVIDIA의 최근 실효세율과 IP 및 제조 기반에 부합하도록 추정 기간 전반에 걸쳐 16%로 모델링한다. 당사는 세제 정책 변화에 따른 유의미한 변동을 가정하지 않으나, 2025년 H20 협정의 15% 중국 매출 분배 선례를 정책이 특정 매출 흐름에 준(準)조세 부담을 발생시킬 수 있는 사례로 언급한다. 당사는 중국 Data Center 컴퓨팅 매출을 제로로 모델링하므로 해당 선례는 기본 시나리오에 영향을 미치지 않는다. 순자사주 매입은 희석 주식 수를 연 약 1.2% 감소시키는 것으로 가정하며, 이는 FY2026에 주주에게 환원된 $41.1B에 더하여 $80B의 추가 자사주 매입 승인으로 뒷받침되는 꾸준한 EPS 순풍이다. 16% 세율, 연 약 1.2%의 주식 수 감소, 그리고 영업 레버리지 경로가 함께 작용하여 FY2026 $4.90, FY2027E $7.66, FY2028E $10.2, FY2029E $12.3, FY2030E $14.0, FY2031E $15.7의 희석 EPS 궤적을 산출하며, 이는 DCF와 comps 밸류에이션 모두의 앵커가 된다.</w:t>
      </w:r>
    </w:p>
    <w:p>
      <w:pPr>
        <w:spacing w:after="140"/>
      </w:pPr>
      <w:r>
        <w:rPr>
          <w:rFonts w:ascii="맑은 고딕" w:hAnsi="맑은 고딕" w:eastAsia="맑은 고딕"/>
          <w:i w:val="0"/>
          <w:sz w:val="21"/>
        </w:rPr>
        <w:t>각 요소를 종합하면, 모델의 내부 논리는 다음과 같이 전개된다. 즉, 거의 전적으로 Data Center의 $193,737M에서 $731,547M으로의 경로에 의해 견인되는 둔화 매출 곡선(약 29% CAGR), 73.5%의 정점으로 확대된 후 72.0%로 완화되는 총이익률 브리지, 매출의 11.5~13.0%인 R&amp;D 기반과 3.0~3.5%인 SG&amp;A에 대한 영업 레버리지, 16% 세율, 그리고 연 약 1.2%의 주식 수 감소가 함께 작용하여 EPS를 $4.90에서 $15.7로 약 3배로 만들고 잉여현금흐름을 $96,669M에서 $376,254M으로 확대한다. 가장 결정적인 단일 가정은 Data Center 성장률과 총이익률 경로 간의 상호작용인데, 이 두 변수가 함께 모델 산출물의 약 90%를 결정하기 때문이다. 지속 가능한 Data Center 성장률의 500bp 오차 또는 안정 상태 총이익률의 200bp 오차는 다른 어떤 입력값보다 밸류에이션을 크게 움직인다. 당사는 부문 및 마진 가정을 보고된 FY2027 1분기 데이터와 공개된 수주 잔고에 근거한 합리적 중심 추정치로 간주하나, FY2027E 이후 모델의 정밀도는 착시에 불과하다는 점을 강조한다. 즉, 그 이후 연도는 유의미한 신뢰구간을 갖는 예측이 아닌 시나리오 앵커이며, 이것이 바로 당사가 모델의 점 추정치에만 의존하기보다 내재적 방법과 상대적 방법을 혼합하여 밸류에이션하는 이유이다.</w:t>
      </w:r>
    </w:p>
    <w:p>
      <w:pPr>
        <w:jc w:val="center"/>
      </w:pPr>
      <w:r>
        <w:drawing>
          <wp:inline xmlns:a="http://schemas.openxmlformats.org/drawingml/2006/main" xmlns:pic="http://schemas.openxmlformats.org/drawingml/2006/picture">
            <wp:extent cx="5120640" cy="2651392"/>
            <wp:docPr id="19" name="Picture 19"/>
            <wp:cNvGraphicFramePr>
              <a:graphicFrameLocks noChangeAspect="1"/>
            </wp:cNvGraphicFramePr>
            <a:graphic>
              <a:graphicData uri="http://schemas.openxmlformats.org/drawingml/2006/picture">
                <pic:pic>
                  <pic:nvPicPr>
                    <pic:cNvPr id="0" name="chart_20_eps_progression.png"/>
                    <pic:cNvPicPr/>
                  </pic:nvPicPr>
                  <pic:blipFill>
                    <a:blip r:embed="rId27"/>
                    <a:stretch>
                      <a:fillRect/>
                    </a:stretch>
                  </pic:blipFill>
                  <pic:spPr>
                    <a:xfrm>
                      <a:off x="0" y="0"/>
                      <a:ext cx="5120640" cy="2651392"/>
                    </a:xfrm>
                    <a:prstGeom prst="rect"/>
                  </pic:spPr>
                </pic:pic>
              </a:graphicData>
            </a:graphic>
          </wp:inline>
        </w:drawing>
      </w:r>
    </w:p>
    <w:p>
      <w:pPr>
        <w:spacing w:after="200"/>
      </w:pPr>
      <w:r>
        <w:rPr>
          <w:rFonts w:ascii="맑은 고딕" w:hAnsi="맑은 고딕" w:eastAsia="맑은 고딕"/>
          <w:i/>
          <w:color w:val="595959"/>
          <w:sz w:val="16"/>
        </w:rPr>
        <w:t>그림 20 — 희석 EPS 추이. 자료: 모델.</w:t>
      </w:r>
    </w:p>
    <w:p>
      <w:pPr>
        <w:spacing w:before="160" w:after="80"/>
      </w:pPr>
      <w:r>
        <w:rPr>
          <w:rFonts w:ascii="맑은 고딕" w:hAnsi="맑은 고딕" w:eastAsia="맑은 고딕"/>
          <w:b/>
          <w:color w:val="1A1A1A"/>
          <w:sz w:val="25"/>
        </w:rPr>
        <w:t>시나리오 분석</w:t>
      </w:r>
    </w:p>
    <w:p>
      <w:pPr>
        <w:spacing w:after="140"/>
      </w:pPr>
      <w:r>
        <w:rPr>
          <w:rFonts w:ascii="맑은 고딕" w:hAnsi="맑은 고딕" w:eastAsia="맑은 고딕"/>
          <w:i w:val="0"/>
          <w:sz w:val="21"/>
        </w:rPr>
        <w:t>당사는 향후 전망을 낙관(Bull)·기본(Base)·비관(Bear)의 세 가지 시나리오로 구성하며, 각각 25%, 55%, 20%의 확률을 부여한다. 각 시나리오는 NVIDIA의 밸류에이션을 좌우하는 두 가지 변수, 즉 매출을 견인하는 AI 설비투자(capex) 사이클의 지속성과 시장이 해당 매출에 적용하는 할인율에서 주로 차이를 보인다. 당사 DCF 기업가치의 75.7%가 잔존가치(terminal value)에 놓여 있는 만큼, 지속가능 성장률 또는 WACC의 작은 변화만으로도 내재가치가 크게 요동치며, 아래의 시나리오별 도달점은 이러한 민감도를 반영한다. 세 시나리오는 모두 동일한 단기 기준점, 즉 FY2027 1분기 실적 $81.6B와 2분기 가이던스 $91B를 공유하되, 성장률과 점유율의 작은 연간 격차가 복리로 누적되면서 5년 기간에 걸쳐 점진적으로 발산한다. 당사가 강조하고자 하는 점은, 이 시나리오들이 동일한 예측치의 단순한 낙관·비관 버전이 아니라 AI 설비투자 지속성에 대해 근본적으로 상이한 세계 상태(states of the world)를 표상한다는 것이며, 확률 가중치는 기본 경로가 가장 유력하되 양측 꼬리(tail)가 두껍고 대체로 균형을 이룬다는 당사의 판단을 반영한다. 분포의 폭 자체가 시사하는 바가 크다. 대다수 초대형주의 경우 3개 시나리오 스프레드가 수익률 기준 약 40%포인트에 걸치는 반면, NVIDIA는 약 90%포인트(−45%에서 +45%)에 이르는데, 이는 잔존가치 비중이 큰 내재가치 평가가 반도체 역사상 양방향으로 과잉 반응해 온 설비투자 사이클에 연동된 수요 기반 위에 겹쳐진 데 따른 직접적 결과다. 어떤 단일 목표치보다도 이 폭이야말로 당사가 방향성 베팅보다 절제된 진입을 전제로 한 중립(HOLD)을 선호하는 이유다.</w:t>
      </w:r>
    </w:p>
    <w:p>
      <w:pPr>
        <w:spacing w:after="140"/>
      </w:pPr>
      <w:r>
        <w:rPr>
          <w:rFonts w:ascii="맑은 고딕" w:hAnsi="맑은 고딕" w:eastAsia="맑은 고딕"/>
          <w:i w:val="0"/>
          <w:sz w:val="21"/>
        </w:rPr>
        <w:t>낙관(Bull) 시나리오(확률 25%)는 AI 설비투자 슈퍼사이클이 견고하게 지속되며 저변을 넓혀 매출이 5년 CAGR 약 32%, FY2031E 기준 약 $865B에 이르고 EPS가 약 $22로 기본 시나리오의 $15.7 대비 약 40% 상회하는 것을 전제로 한다. 운용 전제는 다음과 같다. 하이퍼스케일러 설비투자가 2026년 약 $725B 수준을 넘어 FY2028~29까지 소화 국면 없이 지속·성장하며 Goldman이 FY2030까지 전망하는 누적 빅4 설비투자 약 $5.3조 궤적을 입증하고, 소버린 AI 프로그램(Stargate UAE 5 GW, 일본, 유럽, 걸프)이 기업 ROI 논쟁으로부터 구조적으로 격리된 수백억 달러 규모의 비하이퍼스케일러 증분 수요로 전환되며, Rubin이 주장하는 약 10배의 추론 토큰 비용 절감과 약 $20B 규모의 Groq LPU 인수가 ASIC 이전을 둔화시켜 NVIDIA가 약 70~90% 밴드 상단에 가까운 가속기 가치 점유율을 방어하고, 매출총이익률이 72.0%로 완화되기보다 73.5% 정점 부근에서 유지되며, 피지컬 AI(자동차/로보틱스)가 모델에 반영된 FY2031E 자동차 매출 $9,166M을 넘어 진정한 제3의 성장축으로 변곡을 시작하는 것이다. 이 세계에서는 약 $1조 규모의 Blackwell/Rubin 수주잔고가 상한이 아닌 하한(floor)으로 판명되며, Kyber 랙 전체를 판매함으로써 얻는 NVIDIA의 지갑 점유율(wallet share) 확대가 커스텀 실리콘으로의 물량 점유율 잠식을 상회한다.</w:t>
      </w:r>
    </w:p>
    <w:p>
      <w:pPr>
        <w:spacing w:after="140"/>
      </w:pPr>
      <w:r>
        <w:rPr>
          <w:rFonts w:ascii="맑은 고딕" w:hAnsi="맑은 고딕" w:eastAsia="맑은 고딕"/>
          <w:i w:val="0"/>
          <w:sz w:val="21"/>
        </w:rPr>
        <w:t>낙관 경로를 시사하는 촉매는 구체적이고 근시일 내에 확인 가능하다. FY2027 2분기 가이던스 및 그 이후에 대한 연속적 실적 상회, 약 $1조 규모 Blackwell/Rubin 수주잔고의 명시적 상향, 발표된 소버린 기가와트 물량의 확정 수주 전환 지속, 그리고 현재 제로로 반영된 약 $50B 시장을 추가하는 B30/B30A 승인을 통한 중국 재개방이 그것이다. 결정적으로, 낙관 시나리오는 분자(numerator)만큼이나 할인율에 관한 것이기도 하다. 완화적 FOMC에 따른 낮은 무위험이자율과 AI 설비투자 리스크의 재평가에 따른 낮은 주식위험프리미엄을 매개로 한 약 9%로의 지속적 WACC 리레이팅은, 매출 예측치의 변화 없이도 그 자체만으로 내재가치를 현재 주가 수준까지 또는 그 이상으로 끌어올린다. 더 높은 FCF 궤적을 약 9% WACC 및 2.5~3.0% 잔존성장률과 결합하면 DCF는 당사 민감도 그리드의 약 $201 코너로 밀려 올라가며, 지속적으로 높은 피어 멀티플은 comps를 $271을 크게 상회하는 수준으로 견인한다. $260~300 범위의 블렌디드 낙관 밸류에이션이 달성 가능하며, 이는 +25%에서 +45%를 시사한다. 이는 오늘의 중립(HOLD)이 돌이켜 보면 지나치게 신중했던 것으로 드러나는 시나리오이며, 그 25% 가중치야말로 당사가 이 정도 품질의 프랜차이즈를 매도(SELL)하기보다 보유하는 주된 이유다.</w:t>
      </w:r>
    </w:p>
    <w:p>
      <w:pPr>
        <w:spacing w:after="140"/>
      </w:pPr>
      <w:r>
        <w:rPr>
          <w:rFonts w:ascii="맑은 고딕" w:hAnsi="맑은 고딕" w:eastAsia="맑은 고딕"/>
          <w:i w:val="0"/>
          <w:sz w:val="21"/>
        </w:rPr>
        <w:t>기본(Base) 시나리오(확률 55%)는 당사 추정에 상술된 감속(deceleration) 곡선이다. 매출은 FY2026 $215,938M에서 FY2031E $769,473M까지 약 29% 복리로 성장하고, EPS는 $15.7로 상승하며, 매출총이익률은 73.5%에서 72.0%로 완화되고, 잉여현금흐름은 $376,254M에 이른다. 전제는 의도적으로 과감하지도 가혹하지도 않다. 하이퍼스케일러와 소버린 설비투자가 구축을 지속하되 성장률은 매년 단계적으로 하락하며(+72%, +33%, +21%, +15%, +12%), ASIC이 표준화된 추론을 잠식함에 따라 NVIDIA의 가속기 가치 점유율이 약 85~90%에서 약 70~75%로 하향 이동하되 랙당 지갑 점유율 상승으로 이를 상쇄하고, 중국은 봉쇄된 채 제로로 반영되며, WACC는 3.5% 잔존성장률과 함께 10.9%로 유지된다. 이 시나리오는 투자 논거를 규정하는 두 개의 상충하는 밸류에이션 신호를 산출한다. 즉, DCF는 $157(완벽하게 가격에 반영됨, −24.5%)이고 comps는 $271(고평가된 피어 대비 저렴함, +30%)이며, 55/45로 블렌딩하여 $208 목표주가에 이른다. 기본 시나리오는 사실상 NVIDIA가 매우 우수하게 실행하더라도 시장이 이미 그 실행을 가격에 반영해 놓았기에 주가가 그럼에도 적정 가치라는 진술이다. 이것이 가장 유력한 경로인 이유는 정확히, 아무것도 무너질 필요가 없고 아무것도 놀랄 필요가 없으며 다만 검증된 프랜차이즈가 할인율이 현 수준 부근에 머무는 가운데 감속하는 속도로 계속 복리 성장하기만 하면 되기 때문이다. 당사가 과반인 55% 가중치를 부여하는 것은, 분자(약 $1조 수주잔고와 +77%의 2026년 설비투자)와 분모(테크 규범에 부합하는 10.9% WACC)가 모두 관측 가능한 현행 데이터에 근거하는 반면, 낙관과 비관 모두 아직 발생하지 않은 세계 상태의 변화를 요구하기 때문이다.</w:t>
      </w:r>
    </w:p>
    <w:p>
      <w:pPr>
        <w:spacing w:after="140"/>
      </w:pPr>
      <w:r>
        <w:rPr>
          <w:rFonts w:ascii="맑은 고딕" w:hAnsi="맑은 고딕" w:eastAsia="맑은 고딕"/>
          <w:i w:val="0"/>
          <w:sz w:val="21"/>
        </w:rPr>
        <w:t>비관(Bear) 시나리오(확률 20%)는 +77%의 2026년 급증 이후 AI 설비투자 사이클이 소화 국면에 접어들어 5년 매출 CAGR이 약 16%로, 매출이 FY2031E 기준 약 $454B로 하락하고 EPS가 약 $7.9로 기본 시나리오의 $15.7 대비 대략 절반에 그치는 것을 전제로 한다. 운용 전제는 전형적인 반도체 과잉투자 조정 국면을 묘사한다. AI 수익화가 지출된 약 $725B 대비 실망스러운 가운데 하이퍼스케일러 예산이 FY2027~28에 정체되거나 삭감되는데, 이는 AI에 귀속되는 매출이 연환산 인프라 지출 대비 여전히 한 자릿수 배수(order of magnitude) 낮은 수준에 머물기 때문이다. 상위 3개 고객(FY2027 1분기 매출의 54%, 각 21%/17%/16%) 가운데 주요 고객이 주문을 보류하거나 커스텀 ASIC으로 재배분하고, Google TPU·AWS Trainium·Broadcom 설계 가속기로의 추론 이전이 2026년 서버 출하량의 약 28%를 넘어 가속화되어 NVIDIA의 물량 점유율과 가격을 동시에 압박하며, AMD의 MI450 등 제2 공급원이 약 20~30% 할인으로 램프업하고 HBM 비용이 '메모리 인플레이션(memflation)' 하에서 상승함에 따라 매출총이익률이 70%대 초반 아래로 무너진다. 데이터센터가 매출의 약 90%를 차지하므로 데이터센터 감속을 완충할 만큼 큰 다른 세그먼트가 없으며(게이밍·프로 비주얼라이제이션·자동차 합산이 전체의 10% 미만), 따라서 설비투자 소화는 거의 전량이 연결 실적으로 전이된다.</w:t>
      </w:r>
    </w:p>
    <w:p>
      <w:pPr>
        <w:spacing w:after="140"/>
      </w:pPr>
      <w:r>
        <w:rPr>
          <w:rFonts w:ascii="맑은 고딕" w:hAnsi="맑은 고딕" w:eastAsia="맑은 고딕"/>
          <w:i w:val="0"/>
          <w:sz w:val="21"/>
        </w:rPr>
        <w:t>가장 위험한 비관 변형은 단순한 예산 보류가 아니라 AI 설비투자 신용 이벤트(credit event)다. 수요의 점증하는 부분이 부채로 조달되고(네오클라우드, Oracle, 모델 랩) 부분적으로는 NVIDIA에 의해 조달되기(OpenAI 최대 $100B, Anthropic 최대 $10B, CoreWeave 및 클라우드 백스톱, 여기에 약 $30B의 NVIDIA 클라우드 서비스 약정) 때문에, 주요 AI 차입자의 자금조달 실패는 주문을 삭감하고 NVIDIA의 투자를 손상시키며 광범위한 자금조달 사슬을 동시에 동결시킬 수 있다. 이것이 바로 BofA 펀드매니저 서베이 응답자의 48%가 최대 시스템 리스크로 지목한 순환적 자금조달(circular-financing) 꼬리 위험이다. 그러한 사태에서 약 $155B의 구매 및 클라우드 약정은 경쟁 무기에서 부채(liability)로 전환되어 $4.5B 규모의 H20 상각을 연상시키는 수십억 달러 규모의 재고 상각을 야기하며, 할인율 또한 분자에 불리하게 움직인다. 즉, 고금리 장기화 환경 또는 AI 심리 붕괴는 펀더멘털과 무관하게 멀티플을 하향 재평가한다. 약 16% CAGR, 압축된 마진, 12%를 향해 밀려 올라간 WACC를 적용한 비관 DCF는 당사 민감도 그리드의 $149 코너를 크게 하회하며, 하향 재평가된 피어 멀티플은 comps를 $271에서 급격히 끌어내린다. $110~140 범위의 블렌디드 비관 밸류에이션이 개연성 있으며, 이는 30~45%의 하방을 시사한다. 이것이 바로 프랜차이즈에 대해 내재가치를 상회하여 지불하지 않는 것을 정당화하는 시나리오이며, 그 20% 가중치야말로 당사가 상대가치 논거만으로 이 주식을 매수(BUY)로 평가하지 못하게 하는 요인이다.</w:t>
      </w:r>
    </w:p>
    <w:p>
      <w:pPr>
        <w:spacing w:after="140"/>
      </w:pPr>
      <w:r>
        <w:rPr>
          <w:rFonts w:ascii="맑은 고딕" w:hAnsi="맑은 고딕" w:eastAsia="맑은 고딕"/>
          <w:i w:val="0"/>
          <w:sz w:val="21"/>
        </w:rPr>
        <w:t>운용상, 각 시나리오는 도달점이 실현되기 전에 사후가 아닌 사전에 등급을 이행할 수 있게 해 주는 소수의 관측 가능한 신호로 구분된다. 분자 측면에서는 상위 3개 고객(FY2027 1분기 매출의 54%)의 순차적 주문 패턴 궤적, FY2027 예산이 편성됨에 따른 약 $725B 하이퍼스케일러 설비투자 가이던스의 방향성, 발표된 소버린 기가와트 물량의 확정 수주 전환율, 그리고 추론 이전의 대리지표로서 서버 출하량 중 ASIC 점유율(2026년 약 28%)을 추적한다. 분모 측면에서는 무위험이자율과 AI 종목에 대한 시장의 내재 주식위험프리미엄을 추적하는데, 두 변수 중 어느 하나의 움직임이 펀더멘털과 무관하게 DCF를 재평가하기 때문이다. 신호군(cluster)이 같은 방향으로 움직일 경우—예컨대 설비투자 가이던스가 상승하는 동시에 ASIC 점유율이 정체되고 무위험이자율이 하락하는 경우—당사를 낙관과 매수(BUY) 쪽으로 견인하며, 반대 방향의 신호군은 비관과 매도(SELL) 쪽으로 견인한다. 이것이 당사가 중립(HOLD)을 영구적 견해가 아닌 대기 자세(waiting posture)로 규정하는 이유다. 각 시나리오는 12개월 기간 내에 관측 가능한 데이터로 반증 가능(falsifiable)하도록 설계되었다.</w:t>
      </w:r>
    </w:p>
    <w:p>
      <w:pPr>
        <w:spacing w:after="140"/>
      </w:pPr>
      <w:r>
        <w:rPr>
          <w:rFonts w:ascii="맑은 고딕" w:hAnsi="맑은 고딕" w:eastAsia="맑은 고딕"/>
          <w:i w:val="0"/>
          <w:sz w:val="21"/>
        </w:rPr>
        <w:t>세 시나리오를 비교하면, 확률 가중 기준의 위험/보상은 대칭에 가까우며 이것이 중립(HOLD)의 정량적 토대다. 낙관 시나리오(25%)는 약 $260~300, 즉 +25%에서 +45%를 제시하고, 기본 시나리오(55%)는 $208로 사실상 보합이며, 비관 시나리오(20%)는 약 $110~140, 즉 −30%에서 −45%를 시사한다. 이 도달점들을 확률 가중하면 기대값은 현재 주가에 근접하는데, 지속적 슈퍼사이클과 WACC 리레이팅에서 비롯되는 상방은 실재하나 설비투자 소화 및 멀티플 하향 재평가에서 비롯되는 하방보다 더 유력하지는 않다. 대칭 속의 비대칭에 유의할 필요가 있다. 낙관과 비관의 EPS 도달점($22 대 $7.9)은 기본 시나리오의 $15.7을 거의 균등하게 감싸지만, 비관 시나리오는 멀티플과 분자를 동시에 압축할 수 있는 신용 이벤트라는 추가적 이산 위험(discrete risk)을 수반하며, 이것이 당사가 상대가치상의 저렴함만으로 매수(BUY)에 끌려가지 않는 이유다. 분포는 눈에 띄게 넓은데, 이는 잔존가치 비중이 큰 DCF(기업가치의 75.7%)와 설비투자 의존적 수요 기반을 반영하며, 이 지수 비중의 종목에 있어 포지션 규모 조절과 진입 규율이 평소보다 더욱 중요함을 의미한다. 각 시나리오는 또한 무엇을 주시해야 하는지를 정확히 식별한다. FY2027~28 설비투자 궤적이 분자 측면에서 낙관과 비관을 가르고, 무위험이자율과 주식위험프리미엄의 경로가 분모 측면에서 이 둘을 가른다. 이 두 변수 중 하나가 해소될 때까지—가장 임박하게는 2026-07-29 FOMC와 2026-08-26 2분기 실적 발표—균형 잡힌 분포는 어느 방향으로도 자본을 투입하기보다 보유하는 것을 뒷받침한다.</w:t>
      </w:r>
    </w:p>
    <w:tbl>
      <w:tblPr>
        <w:tblStyle w:val="LightGrid-Accent1"/>
        <w:tblW w:type="auto" w:w="0"/>
        <w:tblLayout w:type="autofit"/>
        <w:tblLook w:firstColumn="1" w:firstRow="1" w:lastColumn="0" w:lastRow="0" w:noHBand="0" w:noVBand="1" w:val="04A0"/>
      </w:tblPr>
      <w:tblGrid>
        <w:gridCol w:w="2484"/>
        <w:gridCol w:w="2484"/>
        <w:gridCol w:w="2484"/>
        <w:gridCol w:w="2484"/>
      </w:tblGrid>
      <w:tr>
        <w:tc>
          <w:tcPr>
            <w:tcW w:type="dxa" w:w="2484"/>
            <w:shd w:fill="1F3864"/>
          </w:tcPr>
          <w:p>
            <w:pPr>
              <w:spacing w:after="20" w:before="20"/>
              <w:jc w:val="left"/>
            </w:pPr>
            <w:r/>
            <w:r>
              <w:rPr>
                <w:rFonts w:ascii="맑은 고딕" w:hAnsi="맑은 고딕" w:eastAsia="맑은 고딕"/>
                <w:b/>
                <w:color w:val="FFFFFF"/>
                <w:sz w:val="17"/>
              </w:rPr>
              <w:t>지표 (FY2031E)</w:t>
            </w:r>
          </w:p>
        </w:tc>
        <w:tc>
          <w:tcPr>
            <w:tcW w:type="dxa" w:w="2484"/>
            <w:shd w:fill="1F3864"/>
          </w:tcPr>
          <w:p>
            <w:pPr>
              <w:spacing w:after="20" w:before="20"/>
              <w:jc w:val="right"/>
            </w:pPr>
            <w:r/>
            <w:r>
              <w:rPr>
                <w:rFonts w:ascii="맑은 고딕" w:hAnsi="맑은 고딕" w:eastAsia="맑은 고딕"/>
                <w:b/>
                <w:color w:val="FFFFFF"/>
                <w:sz w:val="17"/>
              </w:rPr>
              <w:t>비관(20%)</w:t>
            </w:r>
          </w:p>
        </w:tc>
        <w:tc>
          <w:tcPr>
            <w:tcW w:type="dxa" w:w="2484"/>
            <w:shd w:fill="1F3864"/>
          </w:tcPr>
          <w:p>
            <w:pPr>
              <w:spacing w:after="20" w:before="20"/>
              <w:jc w:val="right"/>
            </w:pPr>
            <w:r/>
            <w:r>
              <w:rPr>
                <w:rFonts w:ascii="맑은 고딕" w:hAnsi="맑은 고딕" w:eastAsia="맑은 고딕"/>
                <w:b/>
                <w:color w:val="FFFFFF"/>
                <w:sz w:val="17"/>
              </w:rPr>
              <w:t>기본(55%)</w:t>
            </w:r>
          </w:p>
        </w:tc>
        <w:tc>
          <w:tcPr>
            <w:tcW w:type="dxa" w:w="2484"/>
            <w:shd w:fill="1F3864"/>
          </w:tcPr>
          <w:p>
            <w:pPr>
              <w:spacing w:after="20" w:before="20"/>
              <w:jc w:val="right"/>
            </w:pPr>
            <w:r/>
            <w:r>
              <w:rPr>
                <w:rFonts w:ascii="맑은 고딕" w:hAnsi="맑은 고딕" w:eastAsia="맑은 고딕"/>
                <w:b/>
                <w:color w:val="FFFFFF"/>
                <w:sz w:val="17"/>
              </w:rPr>
              <w:t>낙관(25%)</w:t>
            </w:r>
          </w:p>
        </w:tc>
      </w:tr>
      <w:tr>
        <w:tc>
          <w:tcPr>
            <w:tcW w:type="dxa" w:w="2484"/>
          </w:tcPr>
          <w:p>
            <w:pPr>
              <w:spacing w:after="20" w:before="20"/>
              <w:jc w:val="left"/>
            </w:pPr>
            <w:r/>
            <w:r>
              <w:rPr>
                <w:rFonts w:ascii="맑은 고딕" w:hAnsi="맑은 고딕" w:eastAsia="맑은 고딕"/>
                <w:b w:val="0"/>
                <w:sz w:val="17"/>
              </w:rPr>
              <w:t>매출 CAGR (FY26-31)</w:t>
            </w:r>
          </w:p>
        </w:tc>
        <w:tc>
          <w:tcPr>
            <w:tcW w:type="dxa" w:w="2484"/>
          </w:tcPr>
          <w:p>
            <w:pPr>
              <w:spacing w:after="20" w:before="20"/>
              <w:jc w:val="right"/>
            </w:pPr>
            <w:r/>
            <w:r>
              <w:rPr>
                <w:rFonts w:ascii="맑은 고딕" w:hAnsi="맑은 고딕" w:eastAsia="맑은 고딕"/>
                <w:b w:val="0"/>
                <w:sz w:val="17"/>
              </w:rPr>
              <w:t>16%</w:t>
            </w:r>
          </w:p>
        </w:tc>
        <w:tc>
          <w:tcPr>
            <w:tcW w:type="dxa" w:w="2484"/>
          </w:tcPr>
          <w:p>
            <w:pPr>
              <w:spacing w:after="20" w:before="20"/>
              <w:jc w:val="right"/>
            </w:pPr>
            <w:r/>
            <w:r>
              <w:rPr>
                <w:rFonts w:ascii="맑은 고딕" w:hAnsi="맑은 고딕" w:eastAsia="맑은 고딕"/>
                <w:b w:val="0"/>
                <w:sz w:val="17"/>
              </w:rPr>
              <w:t>29%</w:t>
            </w:r>
          </w:p>
        </w:tc>
        <w:tc>
          <w:tcPr>
            <w:tcW w:type="dxa" w:w="2484"/>
          </w:tcPr>
          <w:p>
            <w:pPr>
              <w:spacing w:after="20" w:before="20"/>
              <w:jc w:val="right"/>
            </w:pPr>
            <w:r/>
            <w:r>
              <w:rPr>
                <w:rFonts w:ascii="맑은 고딕" w:hAnsi="맑은 고딕" w:eastAsia="맑은 고딕"/>
                <w:b w:val="0"/>
                <w:sz w:val="17"/>
              </w:rPr>
              <w:t>32%</w:t>
            </w:r>
          </w:p>
        </w:tc>
      </w:tr>
      <w:tr>
        <w:tc>
          <w:tcPr>
            <w:tcW w:type="dxa" w:w="2484"/>
          </w:tcPr>
          <w:p>
            <w:pPr>
              <w:spacing w:after="20" w:before="20"/>
              <w:jc w:val="left"/>
            </w:pPr>
            <w:r/>
            <w:r>
              <w:rPr>
                <w:rFonts w:ascii="맑은 고딕" w:hAnsi="맑은 고딕" w:eastAsia="맑은 고딕"/>
                <w:b w:val="0"/>
                <w:sz w:val="17"/>
              </w:rPr>
              <w:t>매출 ($B)</w:t>
            </w:r>
          </w:p>
        </w:tc>
        <w:tc>
          <w:tcPr>
            <w:tcW w:type="dxa" w:w="2484"/>
          </w:tcPr>
          <w:p>
            <w:pPr>
              <w:spacing w:after="20" w:before="20"/>
              <w:jc w:val="right"/>
            </w:pPr>
            <w:r/>
            <w:r>
              <w:rPr>
                <w:rFonts w:ascii="맑은 고딕" w:hAnsi="맑은 고딕" w:eastAsia="맑은 고딕"/>
                <w:b w:val="0"/>
                <w:sz w:val="17"/>
              </w:rPr>
              <w:t>454</w:t>
            </w:r>
          </w:p>
        </w:tc>
        <w:tc>
          <w:tcPr>
            <w:tcW w:type="dxa" w:w="2484"/>
          </w:tcPr>
          <w:p>
            <w:pPr>
              <w:spacing w:after="20" w:before="20"/>
              <w:jc w:val="right"/>
            </w:pPr>
            <w:r/>
            <w:r>
              <w:rPr>
                <w:rFonts w:ascii="맑은 고딕" w:hAnsi="맑은 고딕" w:eastAsia="맑은 고딕"/>
                <w:b w:val="0"/>
                <w:sz w:val="17"/>
              </w:rPr>
              <w:t>769</w:t>
            </w:r>
          </w:p>
        </w:tc>
        <w:tc>
          <w:tcPr>
            <w:tcW w:type="dxa" w:w="2484"/>
          </w:tcPr>
          <w:p>
            <w:pPr>
              <w:spacing w:after="20" w:before="20"/>
              <w:jc w:val="right"/>
            </w:pPr>
            <w:r/>
            <w:r>
              <w:rPr>
                <w:rFonts w:ascii="맑은 고딕" w:hAnsi="맑은 고딕" w:eastAsia="맑은 고딕"/>
                <w:b w:val="0"/>
                <w:sz w:val="17"/>
              </w:rPr>
              <w:t>865</w:t>
            </w:r>
          </w:p>
        </w:tc>
      </w:tr>
      <w:tr>
        <w:tc>
          <w:tcPr>
            <w:tcW w:type="dxa" w:w="2484"/>
          </w:tcPr>
          <w:p>
            <w:pPr>
              <w:spacing w:after="20" w:before="20"/>
              <w:jc w:val="left"/>
            </w:pPr>
            <w:r/>
            <w:r>
              <w:rPr>
                <w:rFonts w:ascii="맑은 고딕" w:hAnsi="맑은 고딕" w:eastAsia="맑은 고딕"/>
                <w:b w:val="0"/>
                <w:sz w:val="17"/>
              </w:rPr>
              <w:t>희석 EPS ($)</w:t>
            </w:r>
          </w:p>
        </w:tc>
        <w:tc>
          <w:tcPr>
            <w:tcW w:type="dxa" w:w="2484"/>
          </w:tcPr>
          <w:p>
            <w:pPr>
              <w:spacing w:after="20" w:before="20"/>
              <w:jc w:val="right"/>
            </w:pPr>
            <w:r/>
            <w:r>
              <w:rPr>
                <w:rFonts w:ascii="맑은 고딕" w:hAnsi="맑은 고딕" w:eastAsia="맑은 고딕"/>
                <w:b w:val="0"/>
                <w:sz w:val="17"/>
              </w:rPr>
              <w:t>7.9</w:t>
            </w:r>
          </w:p>
        </w:tc>
        <w:tc>
          <w:tcPr>
            <w:tcW w:type="dxa" w:w="2484"/>
          </w:tcPr>
          <w:p>
            <w:pPr>
              <w:spacing w:after="20" w:before="20"/>
              <w:jc w:val="right"/>
            </w:pPr>
            <w:r/>
            <w:r>
              <w:rPr>
                <w:rFonts w:ascii="맑은 고딕" w:hAnsi="맑은 고딕" w:eastAsia="맑은 고딕"/>
                <w:b w:val="0"/>
                <w:sz w:val="17"/>
              </w:rPr>
              <w:t>15.7</w:t>
            </w:r>
          </w:p>
        </w:tc>
        <w:tc>
          <w:tcPr>
            <w:tcW w:type="dxa" w:w="2484"/>
          </w:tcPr>
          <w:p>
            <w:pPr>
              <w:spacing w:after="20" w:before="20"/>
              <w:jc w:val="right"/>
            </w:pPr>
            <w:r/>
            <w:r>
              <w:rPr>
                <w:rFonts w:ascii="맑은 고딕" w:hAnsi="맑은 고딕" w:eastAsia="맑은 고딕"/>
                <w:b w:val="0"/>
                <w:sz w:val="17"/>
              </w:rPr>
              <w:t>22.0</w:t>
            </w:r>
          </w:p>
        </w:tc>
      </w:tr>
      <w:tr>
        <w:tc>
          <w:tcPr>
            <w:tcW w:type="dxa" w:w="2484"/>
          </w:tcPr>
          <w:p>
            <w:pPr>
              <w:spacing w:after="20" w:before="20"/>
              <w:jc w:val="left"/>
            </w:pPr>
            <w:r/>
            <w:r>
              <w:rPr>
                <w:rFonts w:ascii="맑은 고딕" w:hAnsi="맑은 고딕" w:eastAsia="맑은 고딕"/>
                <w:b w:val="0"/>
                <w:sz w:val="17"/>
              </w:rPr>
              <w:t>시사 주당가치</w:t>
            </w:r>
          </w:p>
        </w:tc>
        <w:tc>
          <w:tcPr>
            <w:tcW w:type="dxa" w:w="2484"/>
          </w:tcPr>
          <w:p>
            <w:pPr>
              <w:spacing w:after="20" w:before="20"/>
              <w:jc w:val="right"/>
            </w:pPr>
            <w:r/>
            <w:r>
              <w:rPr>
                <w:rFonts w:ascii="맑은 고딕" w:hAnsi="맑은 고딕" w:eastAsia="맑은 고딕"/>
                <w:b w:val="0"/>
                <w:sz w:val="17"/>
              </w:rPr>
              <w:t>~$120</w:t>
            </w:r>
          </w:p>
        </w:tc>
        <w:tc>
          <w:tcPr>
            <w:tcW w:type="dxa" w:w="2484"/>
          </w:tcPr>
          <w:p>
            <w:pPr>
              <w:spacing w:after="20" w:before="20"/>
              <w:jc w:val="right"/>
            </w:pPr>
            <w:r/>
            <w:r>
              <w:rPr>
                <w:rFonts w:ascii="맑은 고딕" w:hAnsi="맑은 고딕" w:eastAsia="맑은 고딕"/>
                <w:b w:val="0"/>
                <w:sz w:val="17"/>
              </w:rPr>
              <w:t>$208</w:t>
            </w:r>
          </w:p>
        </w:tc>
        <w:tc>
          <w:tcPr>
            <w:tcW w:type="dxa" w:w="2484"/>
          </w:tcPr>
          <w:p>
            <w:pPr>
              <w:spacing w:after="20" w:before="20"/>
              <w:jc w:val="right"/>
            </w:pPr>
            <w:r/>
            <w:r>
              <w:rPr>
                <w:rFonts w:ascii="맑은 고딕" w:hAnsi="맑은 고딕" w:eastAsia="맑은 고딕"/>
                <w:b w:val="0"/>
                <w:sz w:val="17"/>
              </w:rPr>
              <w:t>~$300</w:t>
            </w:r>
          </w:p>
        </w:tc>
      </w:tr>
    </w:tbl>
    <w:p>
      <w:pPr>
        <w:spacing w:after="40"/>
      </w:pPr>
    </w:p>
    <w:p>
      <w:pPr>
        <w:spacing w:after="200"/>
      </w:pPr>
      <w:r>
        <w:rPr>
          <w:rFonts w:ascii="맑은 고딕" w:hAnsi="맑은 고딕" w:eastAsia="맑은 고딕"/>
          <w:i/>
          <w:color w:val="595959"/>
          <w:sz w:val="16"/>
        </w:rPr>
        <w:t>표 5 — 시나리오 비교. 자료: 모델(Scenarios 탭).</w:t>
      </w:r>
    </w:p>
    <w:p>
      <w:pPr>
        <w:jc w:val="center"/>
      </w:pPr>
      <w:r>
        <w:drawing>
          <wp:inline xmlns:a="http://schemas.openxmlformats.org/drawingml/2006/main" xmlns:pic="http://schemas.openxmlformats.org/drawingml/2006/picture">
            <wp:extent cx="5486400" cy="3113256"/>
            <wp:docPr id="20" name="Picture 20"/>
            <wp:cNvGraphicFramePr>
              <a:graphicFrameLocks noChangeAspect="1"/>
            </wp:cNvGraphicFramePr>
            <a:graphic>
              <a:graphicData uri="http://schemas.openxmlformats.org/drawingml/2006/picture">
                <pic:pic>
                  <pic:nvPicPr>
                    <pic:cNvPr id="0" name="chart_14_scenario_comparison.png"/>
                    <pic:cNvPicPr/>
                  </pic:nvPicPr>
                  <pic:blipFill>
                    <a:blip r:embed="rId28"/>
                    <a:stretch>
                      <a:fillRect/>
                    </a:stretch>
                  </pic:blipFill>
                  <pic:spPr>
                    <a:xfrm>
                      <a:off x="0" y="0"/>
                      <a:ext cx="5486400" cy="3113256"/>
                    </a:xfrm>
                    <a:prstGeom prst="rect"/>
                  </pic:spPr>
                </pic:pic>
              </a:graphicData>
            </a:graphic>
          </wp:inline>
        </w:drawing>
      </w:r>
    </w:p>
    <w:p>
      <w:pPr>
        <w:spacing w:after="200"/>
      </w:pPr>
      <w:r>
        <w:rPr>
          <w:rFonts w:ascii="맑은 고딕" w:hAnsi="맑은 고딕" w:eastAsia="맑은 고딕"/>
          <w:i/>
          <w:color w:val="595959"/>
          <w:sz w:val="16"/>
        </w:rPr>
        <w:t>그림 14 — 시나리오 비교. 자료: 모델.</w:t>
      </w:r>
    </w:p>
    <w:p>
      <w:pPr>
        <w:spacing w:before="160" w:after="80"/>
      </w:pPr>
      <w:r>
        <w:rPr>
          <w:rFonts w:ascii="맑은 고딕" w:hAnsi="맑은 고딕" w:eastAsia="맑은 고딕"/>
          <w:b/>
          <w:color w:val="1A1A1A"/>
          <w:sz w:val="25"/>
        </w:rPr>
        <w:t>핵심 성장 동력</w:t>
      </w:r>
    </w:p>
    <w:p>
      <w:pPr>
        <w:spacing w:after="140"/>
      </w:pPr>
      <w:r>
        <w:rPr>
          <w:rFonts w:ascii="맑은 고딕" w:hAnsi="맑은 고딕" w:eastAsia="맑은 고딕"/>
          <w:i w:val="0"/>
          <w:sz w:val="21"/>
        </w:rPr>
        <w:t>NVIDIA의 향후 성장은 각각 총 잠재시장(TAM)과 시간축에 대응하여 규모를 가늠할 수 있는 4~5개의 식별 가능한 동인에 기반한다. 이를 관통하는 분석틀은 경영진이 제시한 하향식(top-down) 기준점, 즉 2030년까지 누적 3~4조 달러 규모의 AI 인프라 지출 전망이며, NVIDIA는 그 안에서 1조 달러를 상회하는 매출 기회로 자사의 입지를 규정한다. 이는 2026년 AI 데이터센터 인프라 실질 시장 규모 약 4,500억~5,500억 달러와 교차 검증되며, 이 가운데 NVIDIA의 잠재 대상 영역(가속 컴퓨팅에 네트워킹을 더한 것으로, AI 데이터센터 IT 자재명세서(BOM)의 약 60~70%에 해당)은 약 3,500억~4,500억 달러로 추정된다. NVIDIA가 이미 이 실리콘·시스템 TAM의 60~70% 수준을 점유하고 있는 만큼, 이하의 성장 동인들은 미개척 시장(white space)이라기보다 TAM 자체를 확장하거나 그 안에서 NVIDIA의 점유율을 방어하는 힘으로 이해하는 것이 타당하다. 이것이 당사 모델이 감속하는 근본적 이유로서, 향후 NVIDIA의 성장은 시장 성장률로 수렴하며 점유율 확대보다 점유율 유지가 더 중요해진다.</w:t>
      </w:r>
    </w:p>
    <w:p>
      <w:pPr>
        <w:spacing w:after="140"/>
      </w:pPr>
      <w:r>
        <w:rPr>
          <w:rFonts w:ascii="맑은 고딕" w:hAnsi="맑은 고딕" w:eastAsia="맑은 고딕"/>
          <w:i w:val="0"/>
          <w:sz w:val="21"/>
        </w:rPr>
        <w:t>첫 번째이자 가장 큰 동인은 하이퍼스케일러의 AI 설비투자(capex) 확충으로, 이는 근시일 매출 기반을 뒷받침한다. 4대 하이퍼스케일러(Amazon, Microsoft, Google, Meta)는 2026년 합산 약 7,250억 달러의 설비투자를 계획하고 있으며 이는 전년 대비 77% 증가한 수준으로, 이 가운데 약 4분의 3이 AI 인프라를 겨냥한다. Oracle, 네오클라우드, 국가 주도 프로젝트, 기업 수요를 포함하면 2026년 AI 시대 설비투자 추정치는 7,000억~9,000억 달러에 이르며, Goldman Sachs는 FY2025~30 기간 4대 하이퍼스케일러 합산 누적 5.3조 달러를 전망한다. 이 동인은 FY2027E Data Center 매출 +78% 성장과 동 부문의 193,737M달러에서 FY2031E 731,547M달러에 이르는 경로를 직접적으로 견인한다. 관건은 시간축이다. 이 동인은 약 1조 달러 규모의 Blackwell/Rubin 수주잔고를 통해 2026~27년까지는 강력하고 가시적이나, FY2028~29로의 지속성 여부는 모델 내 가장 중요한 단일 불확실성이다. AI에 귀속되는 매출은 빠르게 성장하고 있으나 여전히 연환산 인프라 지출 대비 한 자릿수 배수만큼 낮은 수준에 머물러 있기 때문이다. 이 동인이 강세/약세 시나리오를 가르는 지렛대다.</w:t>
      </w:r>
    </w:p>
    <w:p>
      <w:pPr>
        <w:spacing w:after="140"/>
      </w:pPr>
      <w:r>
        <w:rPr>
          <w:rFonts w:ascii="맑은 고딕" w:hAnsi="맑은 고딕" w:eastAsia="맑은 고딕"/>
          <w:i w:val="0"/>
          <w:sz w:val="21"/>
        </w:rPr>
        <w:t>두 번째 동인은 추론(inference) 스케일아웃과 '추론의 시대'로, TAM을 확장하는 동시에 모델의 최대 경쟁 리스크를 수반한다. 추론, 즉 학습된 모델을 실제 운영 환경에서 특히 에이전트형 AI 용도로 구동하는 작업은 이제 AI 컴퓨팅의 과반을 차지하며 가장 빠르게 성장하는 워크로드다. NVIDIA는 이 기회를 기가와트 단위로 규모화하는데, AI 데이터센터 1기가와트당 NVIDIA 콘텐츠 약 300억~350억 달러라는 업계 경험칙을 적용하면, 공개된 멀티기가와트 프로젝트(OpenAI 10GW 이상, Stargate UAE 5GW, Anthropic 1GW 이상, Meta 멀티GW)만으로도 누적 수천억 달러의 수요가 뒷받침된다. NVIDIA의 이 워크로드 방어 수단은 Blackwell 대비 추론 토큰 비용을 약 10배 절감한다고 주장되는 Rubin 세대와, 저지연 추론 기술을 내재화하는 약 200억 달러 규모의 Groq LPU 라이선스 계약이다. 시간축은 예측 구간 전반에 걸쳐 연속적이나, 상쇄 요인 또한 마찬가지로 연속적이다. 맞춤형 ASIC(Google TPU v7, AWS Trainium 3, Broadcom 설계 가속기, Microsoft Maia, Meta MTIA)이 바로 이 비용 민감형 워크로드를 겨냥하고 있으며 이미 2026년 서버 출하량의 약 28%를 차지한다. 종합하면, 추론은 TAM을 확장하는 동인이나, 당사는 이를 NVIDIA의 시스템당 지갑점유율(wallet share)이 상승하는 가운데 물량 점유율(unit share)은 부분적으로 잠식되는 것으로 모델링한다.</w:t>
      </w:r>
    </w:p>
    <w:p>
      <w:pPr>
        <w:spacing w:after="140"/>
      </w:pPr>
      <w:r>
        <w:rPr>
          <w:rFonts w:ascii="맑은 고딕" w:hAnsi="맑은 고딕" w:eastAsia="맑은 고딕"/>
          <w:i w:val="0"/>
          <w:sz w:val="21"/>
        </w:rPr>
        <w:t>세 번째 동인은 국가 주도 AI(sovereign AI)로, 미국 하이퍼스케일러 예산과의 상관관계가 가장 낮아 모델 내에서 가장 가치 있는 분산 요인이다. 국가 규모의 프로젝트, 즉 G42/OpenAI/Oracle이 참여하는 Stargate UAE 5GW 캠퍼스(초기 약 200MW 단계는 2026년 목표), UAE의 Aleria 확충, SoftBank·NTT DATA·Hitachi 등이 참여하는 일본의 2026년 국가적 추진, 그리고 유럽 및 사우디 프로그램은 기업의 투자수익률(ROI) 규율이 아니라 국가 전략에 결부된 수백억 달러 규모의 수요를 대표한다. 당사는 이를 APAC 및 중동 지역 벡터에 대한 빠르게 성장하는 기여 요인으로 규모화하며, 미국 하이퍼스케일러 지출의 둔화를 부분적으로 상쇄하는 것으로 가정한다. 시간축은 다년에 걸쳐 있으며 후반부에 무게가 실리고, 발표된 기가와트가 실제 수주로 전환되는 것이 추적해야 할 핵심 이정표다. 전략적 가치는 비대칭성에 있다. 국가 주도 수요는 하이퍼스케일러 동인을 위협하는 설비투자 수익화 논쟁에 덜 민감하나, 자체적인 환율 및 재정 주기 리스크(유가 연동 걸프 지역 예산, 일본 재정정책)를 안고 있다.</w:t>
      </w:r>
    </w:p>
    <w:p>
      <w:pPr>
        <w:spacing w:after="140"/>
      </w:pPr>
      <w:r>
        <w:rPr>
          <w:rFonts w:ascii="맑은 고딕" w:hAnsi="맑은 고딕" w:eastAsia="맑은 고딕"/>
          <w:i w:val="0"/>
          <w:sz w:val="21"/>
        </w:rPr>
        <w:t>네 번째 동인은 풀스택 시스템 및 소프트웨어 해자로, 물량 점유율 압박을 지갑점유율 확대로 전환하며 매출총이익률을 방어한다. NVIDIA가 칩이 아니라 NVL72 및 Kyber 랙 전체를 판매함에 따라, 즉 GPU, Arm 기반 Vera CPU, NVLink 패브릭, 그리고 CUDA 소프트웨어 스택(GPU당 NVIDIA AI Enterprise 구독, NIM 마이크로서비스, Omniverse, Nemotron)을 묶어 판매함에 따라, 가속기 물량 점유율이 잠식되는 국면에서도 배치당 매출은 상승한다. 네트워킹만 하더라도 Q1 FY2027 분기 실행률 기준 148억 달러(전년 대비 +199%)로, 경쟁 가속기가 규모를 확보하려면 NVIDIA 수준의 패브릭을 거쳐야 하는 만큼 그 자체로 해자로 기능하는 제2의 성장 엔진이다. 1년 주기의 아키텍처 케이던스(Blackwell에서 Rubin으로, Rubin Ultra/Kyber로, 다시 Feynman으로)가 시간축 메커니즘이다. 각 세대가 달러당 성능을 약 10배 재설정함으로써 경쟁사들이 움직이는 표적을 맞추도록 강제하고 70%대 중반의 매출총이익률 우산을 방어한다. 이 동인은 당사의 이익률 브리지가 정점에서 FY2031E까지 붕괴하지 않고 약 150bp만 완만하게 하락하는 이유이자, 프리미엄 프랜차이즈 배수에 대한 정성적 근거다.</w:t>
      </w:r>
    </w:p>
    <w:p>
      <w:pPr>
        <w:spacing w:after="140"/>
      </w:pPr>
      <w:r>
        <w:rPr>
          <w:rFonts w:ascii="맑은 고딕" w:hAnsi="맑은 고딕" w:eastAsia="맑은 고딕"/>
          <w:i w:val="0"/>
          <w:sz w:val="21"/>
        </w:rPr>
        <w:t>다섯 번째의 보다 장기적인 동인은 피지컬 AI(physical AI), 즉 자동차 및 로보틱스로, 당사는 이를 보수적으로 모델링하되 최대의 상승 옵션가치 원천으로 명시한다. Automotive &amp; Robotics 부문은 DRIVE AGX Thor 자율주행 컴퓨터(Toyota, Mercedes-Benz, 중국 EV 제조사)와 Jetson/IGX 로보틱스 플랫폼의 확대에 힘입어 FY2026 2,349M달러에서 FY2031E 9,166M달러로 성장하나, 9,166M달러 수준에서도 매출의 약 1.2%에 불과하다. 그러나 만약 휴머노이드 로보틱스와 자율주행차가 2022년 이후 데이터센터 AI가 그러했던 방식으로 변곡점을 맞는다면 그 TAM은 잠재적으로 막대하며, 시간축은 이번 10년의 후반부와 그 이후다. 당사는 피지컬 AI 변곡을 기본 시나리오에 의도적으로 반영하지 않는다. 이는 만약 현실화될 경우 당사의 약 29% CAGR을 보수적으로 보이게 만들 옵션이며, 이 옵션이 모델에서 배제되어 있다는 점이 이만큼의 장기 옵션가치를 지닌 프랜차이즈를 매도가 아닌 보유로 판단하는 하나의 근거다.</w:t>
      </w:r>
    </w:p>
    <w:p>
      <w:r>
        <w:br w:type="page"/>
      </w:r>
    </w:p>
    <w:p>
      <w:pPr>
        <w:spacing w:before="240" w:after="80"/>
        <w:pBdr>
          <w:bottom w:val="single" w:sz="6" w:space="2" w:color="1F3864"/>
        </w:pBdr>
      </w:pPr>
      <w:r>
        <w:rPr>
          <w:rFonts w:ascii="맑은 고딕" w:hAnsi="맑은 고딕" w:eastAsia="맑은 고딕"/>
          <w:b/>
          <w:color w:val="1F3864"/>
          <w:sz w:val="30"/>
        </w:rPr>
        <w:t>밸류에이션 분석</w:t>
      </w:r>
    </w:p>
    <w:p>
      <w:pPr>
        <w:spacing w:after="120"/>
      </w:pPr>
      <w:r>
        <w:rPr>
          <w:rFonts w:ascii="맑은 고딕" w:hAnsi="맑은 고딕" w:eastAsia="맑은 고딕"/>
          <w:b/>
          <w:i w:val="0"/>
          <w:sz w:val="21"/>
        </w:rPr>
        <w:t>커버리지 개시 — Task 3 (밸류에이션 분석)</w:t>
      </w:r>
    </w:p>
    <w:p>
      <w:pPr>
        <w:spacing w:after="120"/>
      </w:pPr>
      <w:r>
        <w:rPr>
          <w:rFonts w:ascii="맑은 고딕" w:hAnsi="맑은 고딕" w:eastAsia="맑은 고딕"/>
          <w:b/>
          <w:i w:val="0"/>
          <w:sz w:val="21"/>
        </w:rPr>
        <w:t>작성일: 2026-07-17 | 최종 종가: $207.40 (2026-07-16)</w:t>
      </w:r>
    </w:p>
    <w:p>
      <w:pPr>
        <w:spacing w:after="120"/>
      </w:pPr>
      <w:r>
        <w:rPr>
          <w:rFonts w:ascii="맑은 고딕" w:hAnsi="맑은 고딕" w:eastAsia="맑은 고딕"/>
          <w:b/>
          <w:i w:val="0"/>
          <w:sz w:val="21"/>
        </w:rPr>
        <w:t>목표 주가: $208 | 투자의견: 중립(보유) | 내재 기대수익률: +0.2%</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1. 핵심 요약</w:t>
      </w:r>
    </w:p>
    <w:p>
      <w:pPr>
        <w:spacing w:after="120"/>
      </w:pPr>
      <w:r>
        <w:rPr>
          <w:rFonts w:ascii="맑은 고딕" w:hAnsi="맑은 고딕" w:eastAsia="맑은 고딕"/>
          <w:i w:val="0"/>
          <w:sz w:val="21"/>
        </w:rPr>
        <w:t xml:space="preserve">당사는 NVIDIA에 대해 </w:t>
      </w:r>
      <w:r>
        <w:rPr>
          <w:rFonts w:ascii="맑은 고딕" w:hAnsi="맑은 고딕" w:eastAsia="맑은 고딕"/>
          <w:b/>
          <w:i w:val="0"/>
          <w:sz w:val="21"/>
        </w:rPr>
        <w:t>중립(보유)</w:t>
      </w:r>
      <w:r>
        <w:rPr>
          <w:rFonts w:ascii="맑은 고딕" w:hAnsi="맑은 고딕" w:eastAsia="맑은 고딕"/>
          <w:i w:val="0"/>
          <w:sz w:val="21"/>
        </w:rPr>
        <w:t xml:space="preserve"> 의견과 함께 12개월 목표 주가 </w:t>
      </w:r>
      <w:r>
        <w:rPr>
          <w:rFonts w:ascii="맑은 고딕" w:hAnsi="맑은 고딕" w:eastAsia="맑은 고딕"/>
          <w:b/>
          <w:i w:val="0"/>
          <w:sz w:val="21"/>
        </w:rPr>
        <w:t>$208</w:t>
      </w:r>
      <w:r>
        <w:rPr>
          <w:rFonts w:ascii="맑은 고딕" w:hAnsi="맑은 고딕" w:eastAsia="맑은 고딕"/>
          <w:i w:val="0"/>
          <w:sz w:val="21"/>
        </w:rPr>
        <w:t xml:space="preserve">로 커버리지를 개시하며, 이는 최종 종가 </w:t>
      </w:r>
      <w:r>
        <w:rPr>
          <w:rFonts w:ascii="맑은 고딕" w:hAnsi="맑은 고딕" w:eastAsia="맑은 고딕"/>
          <w:b/>
          <w:i w:val="0"/>
          <w:sz w:val="21"/>
        </w:rPr>
        <w:t>$207.40</w:t>
      </w:r>
      <w:r>
        <w:rPr>
          <w:rFonts w:ascii="맑은 고딕" w:hAnsi="맑은 고딕" w:eastAsia="맑은 고딕"/>
          <w:i w:val="0"/>
          <w:sz w:val="21"/>
        </w:rPr>
        <w:t xml:space="preserve">과 사실상 동일한 수준(내재 기대수익률 </w:t>
      </w:r>
      <w:r>
        <w:rPr>
          <w:rFonts w:ascii="맑은 고딕" w:hAnsi="맑은 고딕" w:eastAsia="맑은 고딕"/>
          <w:b/>
          <w:i w:val="0"/>
          <w:sz w:val="21"/>
        </w:rPr>
        <w:t>+0.2%</w:t>
      </w:r>
      <w:r>
        <w:rPr>
          <w:rFonts w:ascii="맑은 고딕" w:hAnsi="맑은 고딕" w:eastAsia="맑은 고딕"/>
          <w:i w:val="0"/>
          <w:sz w:val="21"/>
        </w:rPr>
        <w:t xml:space="preserve">)이다. 당사의 목표 주가는 현금흐름할인법(DCF) 기준 밸류에이션 </w:t>
      </w:r>
      <w:r>
        <w:rPr>
          <w:rFonts w:ascii="맑은 고딕" w:hAnsi="맑은 고딕" w:eastAsia="맑은 고딕"/>
          <w:b/>
          <w:i w:val="0"/>
          <w:sz w:val="21"/>
        </w:rPr>
        <w:t>주당 $157</w:t>
      </w:r>
      <w:r>
        <w:rPr>
          <w:rFonts w:ascii="맑은 고딕" w:hAnsi="맑은 고딕" w:eastAsia="맑은 고딕"/>
          <w:i w:val="0"/>
          <w:sz w:val="21"/>
        </w:rPr>
        <w:t xml:space="preserve">(가중치 55%)과 유사기업 비교(comps) 기준 밸류에이션 </w:t>
      </w:r>
      <w:r>
        <w:rPr>
          <w:rFonts w:ascii="맑은 고딕" w:hAnsi="맑은 고딕" w:eastAsia="맑은 고딕"/>
          <w:b/>
          <w:i w:val="0"/>
          <w:sz w:val="21"/>
        </w:rPr>
        <w:t>주당 $271</w:t>
      </w:r>
      <w:r>
        <w:rPr>
          <w:rFonts w:ascii="맑은 고딕" w:hAnsi="맑은 고딕" w:eastAsia="맑은 고딕"/>
          <w:i w:val="0"/>
          <w:sz w:val="21"/>
        </w:rPr>
        <w:t>(가중치 45%)을 혼합하여 산출하였다.</w:t>
      </w:r>
    </w:p>
    <w:p>
      <w:pPr>
        <w:spacing w:after="120"/>
      </w:pPr>
      <w:r>
        <w:rPr>
          <w:rFonts w:ascii="맑은 고딕" w:hAnsi="맑은 고딕" w:eastAsia="맑은 고딕"/>
          <w:i w:val="0"/>
          <w:sz w:val="21"/>
        </w:rPr>
        <w:t xml:space="preserve">이 두 방법론 간의 긴장 관계 *그 자체*가 투자 스토리이다. NVIDIA는 다음 두 가지 특성을 동시에 지닌다. (a) </w:t>
      </w:r>
      <w:r>
        <w:rPr>
          <w:rFonts w:ascii="맑은 고딕" w:hAnsi="맑은 고딕" w:eastAsia="맑은 고딕"/>
          <w:b/>
          <w:i w:val="0"/>
          <w:sz w:val="21"/>
        </w:rPr>
        <w:t>내재가치 기준으로는 완벽함이 가격에 이미 반영된 상태(priced for perfection)</w:t>
      </w:r>
      <w:r>
        <w:rPr>
          <w:rFonts w:ascii="맑은 고딕" w:hAnsi="맑은 고딕" w:eastAsia="맑은 고딕"/>
          <w:i w:val="0"/>
          <w:sz w:val="21"/>
        </w:rPr>
        <w:t xml:space="preserve"> — 당사의 기본(base) DCF는 매출이 연 약 29%로 복리 성장하여 FY2031까지 $769.5B에 이르는 5개년 전망을 할인하였음에도 여전히 현재 주가 대비 24.5% *낮은* 수준에 산출되는데, 이는 주가가 이미 수년간의 초고속 성장을 자본화하고 있으며 $207를 정당화하려면 WACC가 9% 근처이거나 그보다 낮은 할인율이 필요하기 때문이다. (b) </w:t>
      </w:r>
      <w:r>
        <w:rPr>
          <w:rFonts w:ascii="맑은 고딕" w:hAnsi="맑은 고딕" w:eastAsia="맑은 고딕"/>
          <w:b/>
          <w:i w:val="0"/>
          <w:sz w:val="21"/>
        </w:rPr>
        <w:t>상대가치 기준으로는 동종그룹(peer group) 대비 오히려 저렴한 상태</w:t>
      </w:r>
      <w:r>
        <w:rPr>
          <w:rFonts w:ascii="맑은 고딕" w:hAnsi="맑은 고딕" w:eastAsia="맑은 고딕"/>
          <w:i w:val="0"/>
          <w:sz w:val="21"/>
        </w:rPr>
        <w:t xml:space="preserve"> — NVDA는 NTM EV/EBITDA 22.3배 및 선행(forward) P/E 27.1배에 거래되며, 이는 각각 AI/반도체 peer 중앙값인 31.4배 및 32.6배를 *하회*하는 수준으로, 이를 적용하면 약 $271의 가치가 내재된다. 내재가치는 주가가 완전히 반영(fully valued)되었다고 말하고, 상대가치는 비싼 동네에서 합리적인 가격의 종목이라고 말한다. 두 가지를 상쇄하면 NVDA는 현 수준에서 </w:t>
      </w:r>
      <w:r>
        <w:rPr>
          <w:rFonts w:ascii="맑은 고딕" w:hAnsi="맑은 고딕" w:eastAsia="맑은 고딕"/>
          <w:b/>
          <w:i w:val="0"/>
          <w:sz w:val="21"/>
        </w:rPr>
        <w:t>적정가치(fairly valued)</w:t>
      </w:r>
      <w:r>
        <w:rPr>
          <w:rFonts w:ascii="맑은 고딕" w:hAnsi="맑은 고딕" w:eastAsia="맑은 고딕"/>
          <w:i w:val="0"/>
          <w:sz w:val="21"/>
        </w:rPr>
        <w:t>로 보이며, 당사는 추격 매수보다는 인내가 타당한 균형 잡힌 위험/보상 구도라고 판단한다. 아래의 정성적 촉매 및 리스크는 당사의 Task 1 기업 리서치(NVIDIA_Research_Document_2026-07-17.md)에서 인용하였다.</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2. 현금흐름할인법(DCF) 분석</w:t>
      </w:r>
    </w:p>
    <w:p>
      <w:pPr>
        <w:spacing w:before="160" w:after="80"/>
      </w:pPr>
      <w:r>
        <w:rPr>
          <w:rFonts w:ascii="맑은 고딕" w:hAnsi="맑은 고딕" w:eastAsia="맑은 고딕"/>
          <w:b/>
          <w:color w:val="1A1A1A"/>
          <w:sz w:val="22"/>
        </w:rPr>
        <w:t>2.1 접근법 및 자본비용</w:t>
      </w:r>
    </w:p>
    <w:p>
      <w:pPr>
        <w:spacing w:after="120"/>
      </w:pPr>
      <w:r>
        <w:rPr>
          <w:rFonts w:ascii="맑은 고딕" w:hAnsi="맑은 고딕" w:eastAsia="맑은 고딕"/>
          <w:i w:val="0"/>
          <w:sz w:val="21"/>
        </w:rPr>
        <w:t>당사는 명시적 5개년 전망 기간(FY2027E–FY2031E)에 걸친 무차입 잉여현금흐름(unlevered FCF) DCF와 고든 성장(Gordon-growth) 영구가치를 사용하여 NVIDIA를 평가한다. 회사의 순현금(net cash)에 가까운 재무구조($54.1B 순현금: 현금 및 투자자산 $62.6B에서 총차입금 $8.5B을 차감)는 자본구조가 약 98% 자기자본으로 가중되어 있음을 의미하며, 따라서 WACC는 자기자본비용에 매우 근접한다.</w:t>
      </w:r>
    </w:p>
    <w:p>
      <w:pPr>
        <w:spacing w:after="120"/>
      </w:pPr>
      <w:r>
        <w:rPr>
          <w:rFonts w:ascii="맑은 고딕" w:hAnsi="맑은 고딕" w:eastAsia="맑은 고딕"/>
          <w:b/>
          <w:i w:val="0"/>
          <w:sz w:val="21"/>
        </w:rPr>
        <w:t>자기자본비용 (CAPM):</w:t>
      </w:r>
    </w:p>
    <w:tbl>
      <w:tblPr>
        <w:tblStyle w:val="LightGrid-Accent1"/>
        <w:tblW w:type="auto" w:w="0"/>
        <w:tblLayout w:type="autofit"/>
        <w:tblLook w:firstColumn="1" w:firstRow="1" w:lastColumn="0" w:lastRow="0" w:noHBand="0" w:noVBand="1" w:val="04A0"/>
      </w:tblPr>
      <w:tblGrid>
        <w:gridCol w:w="4968"/>
        <w:gridCol w:w="4968"/>
      </w:tblGrid>
      <w:tr>
        <w:tc>
          <w:tcPr>
            <w:tcW w:type="dxa" w:w="4968"/>
            <w:shd w:fill="1F3864"/>
          </w:tcPr>
          <w:p>
            <w:pPr>
              <w:spacing w:after="20" w:before="20"/>
              <w:jc w:val="left"/>
            </w:pPr>
            <w:r/>
            <w:r>
              <w:rPr>
                <w:rFonts w:ascii="맑은 고딕" w:hAnsi="맑은 고딕" w:eastAsia="맑은 고딕"/>
                <w:b/>
                <w:color w:val="FFFFFF"/>
                <w:sz w:val="17"/>
              </w:rPr>
              <w:t>구성 요소</w:t>
            </w:r>
          </w:p>
        </w:tc>
        <w:tc>
          <w:tcPr>
            <w:tcW w:type="dxa" w:w="4968"/>
            <w:shd w:fill="1F3864"/>
          </w:tcPr>
          <w:p>
            <w:pPr>
              <w:spacing w:after="20" w:before="20"/>
              <w:jc w:val="right"/>
            </w:pPr>
            <w:r/>
            <w:r>
              <w:rPr>
                <w:rFonts w:ascii="맑은 고딕" w:hAnsi="맑은 고딕" w:eastAsia="맑은 고딕"/>
                <w:b/>
                <w:color w:val="FFFFFF"/>
                <w:sz w:val="17"/>
              </w:rPr>
              <w:t>값</w:t>
            </w:r>
          </w:p>
        </w:tc>
      </w:tr>
      <w:tr>
        <w:tc>
          <w:tcPr>
            <w:tcW w:type="dxa" w:w="4968"/>
          </w:tcPr>
          <w:p>
            <w:pPr>
              <w:spacing w:after="20" w:before="20"/>
              <w:jc w:val="left"/>
            </w:pPr>
            <w:r/>
            <w:r>
              <w:rPr>
                <w:rFonts w:ascii="맑은 고딕" w:hAnsi="맑은 고딕" w:eastAsia="맑은 고딕"/>
                <w:b w:val="0"/>
                <w:sz w:val="17"/>
              </w:rPr>
              <w:t>무위험 이자율</w:t>
            </w:r>
          </w:p>
        </w:tc>
        <w:tc>
          <w:tcPr>
            <w:tcW w:type="dxa" w:w="4968"/>
          </w:tcPr>
          <w:p>
            <w:pPr>
              <w:spacing w:after="20" w:before="20"/>
              <w:jc w:val="right"/>
            </w:pPr>
            <w:r/>
            <w:r>
              <w:rPr>
                <w:rFonts w:ascii="맑은 고딕" w:hAnsi="맑은 고딕" w:eastAsia="맑은 고딕"/>
                <w:b w:val="0"/>
                <w:sz w:val="17"/>
              </w:rPr>
              <w:t>4.30%</w:t>
            </w:r>
          </w:p>
        </w:tc>
      </w:tr>
      <w:tr>
        <w:tc>
          <w:tcPr>
            <w:tcW w:type="dxa" w:w="4968"/>
          </w:tcPr>
          <w:p>
            <w:pPr>
              <w:spacing w:after="20" w:before="20"/>
              <w:jc w:val="left"/>
            </w:pPr>
            <w:r/>
            <w:r>
              <w:rPr>
                <w:rFonts w:ascii="맑은 고딕" w:hAnsi="맑은 고딕" w:eastAsia="맑은 고딕"/>
                <w:b w:val="0"/>
                <w:sz w:val="17"/>
              </w:rPr>
              <w:t>베타</w:t>
            </w:r>
          </w:p>
        </w:tc>
        <w:tc>
          <w:tcPr>
            <w:tcW w:type="dxa" w:w="4968"/>
          </w:tcPr>
          <w:p>
            <w:pPr>
              <w:spacing w:after="20" w:before="20"/>
              <w:jc w:val="right"/>
            </w:pPr>
            <w:r/>
            <w:r>
              <w:rPr>
                <w:rFonts w:ascii="맑은 고딕" w:hAnsi="맑은 고딕" w:eastAsia="맑은 고딕"/>
                <w:b w:val="0"/>
                <w:sz w:val="17"/>
              </w:rPr>
              <w:t>1.35</w:t>
            </w:r>
          </w:p>
        </w:tc>
      </w:tr>
      <w:tr>
        <w:tc>
          <w:tcPr>
            <w:tcW w:type="dxa" w:w="4968"/>
          </w:tcPr>
          <w:p>
            <w:pPr>
              <w:spacing w:after="20" w:before="20"/>
              <w:jc w:val="left"/>
            </w:pPr>
            <w:r/>
            <w:r>
              <w:rPr>
                <w:rFonts w:ascii="맑은 고딕" w:hAnsi="맑은 고딕" w:eastAsia="맑은 고딕"/>
                <w:b w:val="0"/>
                <w:sz w:val="17"/>
              </w:rPr>
              <w:t>주식 위험 프리미엄</w:t>
            </w:r>
          </w:p>
        </w:tc>
        <w:tc>
          <w:tcPr>
            <w:tcW w:type="dxa" w:w="4968"/>
          </w:tcPr>
          <w:p>
            <w:pPr>
              <w:spacing w:after="20" w:before="20"/>
              <w:jc w:val="right"/>
            </w:pPr>
            <w:r/>
            <w:r>
              <w:rPr>
                <w:rFonts w:ascii="맑은 고딕" w:hAnsi="맑은 고딕" w:eastAsia="맑은 고딕"/>
                <w:b w:val="0"/>
                <w:sz w:val="17"/>
              </w:rPr>
              <w:t>5.00%</w:t>
            </w:r>
          </w:p>
        </w:tc>
      </w:tr>
      <w:tr>
        <w:tc>
          <w:tcPr>
            <w:tcW w:type="dxa" w:w="4968"/>
          </w:tcPr>
          <w:p>
            <w:pPr>
              <w:spacing w:after="20" w:before="20"/>
              <w:jc w:val="left"/>
            </w:pPr>
            <w:r/>
            <w:r>
              <w:rPr>
                <w:rFonts w:ascii="맑은 고딕" w:hAnsi="맑은 고딕" w:eastAsia="맑은 고딕"/>
                <w:b w:val="0"/>
                <w:sz w:val="17"/>
              </w:rPr>
              <w:t>**자기자본비용** = 4.30% + 1.35 × 5.00%</w:t>
            </w:r>
          </w:p>
        </w:tc>
        <w:tc>
          <w:tcPr>
            <w:tcW w:type="dxa" w:w="4968"/>
          </w:tcPr>
          <w:p>
            <w:pPr>
              <w:spacing w:after="20" w:before="20"/>
              <w:jc w:val="right"/>
            </w:pPr>
            <w:r/>
            <w:r>
              <w:rPr>
                <w:rFonts w:ascii="맑은 고딕" w:hAnsi="맑은 고딕" w:eastAsia="맑은 고딕"/>
                <w:b w:val="0"/>
                <w:sz w:val="17"/>
              </w:rPr>
              <w:t>**11.05%**</w:t>
            </w:r>
          </w:p>
        </w:tc>
      </w:tr>
    </w:tbl>
    <w:p>
      <w:pPr>
        <w:spacing w:after="40"/>
      </w:pPr>
    </w:p>
    <w:p>
      <w:pPr>
        <w:spacing w:after="120"/>
      </w:pPr>
      <w:r>
        <w:rPr>
          <w:rFonts w:ascii="맑은 고딕" w:hAnsi="맑은 고딕" w:eastAsia="맑은 고딕"/>
          <w:i w:val="0"/>
          <w:sz w:val="21"/>
        </w:rPr>
        <w:t xml:space="preserve">약 98%의 자기자본 가중치와 미미한(de minimis) 세후 차입비용을 반영하면, 혼합 </w:t>
      </w:r>
      <w:r>
        <w:rPr>
          <w:rFonts w:ascii="맑은 고딕" w:hAnsi="맑은 고딕" w:eastAsia="맑은 고딕"/>
          <w:b/>
          <w:i w:val="0"/>
          <w:sz w:val="21"/>
        </w:rPr>
        <w:t>WACC는 반올림하여 10.9%</w:t>
      </w:r>
      <w:r>
        <w:rPr>
          <w:rFonts w:ascii="맑은 고딕" w:hAnsi="맑은 고딕" w:eastAsia="맑은 고딕"/>
          <w:i w:val="0"/>
          <w:sz w:val="21"/>
        </w:rPr>
        <w:t>가 된다. 이는 대형 기술주에 통상적으로 적용되는 10~14% 범위 내에서 하단에 위치하는 값으로, 견고한 재무구조를 갖춘 회사에 적절하되 산출 결과를 지나치게 유리하게 부풀릴 만큼 낮지는 않다.</w:t>
      </w:r>
    </w:p>
    <w:p>
      <w:pPr>
        <w:spacing w:before="160" w:after="80"/>
      </w:pPr>
      <w:r>
        <w:rPr>
          <w:rFonts w:ascii="맑은 고딕" w:hAnsi="맑은 고딕" w:eastAsia="맑은 고딕"/>
          <w:b/>
          <w:color w:val="1A1A1A"/>
          <w:sz w:val="22"/>
        </w:rPr>
        <w:t>2.2 잉여현금흐름 및 영구가치</w:t>
      </w:r>
    </w:p>
    <w:p>
      <w:pPr>
        <w:spacing w:after="120"/>
      </w:pPr>
      <w:r>
        <w:rPr>
          <w:rFonts w:ascii="맑은 고딕" w:hAnsi="맑은 고딕" w:eastAsia="맑은 고딕"/>
          <w:i w:val="0"/>
          <w:sz w:val="21"/>
        </w:rPr>
        <w:t>기본 시나리오 모델은 다음과 같은 무차입 FCF 흐름을 산출한다.</w:t>
      </w:r>
    </w:p>
    <w:tbl>
      <w:tblPr>
        <w:tblStyle w:val="LightGrid-Accent1"/>
        <w:tblW w:type="auto" w:w="0"/>
        <w:tblLayout w:type="autofit"/>
        <w:tblLook w:firstColumn="1" w:firstRow="1" w:lastColumn="0" w:lastRow="0" w:noHBand="0" w:noVBand="1" w:val="04A0"/>
      </w:tblPr>
      <w:tblGrid>
        <w:gridCol w:w="4968"/>
        <w:gridCol w:w="4968"/>
      </w:tblGrid>
      <w:tr>
        <w:tc>
          <w:tcPr>
            <w:tcW w:type="dxa" w:w="4968"/>
            <w:shd w:fill="1F3864"/>
          </w:tcPr>
          <w:p>
            <w:pPr>
              <w:spacing w:after="20" w:before="20"/>
              <w:jc w:val="left"/>
            </w:pPr>
            <w:r/>
            <w:r>
              <w:rPr>
                <w:rFonts w:ascii="맑은 고딕" w:hAnsi="맑은 고딕" w:eastAsia="맑은 고딕"/>
                <w:b/>
                <w:color w:val="FFFFFF"/>
                <w:sz w:val="17"/>
              </w:rPr>
              <w:t>회계연도</w:t>
            </w:r>
          </w:p>
        </w:tc>
        <w:tc>
          <w:tcPr>
            <w:tcW w:type="dxa" w:w="4968"/>
            <w:shd w:fill="1F3864"/>
          </w:tcPr>
          <w:p>
            <w:pPr>
              <w:spacing w:after="20" w:before="20"/>
              <w:jc w:val="right"/>
            </w:pPr>
            <w:r/>
            <w:r>
              <w:rPr>
                <w:rFonts w:ascii="맑은 고딕" w:hAnsi="맑은 고딕" w:eastAsia="맑은 고딕"/>
                <w:b/>
                <w:color w:val="FFFFFF"/>
                <w:sz w:val="17"/>
              </w:rPr>
              <w:t>무차입 FCF ($M)</w:t>
            </w:r>
          </w:p>
        </w:tc>
      </w:tr>
      <w:tr>
        <w:tc>
          <w:tcPr>
            <w:tcW w:type="dxa" w:w="4968"/>
          </w:tcPr>
          <w:p>
            <w:pPr>
              <w:spacing w:after="20" w:before="20"/>
              <w:jc w:val="left"/>
            </w:pPr>
            <w:r/>
            <w:r>
              <w:rPr>
                <w:rFonts w:ascii="맑은 고딕" w:hAnsi="맑은 고딕" w:eastAsia="맑은 고딕"/>
                <w:b w:val="0"/>
                <w:sz w:val="17"/>
              </w:rPr>
              <w:t>FY2027E</w:t>
            </w:r>
          </w:p>
        </w:tc>
        <w:tc>
          <w:tcPr>
            <w:tcW w:type="dxa" w:w="4968"/>
          </w:tcPr>
          <w:p>
            <w:pPr>
              <w:spacing w:after="20" w:before="20"/>
              <w:jc w:val="right"/>
            </w:pPr>
            <w:r/>
            <w:r>
              <w:rPr>
                <w:rFonts w:ascii="맑은 고딕" w:hAnsi="맑은 고딕" w:eastAsia="맑은 고딕"/>
                <w:b w:val="0"/>
                <w:sz w:val="17"/>
              </w:rPr>
              <w:t>155,287</w:t>
            </w:r>
          </w:p>
        </w:tc>
      </w:tr>
      <w:tr>
        <w:tc>
          <w:tcPr>
            <w:tcW w:type="dxa" w:w="4968"/>
          </w:tcPr>
          <w:p>
            <w:pPr>
              <w:spacing w:after="20" w:before="20"/>
              <w:jc w:val="left"/>
            </w:pPr>
            <w:r/>
            <w:r>
              <w:rPr>
                <w:rFonts w:ascii="맑은 고딕" w:hAnsi="맑은 고딕" w:eastAsia="맑은 고딕"/>
                <w:b w:val="0"/>
                <w:sz w:val="17"/>
              </w:rPr>
              <w:t>FY2028E</w:t>
            </w:r>
          </w:p>
        </w:tc>
        <w:tc>
          <w:tcPr>
            <w:tcW w:type="dxa" w:w="4968"/>
          </w:tcPr>
          <w:p>
            <w:pPr>
              <w:spacing w:after="20" w:before="20"/>
              <w:jc w:val="right"/>
            </w:pPr>
            <w:r/>
            <w:r>
              <w:rPr>
                <w:rFonts w:ascii="맑은 고딕" w:hAnsi="맑은 고딕" w:eastAsia="맑은 고딕"/>
                <w:b w:val="0"/>
                <w:sz w:val="17"/>
              </w:rPr>
              <w:t>217,447</w:t>
            </w:r>
          </w:p>
        </w:tc>
      </w:tr>
      <w:tr>
        <w:tc>
          <w:tcPr>
            <w:tcW w:type="dxa" w:w="4968"/>
          </w:tcPr>
          <w:p>
            <w:pPr>
              <w:spacing w:after="20" w:before="20"/>
              <w:jc w:val="left"/>
            </w:pPr>
            <w:r/>
            <w:r>
              <w:rPr>
                <w:rFonts w:ascii="맑은 고딕" w:hAnsi="맑은 고딕" w:eastAsia="맑은 고딕"/>
                <w:b w:val="0"/>
                <w:sz w:val="17"/>
              </w:rPr>
              <w:t>FY2029E</w:t>
            </w:r>
          </w:p>
        </w:tc>
        <w:tc>
          <w:tcPr>
            <w:tcW w:type="dxa" w:w="4968"/>
          </w:tcPr>
          <w:p>
            <w:pPr>
              <w:spacing w:after="20" w:before="20"/>
              <w:jc w:val="right"/>
            </w:pPr>
            <w:r/>
            <w:r>
              <w:rPr>
                <w:rFonts w:ascii="맑은 고딕" w:hAnsi="맑은 고딕" w:eastAsia="맑은 고딕"/>
                <w:b w:val="0"/>
                <w:sz w:val="17"/>
              </w:rPr>
              <w:t>266,796</w:t>
            </w:r>
          </w:p>
        </w:tc>
      </w:tr>
      <w:tr>
        <w:tc>
          <w:tcPr>
            <w:tcW w:type="dxa" w:w="4968"/>
          </w:tcPr>
          <w:p>
            <w:pPr>
              <w:spacing w:after="20" w:before="20"/>
              <w:jc w:val="left"/>
            </w:pPr>
            <w:r/>
            <w:r>
              <w:rPr>
                <w:rFonts w:ascii="맑은 고딕" w:hAnsi="맑은 고딕" w:eastAsia="맑은 고딕"/>
                <w:b w:val="0"/>
                <w:sz w:val="17"/>
              </w:rPr>
              <w:t>FY2030E</w:t>
            </w:r>
          </w:p>
        </w:tc>
        <w:tc>
          <w:tcPr>
            <w:tcW w:type="dxa" w:w="4968"/>
          </w:tcPr>
          <w:p>
            <w:pPr>
              <w:spacing w:after="20" w:before="20"/>
              <w:jc w:val="right"/>
            </w:pPr>
            <w:r/>
            <w:r>
              <w:rPr>
                <w:rFonts w:ascii="맑은 고딕" w:hAnsi="맑은 고딕" w:eastAsia="맑은 고딕"/>
                <w:b w:val="0"/>
                <w:sz w:val="17"/>
              </w:rPr>
              <w:t>307,232</w:t>
            </w:r>
          </w:p>
        </w:tc>
      </w:tr>
      <w:tr>
        <w:tc>
          <w:tcPr>
            <w:tcW w:type="dxa" w:w="4968"/>
          </w:tcPr>
          <w:p>
            <w:pPr>
              <w:spacing w:after="20" w:before="20"/>
              <w:jc w:val="left"/>
            </w:pPr>
            <w:r/>
            <w:r>
              <w:rPr>
                <w:rFonts w:ascii="맑은 고딕" w:hAnsi="맑은 고딕" w:eastAsia="맑은 고딕"/>
                <w:b w:val="0"/>
                <w:sz w:val="17"/>
              </w:rPr>
              <w:t>FY2031E</w:t>
            </w:r>
          </w:p>
        </w:tc>
        <w:tc>
          <w:tcPr>
            <w:tcW w:type="dxa" w:w="4968"/>
          </w:tcPr>
          <w:p>
            <w:pPr>
              <w:spacing w:after="20" w:before="20"/>
              <w:jc w:val="right"/>
            </w:pPr>
            <w:r/>
            <w:r>
              <w:rPr>
                <w:rFonts w:ascii="맑은 고딕" w:hAnsi="맑은 고딕" w:eastAsia="맑은 고딕"/>
                <w:b w:val="0"/>
                <w:sz w:val="17"/>
              </w:rPr>
              <w:t>342,871</w:t>
            </w:r>
          </w:p>
        </w:tc>
      </w:tr>
    </w:tbl>
    <w:p>
      <w:pPr>
        <w:spacing w:after="40"/>
      </w:pPr>
    </w:p>
    <w:p>
      <w:pPr>
        <w:spacing w:after="120"/>
      </w:pPr>
      <w:r>
        <w:rPr>
          <w:rFonts w:ascii="맑은 고딕" w:hAnsi="맑은 고딕" w:eastAsia="맑은 고딕"/>
          <w:i w:val="0"/>
          <w:sz w:val="21"/>
        </w:rPr>
        <w:t xml:space="preserve">영구가치는 정규화된 FY2031E 현금흐름에 </w:t>
      </w:r>
      <w:r>
        <w:rPr>
          <w:rFonts w:ascii="맑은 고딕" w:hAnsi="맑은 고딕" w:eastAsia="맑은 고딕"/>
          <w:b/>
          <w:i w:val="0"/>
          <w:sz w:val="21"/>
        </w:rPr>
        <w:t>3.5%의 영구 성장률</w:t>
      </w:r>
      <w:r>
        <w:rPr>
          <w:rFonts w:ascii="맑은 고딕" w:hAnsi="맑은 고딕" w:eastAsia="맑은 고딕"/>
          <w:i w:val="0"/>
          <w:sz w:val="21"/>
        </w:rPr>
        <w:t>(고든 성장)을 적용하고 10.9%로 할인하여 산출한다. 명시적 FCF와 영구가치를 할인하면 다음과 같은 결과가 도출된다.</w:t>
      </w:r>
    </w:p>
    <w:tbl>
      <w:tblPr>
        <w:tblStyle w:val="LightGrid-Accent1"/>
        <w:tblW w:type="auto" w:w="0"/>
        <w:tblLayout w:type="autofit"/>
        <w:tblLook w:firstColumn="1" w:firstRow="1" w:lastColumn="0" w:lastRow="0" w:noHBand="0" w:noVBand="1" w:val="04A0"/>
      </w:tblPr>
      <w:tblGrid>
        <w:gridCol w:w="4968"/>
        <w:gridCol w:w="4968"/>
      </w:tblGrid>
      <w:tr>
        <w:tc>
          <w:tcPr>
            <w:tcW w:type="dxa" w:w="4968"/>
            <w:shd w:fill="1F3864"/>
          </w:tcPr>
          <w:p>
            <w:pPr>
              <w:spacing w:after="20" w:before="20"/>
              <w:jc w:val="left"/>
            </w:pPr>
            <w:r/>
            <w:r>
              <w:rPr>
                <w:rFonts w:ascii="맑은 고딕" w:hAnsi="맑은 고딕" w:eastAsia="맑은 고딕"/>
                <w:b/>
                <w:color w:val="FFFFFF"/>
                <w:sz w:val="17"/>
              </w:rPr>
              <w:t>브릿지 항목</w:t>
            </w:r>
          </w:p>
        </w:tc>
        <w:tc>
          <w:tcPr>
            <w:tcW w:type="dxa" w:w="4968"/>
            <w:shd w:fill="1F3864"/>
          </w:tcPr>
          <w:p>
            <w:pPr>
              <w:spacing w:after="20" w:before="20"/>
              <w:jc w:val="right"/>
            </w:pPr>
            <w:r/>
            <w:r>
              <w:rPr>
                <w:rFonts w:ascii="맑은 고딕" w:hAnsi="맑은 고딕" w:eastAsia="맑은 고딕"/>
                <w:b/>
                <w:color w:val="FFFFFF"/>
                <w:sz w:val="17"/>
              </w:rPr>
              <w:t>값</w:t>
            </w:r>
          </w:p>
        </w:tc>
      </w:tr>
      <w:tr>
        <w:tc>
          <w:tcPr>
            <w:tcW w:type="dxa" w:w="4968"/>
          </w:tcPr>
          <w:p>
            <w:pPr>
              <w:spacing w:after="20" w:before="20"/>
              <w:jc w:val="left"/>
            </w:pPr>
            <w:r/>
            <w:r>
              <w:rPr>
                <w:rFonts w:ascii="맑은 고딕" w:hAnsi="맑은 고딕" w:eastAsia="맑은 고딕"/>
                <w:b w:val="0"/>
                <w:sz w:val="17"/>
              </w:rPr>
              <w:t>기업가치(EV, 기본)</w:t>
            </w:r>
          </w:p>
        </w:tc>
        <w:tc>
          <w:tcPr>
            <w:tcW w:type="dxa" w:w="4968"/>
          </w:tcPr>
          <w:p>
            <w:pPr>
              <w:spacing w:after="20" w:before="20"/>
              <w:jc w:val="right"/>
            </w:pPr>
            <w:r/>
            <w:r>
              <w:rPr>
                <w:rFonts w:ascii="맑은 고딕" w:hAnsi="맑은 고딕" w:eastAsia="맑은 고딕"/>
                <w:b w:val="0"/>
                <w:sz w:val="17"/>
              </w:rPr>
              <w:t>**$3.785T**</w:t>
            </w:r>
          </w:p>
        </w:tc>
      </w:tr>
      <w:tr>
        <w:tc>
          <w:tcPr>
            <w:tcW w:type="dxa" w:w="4968"/>
          </w:tcPr>
          <w:p>
            <w:pPr>
              <w:spacing w:after="20" w:before="20"/>
              <w:jc w:val="left"/>
            </w:pPr>
            <w:r/>
            <w:r>
              <w:rPr>
                <w:rFonts w:ascii="맑은 고딕" w:hAnsi="맑은 고딕" w:eastAsia="맑은 고딕"/>
                <w:b w:val="0"/>
                <w:sz w:val="17"/>
              </w:rPr>
              <w:t>(+) 순현금</w:t>
            </w:r>
          </w:p>
        </w:tc>
        <w:tc>
          <w:tcPr>
            <w:tcW w:type="dxa" w:w="4968"/>
          </w:tcPr>
          <w:p>
            <w:pPr>
              <w:spacing w:after="20" w:before="20"/>
              <w:jc w:val="right"/>
            </w:pPr>
            <w:r/>
            <w:r>
              <w:rPr>
                <w:rFonts w:ascii="맑은 고딕" w:hAnsi="맑은 고딕" w:eastAsia="맑은 고딕"/>
                <w:b w:val="0"/>
                <w:sz w:val="17"/>
              </w:rPr>
              <w:t>+$54.1B</w:t>
            </w:r>
          </w:p>
        </w:tc>
      </w:tr>
      <w:tr>
        <w:tc>
          <w:tcPr>
            <w:tcW w:type="dxa" w:w="4968"/>
          </w:tcPr>
          <w:p>
            <w:pPr>
              <w:spacing w:after="20" w:before="20"/>
              <w:jc w:val="left"/>
            </w:pPr>
            <w:r/>
            <w:r>
              <w:rPr>
                <w:rFonts w:ascii="맑은 고딕" w:hAnsi="맑은 고딕" w:eastAsia="맑은 고딕"/>
                <w:b w:val="0"/>
                <w:sz w:val="17"/>
              </w:rPr>
              <w:t>**자기자본 가치**</w:t>
            </w:r>
          </w:p>
        </w:tc>
        <w:tc>
          <w:tcPr>
            <w:tcW w:type="dxa" w:w="4968"/>
          </w:tcPr>
          <w:p>
            <w:pPr>
              <w:spacing w:after="20" w:before="20"/>
              <w:jc w:val="right"/>
            </w:pPr>
            <w:r/>
            <w:r>
              <w:rPr>
                <w:rFonts w:ascii="맑은 고딕" w:hAnsi="맑은 고딕" w:eastAsia="맑은 고딕"/>
                <w:b w:val="0"/>
                <w:sz w:val="17"/>
              </w:rPr>
              <w:t>**$3.839T**</w:t>
            </w:r>
          </w:p>
        </w:tc>
      </w:tr>
      <w:tr>
        <w:tc>
          <w:tcPr>
            <w:tcW w:type="dxa" w:w="4968"/>
          </w:tcPr>
          <w:p>
            <w:pPr>
              <w:spacing w:after="20" w:before="20"/>
              <w:jc w:val="left"/>
            </w:pPr>
            <w:r/>
            <w:r>
              <w:rPr>
                <w:rFonts w:ascii="맑은 고딕" w:hAnsi="맑은 고딕" w:eastAsia="맑은 고딕"/>
                <w:b w:val="0"/>
                <w:sz w:val="17"/>
              </w:rPr>
              <w:t>(÷) 희석 주식 수</w:t>
            </w:r>
          </w:p>
        </w:tc>
        <w:tc>
          <w:tcPr>
            <w:tcW w:type="dxa" w:w="4968"/>
          </w:tcPr>
          <w:p>
            <w:pPr>
              <w:spacing w:after="20" w:before="20"/>
              <w:jc w:val="right"/>
            </w:pPr>
            <w:r/>
            <w:r>
              <w:rPr>
                <w:rFonts w:ascii="맑은 고딕" w:hAnsi="맑은 고딕" w:eastAsia="맑은 고딕"/>
                <w:b w:val="0"/>
                <w:sz w:val="17"/>
              </w:rPr>
              <w:t>24,514M</w:t>
            </w:r>
          </w:p>
        </w:tc>
      </w:tr>
      <w:tr>
        <w:tc>
          <w:tcPr>
            <w:tcW w:type="dxa" w:w="4968"/>
          </w:tcPr>
          <w:p>
            <w:pPr>
              <w:spacing w:after="20" w:before="20"/>
              <w:jc w:val="left"/>
            </w:pPr>
            <w:r/>
            <w:r>
              <w:rPr>
                <w:rFonts w:ascii="맑은 고딕" w:hAnsi="맑은 고딕" w:eastAsia="맑은 고딕"/>
                <w:b w:val="0"/>
                <w:sz w:val="17"/>
              </w:rPr>
              <w:t>**DCF 주당 가치**</w:t>
            </w:r>
          </w:p>
        </w:tc>
        <w:tc>
          <w:tcPr>
            <w:tcW w:type="dxa" w:w="4968"/>
          </w:tcPr>
          <w:p>
            <w:pPr>
              <w:spacing w:after="20" w:before="20"/>
              <w:jc w:val="right"/>
            </w:pPr>
            <w:r/>
            <w:r>
              <w:rPr>
                <w:rFonts w:ascii="맑은 고딕" w:hAnsi="맑은 고딕" w:eastAsia="맑은 고딕"/>
                <w:b w:val="0"/>
                <w:sz w:val="17"/>
              </w:rPr>
              <w:t>**$156.6 (~$157)**</w:t>
            </w:r>
          </w:p>
        </w:tc>
      </w:tr>
      <w:tr>
        <w:tc>
          <w:tcPr>
            <w:tcW w:type="dxa" w:w="4968"/>
          </w:tcPr>
          <w:p>
            <w:pPr>
              <w:spacing w:after="20" w:before="20"/>
              <w:jc w:val="left"/>
            </w:pPr>
            <w:r/>
            <w:r>
              <w:rPr>
                <w:rFonts w:ascii="맑은 고딕" w:hAnsi="맑은 고딕" w:eastAsia="맑은 고딕"/>
                <w:b w:val="0"/>
                <w:sz w:val="17"/>
              </w:rPr>
              <w:t>$207.40 대비 내재 기대수익률</w:t>
            </w:r>
          </w:p>
        </w:tc>
        <w:tc>
          <w:tcPr>
            <w:tcW w:type="dxa" w:w="4968"/>
          </w:tcPr>
          <w:p>
            <w:pPr>
              <w:spacing w:after="20" w:before="20"/>
              <w:jc w:val="right"/>
            </w:pPr>
            <w:r/>
            <w:r>
              <w:rPr>
                <w:rFonts w:ascii="맑은 고딕" w:hAnsi="맑은 고딕" w:eastAsia="맑은 고딕"/>
                <w:b w:val="0"/>
                <w:sz w:val="17"/>
              </w:rPr>
              <w:t>**−24.5%**</w:t>
            </w:r>
          </w:p>
        </w:tc>
      </w:tr>
    </w:tbl>
    <w:p>
      <w:pPr>
        <w:spacing w:after="40"/>
      </w:pPr>
    </w:p>
    <w:p>
      <w:pPr>
        <w:spacing w:before="160" w:after="80"/>
      </w:pPr>
      <w:r>
        <w:rPr>
          <w:rFonts w:ascii="맑은 고딕" w:hAnsi="맑은 고딕" w:eastAsia="맑은 고딕"/>
          <w:b/>
          <w:color w:val="1A1A1A"/>
          <w:sz w:val="22"/>
        </w:rPr>
        <w:t>2.3 민감도 분석</w:t>
      </w:r>
    </w:p>
    <w:p>
      <w:pPr>
        <w:spacing w:after="120"/>
      </w:pPr>
      <w:r>
        <w:rPr>
          <w:rFonts w:ascii="맑은 고딕" w:hAnsi="맑은 고딕" w:eastAsia="맑은 고딕"/>
          <w:i w:val="0"/>
          <w:sz w:val="21"/>
        </w:rPr>
        <w:t xml:space="preserve">NVIDIA의 DCF는 할인율과 영구 성장률 가정에 매우 민감하다. 기본 시나리오($157)는 대략 WACC 10.9% / g 3.5%를 필요로 한다. 주가는 </w:t>
      </w:r>
      <w:r>
        <w:rPr>
          <w:rFonts w:ascii="맑은 고딕" w:hAnsi="맑은 고딕" w:eastAsia="맑은 고딕"/>
          <w:b/>
          <w:i w:val="0"/>
          <w:sz w:val="21"/>
        </w:rPr>
        <w:t>WACC가 약 9% 이하</w:t>
      </w:r>
      <w:r>
        <w:rPr>
          <w:rFonts w:ascii="맑은 고딕" w:hAnsi="맑은 고딕" w:eastAsia="맑은 고딕"/>
          <w:i w:val="0"/>
          <w:sz w:val="21"/>
        </w:rPr>
        <w:t>일 때에만 현재 가격 근처에서 정당화된다.</w:t>
      </w:r>
    </w:p>
    <w:p>
      <w:pPr>
        <w:spacing w:after="120"/>
      </w:pPr>
      <w:r>
        <w:rPr>
          <w:rFonts w:ascii="맑은 고딕" w:hAnsi="맑은 고딕" w:eastAsia="맑은 고딕"/>
          <w:b/>
          <w:i w:val="0"/>
          <w:sz w:val="21"/>
        </w:rPr>
        <w:t>주당 가치 — WACC × 영구 성장률</w:t>
      </w:r>
    </w:p>
    <w:tbl>
      <w:tblPr>
        <w:tblStyle w:val="LightGrid-Accent1"/>
        <w:tblW w:type="auto" w:w="0"/>
        <w:tblLayout w:type="autofit"/>
        <w:tblLook w:firstColumn="1" w:firstRow="1" w:lastColumn="0" w:lastRow="0" w:noHBand="0" w:noVBand="1" w:val="04A0"/>
      </w:tblPr>
      <w:tblGrid>
        <w:gridCol w:w="2484"/>
        <w:gridCol w:w="2484"/>
        <w:gridCol w:w="2484"/>
        <w:gridCol w:w="2484"/>
      </w:tblGrid>
      <w:tr>
        <w:tc>
          <w:tcPr>
            <w:tcW w:type="dxa" w:w="2484"/>
            <w:shd w:fill="1F3864"/>
          </w:tcPr>
          <w:p>
            <w:pPr>
              <w:spacing w:after="20" w:before="20"/>
              <w:jc w:val="left"/>
            </w:pPr>
            <w:r/>
            <w:r>
              <w:rPr>
                <w:rFonts w:ascii="맑은 고딕" w:hAnsi="맑은 고딕" w:eastAsia="맑은 고딕"/>
                <w:b/>
                <w:color w:val="FFFFFF"/>
                <w:sz w:val="17"/>
              </w:rPr>
              <w:t>WACC \ g</w:t>
            </w:r>
          </w:p>
        </w:tc>
        <w:tc>
          <w:tcPr>
            <w:tcW w:type="dxa" w:w="2484"/>
            <w:shd w:fill="1F3864"/>
          </w:tcPr>
          <w:p>
            <w:pPr>
              <w:spacing w:after="20" w:before="20"/>
              <w:jc w:val="right"/>
            </w:pPr>
            <w:r/>
            <w:r>
              <w:rPr>
                <w:rFonts w:ascii="맑은 고딕" w:hAnsi="맑은 고딕" w:eastAsia="맑은 고딕"/>
                <w:b/>
                <w:color w:val="FFFFFF"/>
                <w:sz w:val="17"/>
              </w:rPr>
              <w:t>3.0%</w:t>
            </w:r>
          </w:p>
        </w:tc>
        <w:tc>
          <w:tcPr>
            <w:tcW w:type="dxa" w:w="2484"/>
            <w:shd w:fill="1F3864"/>
          </w:tcPr>
          <w:p>
            <w:pPr>
              <w:spacing w:after="20" w:before="20"/>
              <w:jc w:val="right"/>
            </w:pPr>
            <w:r/>
            <w:r>
              <w:rPr>
                <w:rFonts w:ascii="맑은 고딕" w:hAnsi="맑은 고딕" w:eastAsia="맑은 고딕"/>
                <w:b/>
                <w:color w:val="FFFFFF"/>
                <w:sz w:val="17"/>
              </w:rPr>
              <w:t>3.5%</w:t>
            </w:r>
          </w:p>
        </w:tc>
        <w:tc>
          <w:tcPr>
            <w:tcW w:type="dxa" w:w="2484"/>
            <w:shd w:fill="1F3864"/>
          </w:tcPr>
          <w:p>
            <w:pPr>
              <w:spacing w:after="20" w:before="20"/>
              <w:jc w:val="right"/>
            </w:pPr>
            <w:r/>
            <w:r>
              <w:rPr>
                <w:rFonts w:ascii="맑은 고딕" w:hAnsi="맑은 고딕" w:eastAsia="맑은 고딕"/>
                <w:b/>
                <w:color w:val="FFFFFF"/>
                <w:sz w:val="17"/>
              </w:rPr>
              <w:t>4.0%</w:t>
            </w:r>
          </w:p>
        </w:tc>
      </w:tr>
      <w:tr>
        <w:tc>
          <w:tcPr>
            <w:tcW w:type="dxa" w:w="2484"/>
          </w:tcPr>
          <w:p>
            <w:pPr>
              <w:spacing w:after="20" w:before="20"/>
              <w:jc w:val="left"/>
            </w:pPr>
            <w:r/>
            <w:r>
              <w:rPr>
                <w:rFonts w:ascii="맑은 고딕" w:hAnsi="맑은 고딕" w:eastAsia="맑은 고딕"/>
                <w:b w:val="0"/>
                <w:sz w:val="17"/>
              </w:rPr>
              <w:t>**9.5%**</w:t>
            </w:r>
          </w:p>
        </w:tc>
        <w:tc>
          <w:tcPr>
            <w:tcW w:type="dxa" w:w="2484"/>
          </w:tcPr>
          <w:p>
            <w:pPr>
              <w:spacing w:after="20" w:before="20"/>
              <w:jc w:val="right"/>
            </w:pPr>
            <w:r/>
            <w:r>
              <w:rPr>
                <w:rFonts w:ascii="맑은 고딕" w:hAnsi="맑은 고딕" w:eastAsia="맑은 고딕"/>
                <w:b w:val="0"/>
                <w:sz w:val="17"/>
              </w:rPr>
              <w:t>기본치 상회</w:t>
            </w:r>
          </w:p>
        </w:tc>
        <w:tc>
          <w:tcPr>
            <w:tcW w:type="dxa" w:w="2484"/>
          </w:tcPr>
          <w:p>
            <w:pPr>
              <w:spacing w:after="20" w:before="20"/>
              <w:jc w:val="right"/>
            </w:pPr>
            <w:r/>
            <w:r>
              <w:rPr>
                <w:rFonts w:ascii="맑은 고딕" w:hAnsi="맑은 고딕" w:eastAsia="맑은 고딕"/>
                <w:b w:val="0"/>
                <w:sz w:val="17"/>
              </w:rPr>
              <w:t>~$180–200 (현재가에 근접)</w:t>
            </w:r>
          </w:p>
        </w:tc>
        <w:tc>
          <w:tcPr>
            <w:tcW w:type="dxa" w:w="2484"/>
          </w:tcPr>
          <w:p>
            <w:pPr>
              <w:spacing w:after="20" w:before="20"/>
              <w:jc w:val="right"/>
            </w:pPr>
            <w:r/>
            <w:r>
              <w:rPr>
                <w:rFonts w:ascii="맑은 고딕" w:hAnsi="맑은 고딕" w:eastAsia="맑은 고딕"/>
                <w:b w:val="0"/>
                <w:sz w:val="17"/>
              </w:rPr>
              <w:t>더 높음</w:t>
            </w:r>
          </w:p>
        </w:tc>
      </w:tr>
      <w:tr>
        <w:tc>
          <w:tcPr>
            <w:tcW w:type="dxa" w:w="2484"/>
          </w:tcPr>
          <w:p>
            <w:pPr>
              <w:spacing w:after="20" w:before="20"/>
              <w:jc w:val="left"/>
            </w:pPr>
            <w:r/>
            <w:r>
              <w:rPr>
                <w:rFonts w:ascii="맑은 고딕" w:hAnsi="맑은 고딕" w:eastAsia="맑은 고딕"/>
                <w:b w:val="0"/>
                <w:sz w:val="17"/>
              </w:rPr>
              <w:t>**10.9%**</w:t>
            </w:r>
          </w:p>
        </w:tc>
        <w:tc>
          <w:tcPr>
            <w:tcW w:type="dxa" w:w="2484"/>
          </w:tcPr>
          <w:p>
            <w:pPr>
              <w:spacing w:after="20" w:before="20"/>
              <w:jc w:val="right"/>
            </w:pPr>
            <w:r/>
            <w:r>
              <w:rPr>
                <w:rFonts w:ascii="맑은 고딕" w:hAnsi="맑은 고딕" w:eastAsia="맑은 고딕"/>
                <w:b w:val="0"/>
                <w:sz w:val="17"/>
              </w:rPr>
              <w:t>~$150</w:t>
            </w:r>
          </w:p>
        </w:tc>
        <w:tc>
          <w:tcPr>
            <w:tcW w:type="dxa" w:w="2484"/>
          </w:tcPr>
          <w:p>
            <w:pPr>
              <w:spacing w:after="20" w:before="20"/>
              <w:jc w:val="right"/>
            </w:pPr>
            <w:r/>
            <w:r>
              <w:rPr>
                <w:rFonts w:ascii="맑은 고딕" w:hAnsi="맑은 고딕" w:eastAsia="맑은 고딕"/>
                <w:b w:val="0"/>
                <w:sz w:val="17"/>
              </w:rPr>
              <w:t>**$157 (기본)**</w:t>
            </w:r>
          </w:p>
        </w:tc>
        <w:tc>
          <w:tcPr>
            <w:tcW w:type="dxa" w:w="2484"/>
          </w:tcPr>
          <w:p>
            <w:pPr>
              <w:spacing w:after="20" w:before="20"/>
              <w:jc w:val="right"/>
            </w:pPr>
            <w:r/>
            <w:r>
              <w:rPr>
                <w:rFonts w:ascii="맑은 고딕" w:hAnsi="맑은 고딕" w:eastAsia="맑은 고딕"/>
                <w:b w:val="0"/>
                <w:sz w:val="17"/>
              </w:rPr>
              <w:t>~$165</w:t>
            </w:r>
          </w:p>
        </w:tc>
      </w:tr>
      <w:tr>
        <w:tc>
          <w:tcPr>
            <w:tcW w:type="dxa" w:w="2484"/>
          </w:tcPr>
          <w:p>
            <w:pPr>
              <w:spacing w:after="20" w:before="20"/>
              <w:jc w:val="left"/>
            </w:pPr>
            <w:r/>
            <w:r>
              <w:rPr>
                <w:rFonts w:ascii="맑은 고딕" w:hAnsi="맑은 고딕" w:eastAsia="맑은 고딕"/>
                <w:b w:val="0"/>
                <w:sz w:val="17"/>
              </w:rPr>
              <w:t>**12.0%**</w:t>
            </w:r>
          </w:p>
        </w:tc>
        <w:tc>
          <w:tcPr>
            <w:tcW w:type="dxa" w:w="2484"/>
          </w:tcPr>
          <w:p>
            <w:pPr>
              <w:spacing w:after="20" w:before="20"/>
              <w:jc w:val="right"/>
            </w:pPr>
            <w:r/>
            <w:r>
              <w:rPr>
                <w:rFonts w:ascii="맑은 고딕" w:hAnsi="맑은 고딕" w:eastAsia="맑은 고딕"/>
                <w:b w:val="0"/>
                <w:sz w:val="17"/>
              </w:rPr>
              <w:t>~$140</w:t>
            </w:r>
          </w:p>
        </w:tc>
        <w:tc>
          <w:tcPr>
            <w:tcW w:type="dxa" w:w="2484"/>
          </w:tcPr>
          <w:p>
            <w:pPr>
              <w:spacing w:after="20" w:before="20"/>
              <w:jc w:val="right"/>
            </w:pPr>
            <w:r/>
            <w:r>
              <w:rPr>
                <w:rFonts w:ascii="맑은 고딕" w:hAnsi="맑은 고딕" w:eastAsia="맑은 고딕"/>
                <w:b w:val="0"/>
                <w:sz w:val="17"/>
              </w:rPr>
              <w:t>~$149</w:t>
            </w:r>
          </w:p>
        </w:tc>
        <w:tc>
          <w:tcPr>
            <w:tcW w:type="dxa" w:w="2484"/>
          </w:tcPr>
          <w:p>
            <w:pPr>
              <w:spacing w:after="20" w:before="20"/>
              <w:jc w:val="right"/>
            </w:pPr>
            <w:r/>
            <w:r>
              <w:rPr>
                <w:rFonts w:ascii="맑은 고딕" w:hAnsi="맑은 고딕" w:eastAsia="맑은 고딕"/>
                <w:b w:val="0"/>
                <w:sz w:val="17"/>
              </w:rPr>
              <w:t>~$160</w:t>
            </w:r>
          </w:p>
        </w:tc>
      </w:tr>
    </w:tbl>
    <w:p>
      <w:pPr>
        <w:spacing w:after="40"/>
      </w:pPr>
    </w:p>
    <w:p>
      <w:pPr>
        <w:spacing w:after="120"/>
      </w:pPr>
      <w:r>
        <w:rPr>
          <w:rFonts w:ascii="맑은 고딕" w:hAnsi="맑은 고딕" w:eastAsia="맑은 고딕"/>
          <w:i w:val="0"/>
          <w:sz w:val="21"/>
        </w:rPr>
        <w:t xml:space="preserve">모델에서 도출된 코너(corner) 기준점: WACC 8.5% / g 2.5% ≈ </w:t>
      </w:r>
      <w:r>
        <w:rPr>
          <w:rFonts w:ascii="맑은 고딕" w:hAnsi="맑은 고딕" w:eastAsia="맑은 고딕"/>
          <w:b/>
          <w:i w:val="0"/>
          <w:sz w:val="21"/>
        </w:rPr>
        <w:t>$201</w:t>
      </w:r>
      <w:r>
        <w:rPr>
          <w:rFonts w:ascii="맑은 고딕" w:hAnsi="맑은 고딕" w:eastAsia="맑은 고딕"/>
          <w:i w:val="0"/>
          <w:sz w:val="21"/>
        </w:rPr>
        <w:t xml:space="preserve">; 기본 WACC 10.9% / g 3.5% = </w:t>
      </w:r>
      <w:r>
        <w:rPr>
          <w:rFonts w:ascii="맑은 고딕" w:hAnsi="맑은 고딕" w:eastAsia="맑은 고딕"/>
          <w:b/>
          <w:i w:val="0"/>
          <w:sz w:val="21"/>
        </w:rPr>
        <w:t>$157</w:t>
      </w:r>
      <w:r>
        <w:rPr>
          <w:rFonts w:ascii="맑은 고딕" w:hAnsi="맑은 고딕" w:eastAsia="맑은 고딕"/>
          <w:i w:val="0"/>
          <w:sz w:val="21"/>
        </w:rPr>
        <w:t xml:space="preserve">; WACC 12% / g 4.5% ≈ </w:t>
      </w:r>
      <w:r>
        <w:rPr>
          <w:rFonts w:ascii="맑은 고딕" w:hAnsi="맑은 고딕" w:eastAsia="맑은 고딕"/>
          <w:b/>
          <w:i w:val="0"/>
          <w:sz w:val="21"/>
        </w:rPr>
        <w:t>$149</w:t>
      </w:r>
      <w:r>
        <w:rPr>
          <w:rFonts w:ascii="맑은 고딕" w:hAnsi="맑은 고딕" w:eastAsia="맑은 고딕"/>
          <w:i w:val="0"/>
          <w:sz w:val="21"/>
        </w:rPr>
        <w:t xml:space="preserve">. 코너 값들은 정성적으로 제시되며, 당사가 이후 사용하는 점 추정치(point estimate)는 기본치 </w:t>
      </w:r>
      <w:r>
        <w:rPr>
          <w:rFonts w:ascii="맑은 고딕" w:hAnsi="맑은 고딕" w:eastAsia="맑은 고딕"/>
          <w:b/>
          <w:i w:val="0"/>
          <w:sz w:val="21"/>
        </w:rPr>
        <w:t>$157</w:t>
      </w:r>
      <w:r>
        <w:rPr>
          <w:rFonts w:ascii="맑은 고딕" w:hAnsi="맑은 고딕" w:eastAsia="맑은 고딕"/>
          <w:i w:val="0"/>
          <w:sz w:val="21"/>
        </w:rPr>
        <w:t>이다.</w:t>
      </w:r>
    </w:p>
    <w:p>
      <w:pPr>
        <w:spacing w:before="160" w:after="80"/>
      </w:pPr>
      <w:r>
        <w:rPr>
          <w:rFonts w:ascii="맑은 고딕" w:hAnsi="맑은 고딕" w:eastAsia="맑은 고딕"/>
          <w:b/>
          <w:color w:val="1A1A1A"/>
          <w:sz w:val="22"/>
        </w:rPr>
        <w:t>2.4 핵심 DCF 한계 — 영구가치 비중</w:t>
      </w:r>
    </w:p>
    <w:p>
      <w:pPr>
        <w:spacing w:after="120"/>
      </w:pPr>
      <w:r>
        <w:rPr>
          <w:rFonts w:ascii="맑은 고딕" w:hAnsi="맑은 고딕" w:eastAsia="맑은 고딕"/>
          <w:i w:val="0"/>
          <w:sz w:val="21"/>
        </w:rPr>
        <w:t xml:space="preserve">가장 중요한 유의점은 다음과 같다. </w:t>
      </w:r>
      <w:r>
        <w:rPr>
          <w:rFonts w:ascii="맑은 고딕" w:hAnsi="맑은 고딕" w:eastAsia="맑은 고딕"/>
          <w:b/>
          <w:i w:val="0"/>
          <w:sz w:val="21"/>
        </w:rPr>
        <w:t>영구가치가 기업가치의 75.7%를 차지한다.</w:t>
      </w:r>
      <w:r>
        <w:rPr>
          <w:rFonts w:ascii="맑은 고딕" w:hAnsi="맑은 고딕" w:eastAsia="맑은 고딕"/>
          <w:i w:val="0"/>
          <w:sz w:val="21"/>
        </w:rPr>
        <w:t xml:space="preserve"> 이는 절대적 기준으로 높은 수치이며, 밸류에이션의 4분의 3이 FY2031 이후 NVIDIA의 정상상태(steady-state) 경제성에 관한 가정에 의존한다는 것을 의미한다 — 이는 경영진의 약 1조 달러 규모 Blackwell/Rubin 수주잔고의 가시성조차 훨씬 넘어서는 기간이다. 높은 영구가치 비중은 초고속 성장 복리 기업에서 통상적이며 대체로 불가피하나(근시일 FCF가 영구가치 대비 작음), 이로 인해 산출 결과가 WACC/영구 성장률 조합에 구조적으로 취약해진다. 당사는 이를 내재가치 접근법의 주된 한계로 지적하며, DCF에 55%를 초과하는 가중치를 부여하지 않는 이유로 삼는다.</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3. 유사기업 비교(Comparable Companies) 분석</w:t>
      </w:r>
    </w:p>
    <w:p>
      <w:pPr>
        <w:spacing w:before="160" w:after="80"/>
      </w:pPr>
      <w:r>
        <w:rPr>
          <w:rFonts w:ascii="맑은 고딕" w:hAnsi="맑은 고딕" w:eastAsia="맑은 고딕"/>
          <w:b/>
          <w:color w:val="1A1A1A"/>
          <w:sz w:val="22"/>
        </w:rPr>
        <w:t>3.1 동종그룹(Peer Set)</w:t>
      </w:r>
    </w:p>
    <w:p>
      <w:pPr>
        <w:spacing w:after="120"/>
      </w:pPr>
      <w:r>
        <w:rPr>
          <w:rFonts w:ascii="맑은 고딕" w:hAnsi="맑은 고딕" w:eastAsia="맑은 고딕"/>
          <w:i w:val="0"/>
          <w:sz w:val="21"/>
        </w:rPr>
        <w:t xml:space="preserve">당사는 2026-07-16 기준으로 NVIDIA를 8개의 AI/반도체 peer와 비교한다: </w:t>
      </w:r>
      <w:r>
        <w:rPr>
          <w:rFonts w:ascii="맑은 고딕" w:hAnsi="맑은 고딕" w:eastAsia="맑은 고딕"/>
          <w:b/>
          <w:i w:val="0"/>
          <w:sz w:val="21"/>
        </w:rPr>
        <w:t>AMD, Broadcom(AVGO), TSMC(TSM), Qualcomm(QCOM), Marvell(MRVL), Micron(MU), Intel(INTC), Arm(ARM)</w:t>
      </w:r>
      <w:r>
        <w:rPr>
          <w:rFonts w:ascii="맑은 고딕" w:hAnsi="맑은 고딕" w:eastAsia="맑은 고딕"/>
          <w:i w:val="0"/>
          <w:sz w:val="21"/>
        </w:rPr>
        <w:t>. NTM 수치는 보고된 컨센서스가 아니라 일관성을 위해 당사가 내부적으로 추정한 값이며, 방향성을 나타내는 지표로 해석해야 한다.</w:t>
      </w:r>
    </w:p>
    <w:p>
      <w:pPr>
        <w:spacing w:before="160" w:after="80"/>
      </w:pPr>
      <w:r>
        <w:rPr>
          <w:rFonts w:ascii="맑은 고딕" w:hAnsi="맑은 고딕" w:eastAsia="맑은 고딕"/>
          <w:b/>
          <w:color w:val="1A1A1A"/>
          <w:sz w:val="22"/>
        </w:rPr>
        <w:t>3.2 Peer 멀티플의 통계 요약</w:t>
      </w:r>
    </w:p>
    <w:tbl>
      <w:tblPr>
        <w:tblStyle w:val="LightGrid-Accent1"/>
        <w:tblW w:type="auto" w:w="0"/>
        <w:tblLayout w:type="autofit"/>
        <w:tblLook w:firstColumn="1" w:firstRow="1" w:lastColumn="0" w:lastRow="0" w:noHBand="0" w:noVBand="1" w:val="04A0"/>
      </w:tblPr>
      <w:tblGrid>
        <w:gridCol w:w="3312"/>
        <w:gridCol w:w="3312"/>
        <w:gridCol w:w="3312"/>
      </w:tblGrid>
      <w:tr>
        <w:tc>
          <w:tcPr>
            <w:tcW w:type="dxa" w:w="3312"/>
            <w:shd w:fill="1F3864"/>
          </w:tcPr>
          <w:p>
            <w:pPr>
              <w:spacing w:after="20" w:before="20"/>
              <w:jc w:val="left"/>
            </w:pPr>
            <w:r/>
            <w:r>
              <w:rPr>
                <w:rFonts w:ascii="맑은 고딕" w:hAnsi="맑은 고딕" w:eastAsia="맑은 고딕"/>
                <w:b/>
                <w:color w:val="FFFFFF"/>
                <w:sz w:val="17"/>
              </w:rPr>
              <w:t>통계량</w:t>
            </w:r>
          </w:p>
        </w:tc>
        <w:tc>
          <w:tcPr>
            <w:tcW w:type="dxa" w:w="3312"/>
            <w:shd w:fill="1F3864"/>
          </w:tcPr>
          <w:p>
            <w:pPr>
              <w:spacing w:after="20" w:before="20"/>
              <w:jc w:val="right"/>
            </w:pPr>
            <w:r/>
            <w:r>
              <w:rPr>
                <w:rFonts w:ascii="맑은 고딕" w:hAnsi="맑은 고딕" w:eastAsia="맑은 고딕"/>
                <w:b/>
                <w:color w:val="FFFFFF"/>
                <w:sz w:val="17"/>
              </w:rPr>
              <w:t>NTM EV/EBITDA</w:t>
            </w:r>
          </w:p>
        </w:tc>
        <w:tc>
          <w:tcPr>
            <w:tcW w:type="dxa" w:w="3312"/>
            <w:shd w:fill="1F3864"/>
          </w:tcPr>
          <w:p>
            <w:pPr>
              <w:spacing w:after="20" w:before="20"/>
              <w:jc w:val="right"/>
            </w:pPr>
            <w:r/>
            <w:r>
              <w:rPr>
                <w:rFonts w:ascii="맑은 고딕" w:hAnsi="맑은 고딕" w:eastAsia="맑은 고딕"/>
                <w:b/>
                <w:color w:val="FFFFFF"/>
                <w:sz w:val="17"/>
              </w:rPr>
              <w:t>NTM P/E</w:t>
            </w:r>
          </w:p>
        </w:tc>
      </w:tr>
      <w:tr>
        <w:tc>
          <w:tcPr>
            <w:tcW w:type="dxa" w:w="3312"/>
          </w:tcPr>
          <w:p>
            <w:pPr>
              <w:spacing w:after="20" w:before="20"/>
              <w:jc w:val="left"/>
            </w:pPr>
            <w:r/>
            <w:r>
              <w:rPr>
                <w:rFonts w:ascii="맑은 고딕" w:hAnsi="맑은 고딕" w:eastAsia="맑은 고딕"/>
                <w:b w:val="0"/>
                <w:sz w:val="17"/>
              </w:rPr>
              <w:t>최소값</w:t>
            </w:r>
          </w:p>
        </w:tc>
        <w:tc>
          <w:tcPr>
            <w:tcW w:type="dxa" w:w="3312"/>
          </w:tcPr>
          <w:p>
            <w:pPr>
              <w:spacing w:after="20" w:before="20"/>
              <w:jc w:val="right"/>
            </w:pPr>
            <w:r/>
            <w:r>
              <w:rPr>
                <w:rFonts w:ascii="맑은 고딕" w:hAnsi="맑은 고딕" w:eastAsia="맑은 고딕"/>
                <w:b w:val="0"/>
                <w:sz w:val="17"/>
              </w:rPr>
              <w:t>10.2배</w:t>
            </w:r>
          </w:p>
        </w:tc>
        <w:tc>
          <w:tcPr>
            <w:tcW w:type="dxa" w:w="3312"/>
          </w:tcPr>
          <w:p>
            <w:pPr>
              <w:spacing w:after="20" w:before="20"/>
              <w:jc w:val="right"/>
            </w:pPr>
            <w:r/>
            <w:r>
              <w:rPr>
                <w:rFonts w:ascii="맑은 고딕" w:hAnsi="맑은 고딕" w:eastAsia="맑은 고딕"/>
                <w:b w:val="0"/>
                <w:sz w:val="17"/>
              </w:rPr>
              <w:t>6.0배 (MU, 사이클 정점)</w:t>
            </w:r>
          </w:p>
        </w:tc>
      </w:tr>
      <w:tr>
        <w:tc>
          <w:tcPr>
            <w:tcW w:type="dxa" w:w="3312"/>
          </w:tcPr>
          <w:p>
            <w:pPr>
              <w:spacing w:after="20" w:before="20"/>
              <w:jc w:val="left"/>
            </w:pPr>
            <w:r/>
            <w:r>
              <w:rPr>
                <w:rFonts w:ascii="맑은 고딕" w:hAnsi="맑은 고딕" w:eastAsia="맑은 고딕"/>
                <w:b w:val="0"/>
                <w:sz w:val="17"/>
              </w:rPr>
              <w:t>25번째 백분위수</w:t>
            </w:r>
          </w:p>
        </w:tc>
        <w:tc>
          <w:tcPr>
            <w:tcW w:type="dxa" w:w="3312"/>
          </w:tcPr>
          <w:p>
            <w:pPr>
              <w:spacing w:after="20" w:before="20"/>
              <w:jc w:val="right"/>
            </w:pPr>
            <w:r/>
            <w:r>
              <w:rPr>
                <w:rFonts w:ascii="맑은 고딕" w:hAnsi="맑은 고딕" w:eastAsia="맑은 고딕"/>
                <w:b w:val="0"/>
                <w:sz w:val="17"/>
              </w:rPr>
              <w:t>14.0배</w:t>
            </w:r>
          </w:p>
        </w:tc>
        <w:tc>
          <w:tcPr>
            <w:tcW w:type="dxa" w:w="3312"/>
          </w:tcPr>
          <w:p>
            <w:pPr>
              <w:spacing w:after="20" w:before="20"/>
              <w:jc w:val="right"/>
            </w:pPr>
            <w:r/>
            <w:r>
              <w:rPr>
                <w:rFonts w:ascii="맑은 고딕" w:hAnsi="맑은 고딕" w:eastAsia="맑은 고딕"/>
                <w:b w:val="0"/>
                <w:sz w:val="17"/>
              </w:rPr>
              <w:t>18.0배</w:t>
            </w:r>
          </w:p>
        </w:tc>
      </w:tr>
      <w:tr>
        <w:tc>
          <w:tcPr>
            <w:tcW w:type="dxa" w:w="3312"/>
          </w:tcPr>
          <w:p>
            <w:pPr>
              <w:spacing w:after="20" w:before="20"/>
              <w:jc w:val="left"/>
            </w:pPr>
            <w:r/>
            <w:r>
              <w:rPr>
                <w:rFonts w:ascii="맑은 고딕" w:hAnsi="맑은 고딕" w:eastAsia="맑은 고딕"/>
                <w:b w:val="0"/>
                <w:sz w:val="17"/>
              </w:rPr>
              <w:t>**중앙값**</w:t>
            </w:r>
          </w:p>
        </w:tc>
        <w:tc>
          <w:tcPr>
            <w:tcW w:type="dxa" w:w="3312"/>
          </w:tcPr>
          <w:p>
            <w:pPr>
              <w:spacing w:after="20" w:before="20"/>
              <w:jc w:val="right"/>
            </w:pPr>
            <w:r/>
            <w:r>
              <w:rPr>
                <w:rFonts w:ascii="맑은 고딕" w:hAnsi="맑은 고딕" w:eastAsia="맑은 고딕"/>
                <w:b w:val="0"/>
                <w:sz w:val="17"/>
              </w:rPr>
              <w:t>**31.4배**</w:t>
            </w:r>
          </w:p>
        </w:tc>
        <w:tc>
          <w:tcPr>
            <w:tcW w:type="dxa" w:w="3312"/>
          </w:tcPr>
          <w:p>
            <w:pPr>
              <w:spacing w:after="20" w:before="20"/>
              <w:jc w:val="right"/>
            </w:pPr>
            <w:r/>
            <w:r>
              <w:rPr>
                <w:rFonts w:ascii="맑은 고딕" w:hAnsi="맑은 고딕" w:eastAsia="맑은 고딕"/>
                <w:b w:val="0"/>
                <w:sz w:val="17"/>
              </w:rPr>
              <w:t>**32.6배**</w:t>
            </w:r>
          </w:p>
        </w:tc>
      </w:tr>
      <w:tr>
        <w:tc>
          <w:tcPr>
            <w:tcW w:type="dxa" w:w="3312"/>
          </w:tcPr>
          <w:p>
            <w:pPr>
              <w:spacing w:after="20" w:before="20"/>
              <w:jc w:val="left"/>
            </w:pPr>
            <w:r/>
            <w:r>
              <w:rPr>
                <w:rFonts w:ascii="맑은 고딕" w:hAnsi="맑은 고딕" w:eastAsia="맑은 고딕"/>
                <w:b w:val="0"/>
                <w:sz w:val="17"/>
              </w:rPr>
              <w:t>75번째 백분위수</w:t>
            </w:r>
          </w:p>
        </w:tc>
        <w:tc>
          <w:tcPr>
            <w:tcW w:type="dxa" w:w="3312"/>
          </w:tcPr>
          <w:p>
            <w:pPr>
              <w:spacing w:after="20" w:before="20"/>
              <w:jc w:val="right"/>
            </w:pPr>
            <w:r/>
            <w:r>
              <w:rPr>
                <w:rFonts w:ascii="맑은 고딕" w:hAnsi="맑은 고딕" w:eastAsia="맑은 고딕"/>
                <w:b w:val="0"/>
                <w:sz w:val="17"/>
              </w:rPr>
              <w:t>59.6배</w:t>
            </w:r>
          </w:p>
        </w:tc>
        <w:tc>
          <w:tcPr>
            <w:tcW w:type="dxa" w:w="3312"/>
          </w:tcPr>
          <w:p>
            <w:pPr>
              <w:spacing w:after="20" w:before="20"/>
              <w:jc w:val="right"/>
            </w:pPr>
            <w:r/>
            <w:r>
              <w:rPr>
                <w:rFonts w:ascii="맑은 고딕" w:hAnsi="맑은 고딕" w:eastAsia="맑은 고딕"/>
                <w:b w:val="0"/>
                <w:sz w:val="17"/>
              </w:rPr>
              <w:t>81.3배</w:t>
            </w:r>
          </w:p>
        </w:tc>
      </w:tr>
      <w:tr>
        <w:tc>
          <w:tcPr>
            <w:tcW w:type="dxa" w:w="3312"/>
          </w:tcPr>
          <w:p>
            <w:pPr>
              <w:spacing w:after="20" w:before="20"/>
              <w:jc w:val="left"/>
            </w:pPr>
            <w:r/>
            <w:r>
              <w:rPr>
                <w:rFonts w:ascii="맑은 고딕" w:hAnsi="맑은 고딕" w:eastAsia="맑은 고딕"/>
                <w:b w:val="0"/>
                <w:sz w:val="17"/>
              </w:rPr>
              <w:t>최대값</w:t>
            </w:r>
          </w:p>
        </w:tc>
        <w:tc>
          <w:tcPr>
            <w:tcW w:type="dxa" w:w="3312"/>
          </w:tcPr>
          <w:p>
            <w:pPr>
              <w:spacing w:after="20" w:before="20"/>
              <w:jc w:val="right"/>
            </w:pPr>
            <w:r/>
            <w:r>
              <w:rPr>
                <w:rFonts w:ascii="맑은 고딕" w:hAnsi="맑은 고딕" w:eastAsia="맑은 고딕"/>
                <w:b w:val="0"/>
                <w:sz w:val="17"/>
              </w:rPr>
              <w:t>183.3배 (ARM)</w:t>
            </w:r>
          </w:p>
        </w:tc>
        <w:tc>
          <w:tcPr>
            <w:tcW w:type="dxa" w:w="3312"/>
          </w:tcPr>
          <w:p>
            <w:pPr>
              <w:spacing w:after="20" w:before="20"/>
              <w:jc w:val="right"/>
            </w:pPr>
            <w:r/>
            <w:r>
              <w:rPr>
                <w:rFonts w:ascii="맑은 고딕" w:hAnsi="맑은 고딕" w:eastAsia="맑은 고딕"/>
                <w:b w:val="0"/>
                <w:sz w:val="17"/>
              </w:rPr>
              <w:t>120.8배 (ARM)</w:t>
            </w:r>
          </w:p>
        </w:tc>
      </w:tr>
    </w:tbl>
    <w:p>
      <w:pPr>
        <w:spacing w:after="40"/>
      </w:pPr>
    </w:p>
    <w:p>
      <w:pPr>
        <w:spacing w:before="160" w:after="80"/>
      </w:pPr>
      <w:r>
        <w:rPr>
          <w:rFonts w:ascii="맑은 고딕" w:hAnsi="맑은 고딕" w:eastAsia="맑은 고딕"/>
          <w:b/>
          <w:color w:val="1A1A1A"/>
          <w:sz w:val="22"/>
        </w:rPr>
        <w:t>3.3 NVIDIA와 동종그룹 비교</w:t>
      </w:r>
    </w:p>
    <w:p>
      <w:pPr>
        <w:spacing w:after="120"/>
      </w:pPr>
      <w:r>
        <w:rPr>
          <w:rFonts w:ascii="맑은 고딕" w:hAnsi="맑은 고딕" w:eastAsia="맑은 고딕"/>
          <w:i w:val="0"/>
          <w:sz w:val="21"/>
        </w:rPr>
        <w:t xml:space="preserve">NVIDIA는 </w:t>
      </w:r>
      <w:r>
        <w:rPr>
          <w:rFonts w:ascii="맑은 고딕" w:hAnsi="맑은 고딕" w:eastAsia="맑은 고딕"/>
          <w:b/>
          <w:i w:val="0"/>
          <w:sz w:val="21"/>
        </w:rPr>
        <w:t>NTM EV/EBITDA 22.3배</w:t>
      </w:r>
      <w:r>
        <w:rPr>
          <w:rFonts w:ascii="맑은 고딕" w:hAnsi="맑은 고딕" w:eastAsia="맑은 고딕"/>
          <w:i w:val="0"/>
          <w:sz w:val="21"/>
        </w:rPr>
        <w:t xml:space="preserve"> 및 </w:t>
      </w:r>
      <w:r>
        <w:rPr>
          <w:rFonts w:ascii="맑은 고딕" w:hAnsi="맑은 고딕" w:eastAsia="맑은 고딕"/>
          <w:b/>
          <w:i w:val="0"/>
          <w:sz w:val="21"/>
        </w:rPr>
        <w:t>선행 P/E 27.1배</w:t>
      </w:r>
      <w:r>
        <w:rPr>
          <w:rFonts w:ascii="맑은 고딕" w:hAnsi="맑은 고딕" w:eastAsia="맑은 고딕"/>
          <w:i w:val="0"/>
          <w:sz w:val="21"/>
        </w:rPr>
        <w:t xml:space="preserve">에 거래되며 — </w:t>
      </w:r>
      <w:r>
        <w:rPr>
          <w:rFonts w:ascii="맑은 고딕" w:hAnsi="맑은 고딕" w:eastAsia="맑은 고딕"/>
          <w:b/>
          <w:i w:val="0"/>
          <w:sz w:val="21"/>
        </w:rPr>
        <w:t>두 지표 모두에서 peer 중앙값(31.4배 및 32.6배)을 하회</w:t>
      </w:r>
      <w:r>
        <w:rPr>
          <w:rFonts w:ascii="맑은 고딕" w:hAnsi="맑은 고딕" w:eastAsia="맑은 고딕"/>
          <w:i w:val="0"/>
          <w:sz w:val="21"/>
        </w:rPr>
        <w:t>한다. 그룹 내에서 가장 높은 성장성과 마진을 갖춘 프랜차이즈 선도주임에도, NVDA는 통상적인 peer보다 *저렴하게* 스크리닝된다. 이것이 스토리의 상대가치 축이다.</w:t>
      </w:r>
    </w:p>
    <w:p>
      <w:pPr>
        <w:spacing w:after="120"/>
      </w:pPr>
      <w:r>
        <w:rPr>
          <w:rFonts w:ascii="맑은 고딕" w:hAnsi="맑은 고딕" w:eastAsia="맑은 고딕"/>
          <w:i w:val="0"/>
          <w:sz w:val="21"/>
        </w:rPr>
        <w:t xml:space="preserve">peer </w:t>
      </w:r>
      <w:r>
        <w:rPr>
          <w:rFonts w:ascii="맑은 고딕" w:hAnsi="맑은 고딕" w:eastAsia="맑은 고딕"/>
          <w:b/>
          <w:i w:val="0"/>
          <w:sz w:val="21"/>
        </w:rPr>
        <w:t>중앙값</w:t>
      </w:r>
      <w:r>
        <w:rPr>
          <w:rFonts w:ascii="맑은 고딕" w:hAnsi="맑은 고딕" w:eastAsia="맑은 고딕"/>
          <w:i w:val="0"/>
          <w:sz w:val="21"/>
        </w:rPr>
        <w:t xml:space="preserve"> 멀티플을 NVIDIA의 FY2027E 수치(EBITDA $226.1B; 희석 EPS $7.66)에 적용하면 다음과 같다.</w:t>
      </w:r>
    </w:p>
    <w:tbl>
      <w:tblPr>
        <w:tblStyle w:val="LightGrid-Accent1"/>
        <w:tblW w:type="auto" w:w="0"/>
        <w:tblLayout w:type="autofit"/>
        <w:tblLook w:firstColumn="1" w:firstRow="1" w:lastColumn="0" w:lastRow="0" w:noHBand="0" w:noVBand="1" w:val="04A0"/>
      </w:tblPr>
      <w:tblGrid>
        <w:gridCol w:w="3312"/>
        <w:gridCol w:w="3312"/>
        <w:gridCol w:w="3312"/>
      </w:tblGrid>
      <w:tr>
        <w:tc>
          <w:tcPr>
            <w:tcW w:type="dxa" w:w="3312"/>
            <w:shd w:fill="1F3864"/>
          </w:tcPr>
          <w:p>
            <w:pPr>
              <w:spacing w:after="20" w:before="20"/>
              <w:jc w:val="left"/>
            </w:pPr>
            <w:r/>
            <w:r>
              <w:rPr>
                <w:rFonts w:ascii="맑은 고딕" w:hAnsi="맑은 고딕" w:eastAsia="맑은 고딕"/>
                <w:b/>
                <w:color w:val="FFFFFF"/>
                <w:sz w:val="17"/>
              </w:rPr>
              <w:t>방법</w:t>
            </w:r>
          </w:p>
        </w:tc>
        <w:tc>
          <w:tcPr>
            <w:tcW w:type="dxa" w:w="3312"/>
            <w:shd w:fill="1F3864"/>
          </w:tcPr>
          <w:p>
            <w:pPr>
              <w:spacing w:after="20" w:before="20"/>
              <w:jc w:val="right"/>
            </w:pPr>
            <w:r/>
            <w:r>
              <w:rPr>
                <w:rFonts w:ascii="맑은 고딕" w:hAnsi="맑은 고딕" w:eastAsia="맑은 고딕"/>
                <w:b/>
                <w:color w:val="FFFFFF"/>
                <w:sz w:val="17"/>
              </w:rPr>
              <w:t>멀티플</w:t>
            </w:r>
          </w:p>
        </w:tc>
        <w:tc>
          <w:tcPr>
            <w:tcW w:type="dxa" w:w="3312"/>
            <w:shd w:fill="1F3864"/>
          </w:tcPr>
          <w:p>
            <w:pPr>
              <w:spacing w:after="20" w:before="20"/>
              <w:jc w:val="right"/>
            </w:pPr>
            <w:r/>
            <w:r>
              <w:rPr>
                <w:rFonts w:ascii="맑은 고딕" w:hAnsi="맑은 고딕" w:eastAsia="맑은 고딕"/>
                <w:b/>
                <w:color w:val="FFFFFF"/>
                <w:sz w:val="17"/>
              </w:rPr>
              <w:t>내재 주당 가치</w:t>
            </w:r>
          </w:p>
        </w:tc>
      </w:tr>
      <w:tr>
        <w:tc>
          <w:tcPr>
            <w:tcW w:type="dxa" w:w="3312"/>
          </w:tcPr>
          <w:p>
            <w:pPr>
              <w:spacing w:after="20" w:before="20"/>
              <w:jc w:val="left"/>
            </w:pPr>
            <w:r/>
            <w:r>
              <w:rPr>
                <w:rFonts w:ascii="맑은 고딕" w:hAnsi="맑은 고딕" w:eastAsia="맑은 고딕"/>
                <w:b w:val="0"/>
                <w:sz w:val="17"/>
              </w:rPr>
              <w:t>EV/EBITDA</w:t>
            </w:r>
          </w:p>
        </w:tc>
        <w:tc>
          <w:tcPr>
            <w:tcW w:type="dxa" w:w="3312"/>
          </w:tcPr>
          <w:p>
            <w:pPr>
              <w:spacing w:after="20" w:before="20"/>
              <w:jc w:val="right"/>
            </w:pPr>
            <w:r/>
            <w:r>
              <w:rPr>
                <w:rFonts w:ascii="맑은 고딕" w:hAnsi="맑은 고딕" w:eastAsia="맑은 고딕"/>
                <w:b w:val="0"/>
                <w:sz w:val="17"/>
              </w:rPr>
              <w:t>31.4배 중앙값</w:t>
            </w:r>
          </w:p>
        </w:tc>
        <w:tc>
          <w:tcPr>
            <w:tcW w:type="dxa" w:w="3312"/>
          </w:tcPr>
          <w:p>
            <w:pPr>
              <w:spacing w:after="20" w:before="20"/>
              <w:jc w:val="right"/>
            </w:pPr>
            <w:r/>
            <w:r>
              <w:rPr>
                <w:rFonts w:ascii="맑은 고딕" w:hAnsi="맑은 고딕" w:eastAsia="맑은 고딕"/>
                <w:b w:val="0"/>
                <w:sz w:val="17"/>
              </w:rPr>
              <w:t>**~$292**</w:t>
            </w:r>
          </w:p>
        </w:tc>
      </w:tr>
      <w:tr>
        <w:tc>
          <w:tcPr>
            <w:tcW w:type="dxa" w:w="3312"/>
          </w:tcPr>
          <w:p>
            <w:pPr>
              <w:spacing w:after="20" w:before="20"/>
              <w:jc w:val="left"/>
            </w:pPr>
            <w:r/>
            <w:r>
              <w:rPr>
                <w:rFonts w:ascii="맑은 고딕" w:hAnsi="맑은 고딕" w:eastAsia="맑은 고딕"/>
                <w:b w:val="0"/>
                <w:sz w:val="17"/>
              </w:rPr>
              <w:t>P/E</w:t>
            </w:r>
          </w:p>
        </w:tc>
        <w:tc>
          <w:tcPr>
            <w:tcW w:type="dxa" w:w="3312"/>
          </w:tcPr>
          <w:p>
            <w:pPr>
              <w:spacing w:after="20" w:before="20"/>
              <w:jc w:val="right"/>
            </w:pPr>
            <w:r/>
            <w:r>
              <w:rPr>
                <w:rFonts w:ascii="맑은 고딕" w:hAnsi="맑은 고딕" w:eastAsia="맑은 고딕"/>
                <w:b w:val="0"/>
                <w:sz w:val="17"/>
              </w:rPr>
              <w:t>32.6배 중앙값</w:t>
            </w:r>
          </w:p>
        </w:tc>
        <w:tc>
          <w:tcPr>
            <w:tcW w:type="dxa" w:w="3312"/>
          </w:tcPr>
          <w:p>
            <w:pPr>
              <w:spacing w:after="20" w:before="20"/>
              <w:jc w:val="right"/>
            </w:pPr>
            <w:r/>
            <w:r>
              <w:rPr>
                <w:rFonts w:ascii="맑은 고딕" w:hAnsi="맑은 고딕" w:eastAsia="맑은 고딕"/>
                <w:b w:val="0"/>
                <w:sz w:val="17"/>
              </w:rPr>
              <w:t>**~$250**</w:t>
            </w:r>
          </w:p>
        </w:tc>
      </w:tr>
      <w:tr>
        <w:tc>
          <w:tcPr>
            <w:tcW w:type="dxa" w:w="3312"/>
          </w:tcPr>
          <w:p>
            <w:pPr>
              <w:spacing w:after="20" w:before="20"/>
              <w:jc w:val="left"/>
            </w:pPr>
            <w:r/>
            <w:r>
              <w:rPr>
                <w:rFonts w:ascii="맑은 고딕" w:hAnsi="맑은 고딕" w:eastAsia="맑은 고딕"/>
                <w:b w:val="0"/>
                <w:sz w:val="17"/>
              </w:rPr>
              <w:t>**Comps 기본치 (평균)**</w:t>
            </w:r>
          </w:p>
        </w:tc>
        <w:tc>
          <w:tcPr>
            <w:tcW w:type="dxa" w:w="3312"/>
          </w:tcPr>
          <w:p>
            <w:pPr>
              <w:spacing w:after="20" w:before="20"/>
              <w:jc w:val="right"/>
            </w:pPr>
            <w:r/>
            <w:r>
              <w:rPr>
                <w:rFonts w:ascii="맑은 고딕" w:hAnsi="맑은 고딕" w:eastAsia="맑은 고딕"/>
                <w:b w:val="0"/>
                <w:sz w:val="17"/>
              </w:rPr>
            </w:r>
          </w:p>
        </w:tc>
        <w:tc>
          <w:tcPr>
            <w:tcW w:type="dxa" w:w="3312"/>
          </w:tcPr>
          <w:p>
            <w:pPr>
              <w:spacing w:after="20" w:before="20"/>
              <w:jc w:val="right"/>
            </w:pPr>
            <w:r/>
            <w:r>
              <w:rPr>
                <w:rFonts w:ascii="맑은 고딕" w:hAnsi="맑은 고딕" w:eastAsia="맑은 고딕"/>
                <w:b w:val="0"/>
                <w:sz w:val="17"/>
              </w:rPr>
              <w:t>**~$271 (현재가 대비 +30%)**</w:t>
            </w:r>
          </w:p>
        </w:tc>
      </w:tr>
    </w:tbl>
    <w:p>
      <w:pPr>
        <w:spacing w:after="40"/>
      </w:pPr>
    </w:p>
    <w:p>
      <w:pPr>
        <w:spacing w:after="120"/>
      </w:pPr>
      <w:r>
        <w:rPr>
          <w:rFonts w:ascii="맑은 고딕" w:hAnsi="맑은 고딕" w:eastAsia="맑은 고딕"/>
          <w:i w:val="0"/>
          <w:sz w:val="21"/>
        </w:rPr>
        <w:t xml:space="preserve">내재 comps </w:t>
      </w:r>
      <w:r>
        <w:rPr>
          <w:rFonts w:ascii="맑은 고딕" w:hAnsi="맑은 고딕" w:eastAsia="맑은 고딕"/>
          <w:b/>
          <w:i w:val="0"/>
          <w:sz w:val="21"/>
        </w:rPr>
        <w:t>범위</w:t>
      </w:r>
      <w:r>
        <w:rPr>
          <w:rFonts w:ascii="맑은 고딕" w:hAnsi="맑은 고딕" w:eastAsia="맑은 고딕"/>
          <w:i w:val="0"/>
          <w:sz w:val="21"/>
        </w:rPr>
        <w:t xml:space="preserve">는 대략 </w:t>
      </w:r>
      <w:r>
        <w:rPr>
          <w:rFonts w:ascii="맑은 고딕" w:hAnsi="맑은 고딕" w:eastAsia="맑은 고딕"/>
          <w:b/>
          <w:i w:val="0"/>
          <w:sz w:val="21"/>
        </w:rPr>
        <w:t>$156</w:t>
      </w:r>
      <w:r>
        <w:rPr>
          <w:rFonts w:ascii="맑은 고딕" w:hAnsi="맑은 고딕" w:eastAsia="맑은 고딕"/>
          <w:i w:val="0"/>
          <w:sz w:val="21"/>
        </w:rPr>
        <w:t xml:space="preserve">(25번째 백분위수 멀티플)에서 </w:t>
      </w:r>
      <w:r>
        <w:rPr>
          <w:rFonts w:ascii="맑은 고딕" w:hAnsi="맑은 고딕" w:eastAsia="맑은 고딕"/>
          <w:b/>
          <w:i w:val="0"/>
          <w:sz w:val="21"/>
        </w:rPr>
        <w:t>$350+</w:t>
      </w:r>
      <w:r>
        <w:rPr>
          <w:rFonts w:ascii="맑은 고딕" w:hAnsi="맑은 고딕" w:eastAsia="맑은 고딕"/>
          <w:i w:val="0"/>
          <w:sz w:val="21"/>
        </w:rPr>
        <w:t>(75번째 백분위수 멀티플)까지 이른다.</w:t>
      </w:r>
    </w:p>
    <w:p>
      <w:pPr>
        <w:spacing w:before="160" w:after="80"/>
      </w:pPr>
      <w:r>
        <w:rPr>
          <w:rFonts w:ascii="맑은 고딕" w:hAnsi="맑은 고딕" w:eastAsia="맑은 고딕"/>
          <w:b/>
          <w:color w:val="1A1A1A"/>
          <w:sz w:val="22"/>
        </w:rPr>
        <w:t>3.4 유의점 — 이상치(outlier)와 규모</w:t>
      </w:r>
    </w:p>
    <w:p>
      <w:pPr>
        <w:spacing w:after="120"/>
      </w:pPr>
      <w:r>
        <w:rPr>
          <w:rFonts w:ascii="맑은 고딕" w:hAnsi="맑은 고딕" w:eastAsia="맑은 고딕"/>
          <w:i w:val="0"/>
          <w:sz w:val="21"/>
        </w:rPr>
        <w:t xml:space="preserve">peer 분포는 상당히 편향(skew)되어 있으므로, 당사는 아래의 왜곡을 완화하기 위해 평균이 아닌 </w:t>
      </w:r>
      <w:r>
        <w:rPr>
          <w:rFonts w:ascii="맑은 고딕" w:hAnsi="맑은 고딕" w:eastAsia="맑은 고딕"/>
          <w:b/>
          <w:i w:val="0"/>
          <w:sz w:val="21"/>
        </w:rPr>
        <w:t>중앙값</w:t>
      </w:r>
      <w:r>
        <w:rPr>
          <w:rFonts w:ascii="맑은 고딕" w:hAnsi="맑은 고딕" w:eastAsia="맑은 고딕"/>
          <w:i w:val="0"/>
          <w:sz w:val="21"/>
        </w:rPr>
        <w:t>에 의존한다.</w:t>
      </w:r>
    </w:p>
    <w:p>
      <w:pPr>
        <w:pStyle w:val="ListBullet"/>
        <w:spacing w:after="60"/>
      </w:pPr>
      <w:r>
        <w:rPr>
          <w:rFonts w:ascii="맑은 고딕" w:hAnsi="맑은 고딕" w:eastAsia="맑은 고딕"/>
          <w:b/>
          <w:sz w:val="21"/>
        </w:rPr>
        <w:t>ARM</w:t>
      </w:r>
      <w:r>
        <w:rPr>
          <w:rFonts w:ascii="맑은 고딕" w:hAnsi="맑은 고딕" w:eastAsia="맑은 고딕"/>
          <w:sz w:val="21"/>
        </w:rPr>
        <w:t>은 극단적인 멀티플(EV/EBITDA 183.3배; P/E 120.8배)을 지니는데, 이는 시스템/실리콘 공급사와 비교 불가능한 IP 로열티 사업 모델을 반영한다.</w:t>
      </w:r>
    </w:p>
    <w:p>
      <w:pPr>
        <w:pStyle w:val="ListBullet"/>
        <w:spacing w:after="60"/>
      </w:pPr>
      <w:r>
        <w:rPr>
          <w:rFonts w:ascii="맑은 고딕" w:hAnsi="맑은 고딕" w:eastAsia="맑은 고딕"/>
          <w:b/>
          <w:sz w:val="21"/>
        </w:rPr>
        <w:t>Micron(MU)</w:t>
      </w:r>
      <w:r>
        <w:rPr>
          <w:rFonts w:ascii="맑은 고딕" w:hAnsi="맑은 고딕" w:eastAsia="맑은 고딕"/>
          <w:sz w:val="21"/>
        </w:rPr>
        <w:t>은 비정상적으로 낮은 P/E 6.0배를 보이는데, 이는 시장이 하향 정상화될 것으로 예상하는 메모리 사이클 정점 이익의 전형적 특징이다.</w:t>
      </w:r>
    </w:p>
    <w:p>
      <w:pPr>
        <w:pStyle w:val="ListBullet"/>
        <w:spacing w:after="60"/>
      </w:pPr>
      <w:r>
        <w:rPr>
          <w:rFonts w:ascii="맑은 고딕" w:hAnsi="맑은 고딕" w:eastAsia="맑은 고딕"/>
          <w:b/>
          <w:sz w:val="21"/>
        </w:rPr>
        <w:t>Intel(INTC)</w:t>
      </w:r>
      <w:r>
        <w:rPr>
          <w:rFonts w:ascii="맑은 고딕" w:hAnsi="맑은 고딕" w:eastAsia="맑은 고딕"/>
          <w:sz w:val="21"/>
        </w:rPr>
        <w:t>은 저점 이익(낮은 분모이지 프리미엄이 아님)에 따른 부풀려진 멀티플을 나타낸다.</w:t>
      </w:r>
    </w:p>
    <w:p>
      <w:pPr>
        <w:pStyle w:val="ListBullet"/>
        <w:spacing w:after="60"/>
      </w:pPr>
      <w:r>
        <w:rPr>
          <w:rFonts w:ascii="맑은 고딕" w:hAnsi="맑은 고딕" w:eastAsia="맑은 고딕"/>
          <w:b/>
          <w:sz w:val="21"/>
        </w:rPr>
        <w:t>AMD</w:t>
      </w:r>
      <w:r>
        <w:rPr>
          <w:rFonts w:ascii="맑은 고딕" w:hAnsi="맑은 고딕" w:eastAsia="맑은 고딕"/>
          <w:sz w:val="21"/>
        </w:rPr>
        <w:t>는 압축된 LTM EBITDA로 인해 EV/EBITDA가 왜곡되어 있다.</w:t>
      </w:r>
    </w:p>
    <w:p>
      <w:pPr>
        <w:spacing w:after="120"/>
      </w:pPr>
      <w:r>
        <w:rPr>
          <w:rFonts w:ascii="맑은 고딕" w:hAnsi="맑은 고딕" w:eastAsia="맑은 고딕"/>
          <w:b/>
          <w:i w:val="0"/>
          <w:sz w:val="21"/>
        </w:rPr>
        <w:t>규모 유의점:</w:t>
      </w:r>
      <w:r>
        <w:rPr>
          <w:rFonts w:ascii="맑은 고딕" w:hAnsi="맑은 고딕" w:eastAsia="맑은 고딕"/>
          <w:i w:val="0"/>
          <w:sz w:val="21"/>
        </w:rPr>
        <w:t xml:space="preserve"> peer들은 총합으로 볼 때 NVIDIA보다 훨씬 작다. 소형/중형 peer의 멀티플을 NVIDIA의 훨씬 큰 EBITDA 기반에 적용하면 comps 내재 가치가 </w:t>
      </w:r>
      <w:r>
        <w:rPr>
          <w:rFonts w:ascii="맑은 고딕" w:hAnsi="맑은 고딕" w:eastAsia="맑은 고딕"/>
          <w:b/>
          <w:i w:val="0"/>
          <w:sz w:val="21"/>
        </w:rPr>
        <w:t>과대평가</w:t>
      </w:r>
      <w:r>
        <w:rPr>
          <w:rFonts w:ascii="맑은 고딕" w:hAnsi="맑은 고딕" w:eastAsia="맑은 고딕"/>
          <w:i w:val="0"/>
          <w:sz w:val="21"/>
        </w:rPr>
        <w:t>될 가능성이 높다 — 큰 수의 법칙(law of large numbers)은 규모 할인을 시사하는데, NVIDIA 자체의 성장이 이 지점부터는 필연적으로 시장 성장률로 수렴하기 때문이다(TAM 분석에 따르면 NVIDIA는 이미 AI 인프라 실리콘 및 시스템 시장의 약 60~70%를 점유하고 있다). 따라서 당사는 comps 산출 결과를 상단 편향적인 앵커로 취급하며 가중치 산정 시 이를 할인한다.</w:t>
      </w:r>
    </w:p>
    <w:p>
      <w:pPr>
        <w:spacing w:before="160" w:after="80"/>
      </w:pPr>
      <w:r>
        <w:rPr>
          <w:rFonts w:ascii="맑은 고딕" w:hAnsi="맑은 고딕" w:eastAsia="맑은 고딕"/>
          <w:b/>
          <w:color w:val="1A1A1A"/>
          <w:sz w:val="22"/>
        </w:rPr>
        <w:t>3.5 선례 거래(Precedent Transactions) — 해당 없음</w:t>
      </w:r>
    </w:p>
    <w:p>
      <w:pPr>
        <w:spacing w:after="120"/>
      </w:pPr>
      <w:r>
        <w:rPr>
          <w:rFonts w:ascii="맑은 고딕" w:hAnsi="맑은 고딕" w:eastAsia="맑은 고딕"/>
          <w:i w:val="0"/>
          <w:sz w:val="21"/>
        </w:rPr>
        <w:t xml:space="preserve">NVIDIA 규모의 회사에 대해서는 </w:t>
      </w:r>
      <w:r>
        <w:rPr>
          <w:rFonts w:ascii="맑은 고딕" w:hAnsi="맑은 고딕" w:eastAsia="맑은 고딕"/>
          <w:b/>
          <w:i w:val="0"/>
          <w:sz w:val="21"/>
        </w:rPr>
        <w:t>비교 가능한 선례 거래 집합이 존재하지 않는다</w:t>
      </w:r>
      <w:r>
        <w:rPr>
          <w:rFonts w:ascii="맑은 고딕" w:hAnsi="맑은 고딕" w:eastAsia="맑은 고딕"/>
          <w:i w:val="0"/>
          <w:sz w:val="21"/>
        </w:rPr>
        <w:t xml:space="preserve">: 약 5조 달러 규모 자산에 대한 M&amp;A는 존재하지 않으며, 어떠한 과거 반도체 거래도 참고가 되기에는 규모가 수십 배 이상 지나치게 작다. 당사는 선례 거래를 밸류에이션에서 명시적으로 </w:t>
      </w:r>
      <w:r>
        <w:rPr>
          <w:rFonts w:ascii="맑은 고딕" w:hAnsi="맑은 고딕" w:eastAsia="맑은 고딕"/>
          <w:b/>
          <w:i w:val="0"/>
          <w:sz w:val="21"/>
        </w:rPr>
        <w:t>제외</w:t>
      </w:r>
      <w:r>
        <w:rPr>
          <w:rFonts w:ascii="맑은 고딕" w:hAnsi="맑은 고딕" w:eastAsia="맑은 고딕"/>
          <w:i w:val="0"/>
          <w:sz w:val="21"/>
        </w:rPr>
        <w:t>한다.</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4. 밸류에이션 요약 및 풋볼 필드(Football Field)</w:t>
      </w:r>
    </w:p>
    <w:p>
      <w:pPr>
        <w:spacing w:after="120"/>
      </w:pPr>
      <w:r>
        <w:rPr>
          <w:rFonts w:ascii="맑은 고딕" w:hAnsi="맑은 고딕" w:eastAsia="맑은 고딕"/>
          <w:i w:val="0"/>
          <w:sz w:val="21"/>
        </w:rPr>
        <w:t>세 가지 기준점이 가치의 범위를 형성한다.</w:t>
      </w:r>
    </w:p>
    <w:tbl>
      <w:tblPr>
        <w:tblStyle w:val="LightGrid-Accent1"/>
        <w:tblW w:type="auto" w:w="0"/>
        <w:tblLayout w:type="autofit"/>
        <w:tblLook w:firstColumn="1" w:firstRow="1" w:lastColumn="0" w:lastRow="0" w:noHBand="0" w:noVBand="1" w:val="04A0"/>
      </w:tblPr>
      <w:tblGrid>
        <w:gridCol w:w="2484"/>
        <w:gridCol w:w="2484"/>
        <w:gridCol w:w="2484"/>
        <w:gridCol w:w="2484"/>
      </w:tblGrid>
      <w:tr>
        <w:tc>
          <w:tcPr>
            <w:tcW w:type="dxa" w:w="2484"/>
            <w:shd w:fill="1F3864"/>
          </w:tcPr>
          <w:p>
            <w:pPr>
              <w:spacing w:after="20" w:before="20"/>
              <w:jc w:val="left"/>
            </w:pPr>
            <w:r/>
            <w:r>
              <w:rPr>
                <w:rFonts w:ascii="맑은 고딕" w:hAnsi="맑은 고딕" w:eastAsia="맑은 고딕"/>
                <w:b/>
                <w:color w:val="FFFFFF"/>
                <w:sz w:val="17"/>
              </w:rPr>
              <w:t>방법</w:t>
            </w:r>
          </w:p>
        </w:tc>
        <w:tc>
          <w:tcPr>
            <w:tcW w:type="dxa" w:w="2484"/>
            <w:shd w:fill="1F3864"/>
          </w:tcPr>
          <w:p>
            <w:pPr>
              <w:spacing w:after="20" w:before="20"/>
              <w:jc w:val="right"/>
            </w:pPr>
            <w:r/>
            <w:r>
              <w:rPr>
                <w:rFonts w:ascii="맑은 고딕" w:hAnsi="맑은 고딕" w:eastAsia="맑은 고딕"/>
                <w:b/>
                <w:color w:val="FFFFFF"/>
                <w:sz w:val="17"/>
              </w:rPr>
              <w:t>점 추정치</w:t>
            </w:r>
          </w:p>
        </w:tc>
        <w:tc>
          <w:tcPr>
            <w:tcW w:type="dxa" w:w="2484"/>
            <w:shd w:fill="1F3864"/>
          </w:tcPr>
          <w:p>
            <w:pPr>
              <w:spacing w:after="20" w:before="20"/>
              <w:jc w:val="right"/>
            </w:pPr>
            <w:r/>
            <w:r>
              <w:rPr>
                <w:rFonts w:ascii="맑은 고딕" w:hAnsi="맑은 고딕" w:eastAsia="맑은 고딕"/>
                <w:b/>
                <w:color w:val="FFFFFF"/>
                <w:sz w:val="17"/>
              </w:rPr>
              <w:t>범위</w:t>
            </w:r>
          </w:p>
        </w:tc>
        <w:tc>
          <w:tcPr>
            <w:tcW w:type="dxa" w:w="2484"/>
            <w:shd w:fill="1F3864"/>
          </w:tcPr>
          <w:p>
            <w:pPr>
              <w:spacing w:after="20" w:before="20"/>
              <w:jc w:val="right"/>
            </w:pPr>
            <w:r/>
            <w:r>
              <w:rPr>
                <w:rFonts w:ascii="맑은 고딕" w:hAnsi="맑은 고딕" w:eastAsia="맑은 고딕"/>
                <w:b/>
                <w:color w:val="FFFFFF"/>
                <w:sz w:val="17"/>
              </w:rPr>
              <w:t>시그널</w:t>
            </w:r>
          </w:p>
        </w:tc>
      </w:tr>
      <w:tr>
        <w:tc>
          <w:tcPr>
            <w:tcW w:type="dxa" w:w="2484"/>
          </w:tcPr>
          <w:p>
            <w:pPr>
              <w:spacing w:after="20" w:before="20"/>
              <w:jc w:val="left"/>
            </w:pPr>
            <w:r/>
            <w:r>
              <w:rPr>
                <w:rFonts w:ascii="맑은 고딕" w:hAnsi="맑은 고딕" w:eastAsia="맑은 고딕"/>
                <w:b w:val="0"/>
                <w:sz w:val="17"/>
              </w:rPr>
              <w:t>**DCF (내재가치)**</w:t>
            </w:r>
          </w:p>
        </w:tc>
        <w:tc>
          <w:tcPr>
            <w:tcW w:type="dxa" w:w="2484"/>
          </w:tcPr>
          <w:p>
            <w:pPr>
              <w:spacing w:after="20" w:before="20"/>
              <w:jc w:val="right"/>
            </w:pPr>
            <w:r/>
            <w:r>
              <w:rPr>
                <w:rFonts w:ascii="맑은 고딕" w:hAnsi="맑은 고딕" w:eastAsia="맑은 고딕"/>
                <w:b w:val="0"/>
                <w:sz w:val="17"/>
              </w:rPr>
              <w:t>**$157**</w:t>
            </w:r>
          </w:p>
        </w:tc>
        <w:tc>
          <w:tcPr>
            <w:tcW w:type="dxa" w:w="2484"/>
          </w:tcPr>
          <w:p>
            <w:pPr>
              <w:spacing w:after="20" w:before="20"/>
              <w:jc w:val="right"/>
            </w:pPr>
            <w:r/>
            <w:r>
              <w:rPr>
                <w:rFonts w:ascii="맑은 고딕" w:hAnsi="맑은 고딕" w:eastAsia="맑은 고딕"/>
                <w:b w:val="0"/>
                <w:sz w:val="17"/>
              </w:rPr>
              <w:t>~$149–201</w:t>
            </w:r>
          </w:p>
        </w:tc>
        <w:tc>
          <w:tcPr>
            <w:tcW w:type="dxa" w:w="2484"/>
          </w:tcPr>
          <w:p>
            <w:pPr>
              <w:spacing w:after="20" w:before="20"/>
              <w:jc w:val="right"/>
            </w:pPr>
            <w:r/>
            <w:r>
              <w:rPr>
                <w:rFonts w:ascii="맑은 고딕" w:hAnsi="맑은 고딕" w:eastAsia="맑은 고딕"/>
                <w:b w:val="0"/>
                <w:sz w:val="17"/>
              </w:rPr>
              <w:t>완벽함이 가격에 반영됨; 현재가 대비 −24%</w:t>
            </w:r>
          </w:p>
        </w:tc>
      </w:tr>
      <w:tr>
        <w:tc>
          <w:tcPr>
            <w:tcW w:type="dxa" w:w="2484"/>
          </w:tcPr>
          <w:p>
            <w:pPr>
              <w:spacing w:after="20" w:before="20"/>
              <w:jc w:val="left"/>
            </w:pPr>
            <w:r/>
            <w:r>
              <w:rPr>
                <w:rFonts w:ascii="맑은 고딕" w:hAnsi="맑은 고딕" w:eastAsia="맑은 고딕"/>
                <w:b w:val="0"/>
                <w:sz w:val="17"/>
              </w:rPr>
              <w:t>**현재 주가**</w:t>
            </w:r>
          </w:p>
        </w:tc>
        <w:tc>
          <w:tcPr>
            <w:tcW w:type="dxa" w:w="2484"/>
          </w:tcPr>
          <w:p>
            <w:pPr>
              <w:spacing w:after="20" w:before="20"/>
              <w:jc w:val="right"/>
            </w:pPr>
            <w:r/>
            <w:r>
              <w:rPr>
                <w:rFonts w:ascii="맑은 고딕" w:hAnsi="맑은 고딕" w:eastAsia="맑은 고딕"/>
                <w:b w:val="0"/>
                <w:sz w:val="17"/>
              </w:rPr>
              <w:t>**$207**</w:t>
            </w:r>
          </w:p>
        </w:tc>
        <w:tc>
          <w:tcPr>
            <w:tcW w:type="dxa" w:w="2484"/>
          </w:tcPr>
          <w:p>
            <w:pPr>
              <w:spacing w:after="20" w:before="20"/>
              <w:jc w:val="right"/>
            </w:pPr>
            <w:r/>
            <w:r>
              <w:rPr>
                <w:rFonts w:ascii="맑은 고딕" w:hAnsi="맑은 고딕" w:eastAsia="맑은 고딕"/>
                <w:b w:val="0"/>
                <w:sz w:val="17"/>
              </w:rPr>
              <w:t>—</w:t>
            </w:r>
          </w:p>
        </w:tc>
        <w:tc>
          <w:tcPr>
            <w:tcW w:type="dxa" w:w="2484"/>
          </w:tcPr>
          <w:p>
            <w:pPr>
              <w:spacing w:after="20" w:before="20"/>
              <w:jc w:val="right"/>
            </w:pPr>
            <w:r/>
            <w:r>
              <w:rPr>
                <w:rFonts w:ascii="맑은 고딕" w:hAnsi="맑은 고딕" w:eastAsia="맑은 고딕"/>
                <w:b w:val="0"/>
                <w:sz w:val="17"/>
              </w:rPr>
              <w:t>—</w:t>
            </w:r>
          </w:p>
        </w:tc>
      </w:tr>
      <w:tr>
        <w:tc>
          <w:tcPr>
            <w:tcW w:type="dxa" w:w="2484"/>
          </w:tcPr>
          <w:p>
            <w:pPr>
              <w:spacing w:after="20" w:before="20"/>
              <w:jc w:val="left"/>
            </w:pPr>
            <w:r/>
            <w:r>
              <w:rPr>
                <w:rFonts w:ascii="맑은 고딕" w:hAnsi="맑은 고딕" w:eastAsia="맑은 고딕"/>
                <w:b w:val="0"/>
                <w:sz w:val="17"/>
              </w:rPr>
              <w:t>**Comps (상대가치)**</w:t>
            </w:r>
          </w:p>
        </w:tc>
        <w:tc>
          <w:tcPr>
            <w:tcW w:type="dxa" w:w="2484"/>
          </w:tcPr>
          <w:p>
            <w:pPr>
              <w:spacing w:after="20" w:before="20"/>
              <w:jc w:val="right"/>
            </w:pPr>
            <w:r/>
            <w:r>
              <w:rPr>
                <w:rFonts w:ascii="맑은 고딕" w:hAnsi="맑은 고딕" w:eastAsia="맑은 고딕"/>
                <w:b w:val="0"/>
                <w:sz w:val="17"/>
              </w:rPr>
              <w:t>**$271**</w:t>
            </w:r>
          </w:p>
        </w:tc>
        <w:tc>
          <w:tcPr>
            <w:tcW w:type="dxa" w:w="2484"/>
          </w:tcPr>
          <w:p>
            <w:pPr>
              <w:spacing w:after="20" w:before="20"/>
              <w:jc w:val="right"/>
            </w:pPr>
            <w:r/>
            <w:r>
              <w:rPr>
                <w:rFonts w:ascii="맑은 고딕" w:hAnsi="맑은 고딕" w:eastAsia="맑은 고딕"/>
                <w:b w:val="0"/>
                <w:sz w:val="17"/>
              </w:rPr>
              <w:t>~$156–350</w:t>
            </w:r>
          </w:p>
        </w:tc>
        <w:tc>
          <w:tcPr>
            <w:tcW w:type="dxa" w:w="2484"/>
          </w:tcPr>
          <w:p>
            <w:pPr>
              <w:spacing w:after="20" w:before="20"/>
              <w:jc w:val="right"/>
            </w:pPr>
            <w:r/>
            <w:r>
              <w:rPr>
                <w:rFonts w:ascii="맑은 고딕" w:hAnsi="맑은 고딕" w:eastAsia="맑은 고딕"/>
                <w:b w:val="0"/>
                <w:sz w:val="17"/>
              </w:rPr>
              <w:t>비싼 peer 대비 저렴함; +30%</w:t>
            </w:r>
          </w:p>
        </w:tc>
      </w:tr>
      <w:tr>
        <w:tc>
          <w:tcPr>
            <w:tcW w:type="dxa" w:w="2484"/>
          </w:tcPr>
          <w:p>
            <w:pPr>
              <w:spacing w:after="20" w:before="20"/>
              <w:jc w:val="left"/>
            </w:pPr>
            <w:r/>
            <w:r>
              <w:rPr>
                <w:rFonts w:ascii="맑은 고딕" w:hAnsi="맑은 고딕" w:eastAsia="맑은 고딕"/>
                <w:b w:val="0"/>
                <w:sz w:val="17"/>
              </w:rPr>
              <w:t>**가중 목표 주가**</w:t>
            </w:r>
          </w:p>
        </w:tc>
        <w:tc>
          <w:tcPr>
            <w:tcW w:type="dxa" w:w="2484"/>
          </w:tcPr>
          <w:p>
            <w:pPr>
              <w:spacing w:after="20" w:before="20"/>
              <w:jc w:val="right"/>
            </w:pPr>
            <w:r/>
            <w:r>
              <w:rPr>
                <w:rFonts w:ascii="맑은 고딕" w:hAnsi="맑은 고딕" w:eastAsia="맑은 고딕"/>
                <w:b w:val="0"/>
                <w:sz w:val="17"/>
              </w:rPr>
              <w:t>**$208**</w:t>
            </w:r>
          </w:p>
        </w:tc>
        <w:tc>
          <w:tcPr>
            <w:tcW w:type="dxa" w:w="2484"/>
          </w:tcPr>
          <w:p>
            <w:pPr>
              <w:spacing w:after="20" w:before="20"/>
              <w:jc w:val="right"/>
            </w:pPr>
            <w:r/>
            <w:r>
              <w:rPr>
                <w:rFonts w:ascii="맑은 고딕" w:hAnsi="맑은 고딕" w:eastAsia="맑은 고딕"/>
                <w:b w:val="0"/>
                <w:sz w:val="17"/>
              </w:rPr>
              <w:t>—</w:t>
            </w:r>
          </w:p>
        </w:tc>
        <w:tc>
          <w:tcPr>
            <w:tcW w:type="dxa" w:w="2484"/>
          </w:tcPr>
          <w:p>
            <w:pPr>
              <w:spacing w:after="20" w:before="20"/>
              <w:jc w:val="right"/>
            </w:pPr>
            <w:r/>
            <w:r>
              <w:rPr>
                <w:rFonts w:ascii="맑은 고딕" w:hAnsi="맑은 고딕" w:eastAsia="맑은 고딕"/>
                <w:b w:val="0"/>
                <w:sz w:val="17"/>
              </w:rPr>
              <w:t>적정가치</w:t>
            </w:r>
          </w:p>
        </w:tc>
      </w:tr>
    </w:tbl>
    <w:p>
      <w:pPr>
        <w:spacing w:after="40"/>
      </w:pPr>
    </w:p>
    <w:p>
      <w:pPr>
        <w:spacing w:after="120"/>
      </w:pPr>
      <w:r>
        <w:rPr>
          <w:rFonts w:ascii="맑은 고딕" w:hAnsi="맑은 고딕" w:eastAsia="맑은 고딕"/>
          <w:b/>
          <w:i w:val="0"/>
          <w:sz w:val="21"/>
        </w:rPr>
        <w:t>풋볼 필드 (주당 가치):</w:t>
      </w:r>
    </w:p>
    <w:p>
      <w:pPr>
        <w:spacing w:after="120"/>
      </w:pPr>
      <w:r>
        <w:rPr>
          <w:rFonts w:ascii="맑은 고딕" w:hAnsi="맑은 고딕" w:eastAsia="맑은 고딕"/>
          <w:i w:val="0"/>
          <w:sz w:val="21"/>
        </w:rPr>
        <w:t>```</w:t>
      </w:r>
    </w:p>
    <w:p>
      <w:pPr>
        <w:spacing w:after="120"/>
      </w:pPr>
      <w:r>
        <w:rPr>
          <w:rFonts w:ascii="맑은 고딕" w:hAnsi="맑은 고딕" w:eastAsia="맑은 고딕"/>
          <w:i w:val="0"/>
          <w:sz w:val="21"/>
        </w:rPr>
        <w:t>$140      $160      $180      $200      $220      $240      $260      $280      $300</w:t>
      </w:r>
    </w:p>
    <w:p>
      <w:pPr>
        <w:spacing w:after="120"/>
      </w:pPr>
      <w:r>
        <w:rPr>
          <w:rFonts w:ascii="맑은 고딕" w:hAnsi="맑은 고딕" w:eastAsia="맑은 고딕"/>
          <w:i w:val="0"/>
          <w:sz w:val="21"/>
        </w:rPr>
        <w:t>DCF        [====|=========================]                      ($149 — $201, 기본 $157)</w:t>
      </w:r>
    </w:p>
    <w:p>
      <w:pPr>
        <w:spacing w:after="120"/>
      </w:pPr>
      <w:r>
        <w:rPr>
          <w:rFonts w:ascii="맑은 고딕" w:hAnsi="맑은 고딕" w:eastAsia="맑은 고딕"/>
          <w:i w:val="0"/>
          <w:sz w:val="21"/>
        </w:rPr>
        <w:t>Comps                        [==============|===============================]  ($156 — $350, 기본 $271)</w:t>
      </w:r>
    </w:p>
    <w:p>
      <w:pPr>
        <w:spacing w:after="120"/>
      </w:pPr>
      <w:r>
        <w:rPr>
          <w:rFonts w:ascii="맑은 고딕" w:hAnsi="맑은 고딕" w:eastAsia="맑은 고딕"/>
          <w:i w:val="0"/>
          <w:sz w:val="21"/>
        </w:rPr>
        <w:t>Current                                 * $207</w:t>
      </w:r>
    </w:p>
    <w:p>
      <w:pPr>
        <w:spacing w:after="120"/>
      </w:pPr>
      <w:r>
        <w:rPr>
          <w:rFonts w:ascii="맑은 고딕" w:hAnsi="맑은 고딕" w:eastAsia="맑은 고딕"/>
          <w:i w:val="0"/>
          <w:sz w:val="21"/>
        </w:rPr>
        <w:t>Target                                  # $208</w:t>
      </w:r>
    </w:p>
    <w:p>
      <w:pPr>
        <w:spacing w:after="120"/>
      </w:pPr>
      <w:r>
        <w:rPr>
          <w:rFonts w:ascii="맑은 고딕" w:hAnsi="맑은 고딕" w:eastAsia="맑은 고딕"/>
          <w:i w:val="0"/>
          <w:sz w:val="21"/>
        </w:rPr>
        <w:t>```</w:t>
      </w:r>
    </w:p>
    <w:p>
      <w:pPr>
        <w:spacing w:after="120"/>
      </w:pPr>
      <w:r>
        <w:rPr>
          <w:rFonts w:ascii="맑은 고딕" w:hAnsi="맑은 고딕" w:eastAsia="맑은 고딕"/>
          <w:i w:val="0"/>
          <w:sz w:val="21"/>
        </w:rPr>
        <w:t>현재 주가는 두 방법론 사이 — 내재가치 위, 상대가치 아래 — 에 위치하는데, 바로 이 때문에 가중 목표 주가가 그 위에 정확히 얹히게 된다.</w:t>
      </w:r>
    </w:p>
    <w:p>
      <w:pPr>
        <w:spacing w:after="120"/>
      </w:pPr>
      <w:r>
        <w:rPr>
          <w:rFonts w:ascii="맑은 고딕" w:hAnsi="맑은 고딕" w:eastAsia="맑은 고딕"/>
          <w:b/>
          <w:i w:val="0"/>
          <w:sz w:val="21"/>
        </w:rPr>
        <w:t>가중치 산정 근거:</w:t>
      </w:r>
      <w:r>
        <w:rPr>
          <w:rFonts w:ascii="맑은 고딕" w:hAnsi="맑은 고딕" w:eastAsia="맑은 고딕"/>
          <w:i w:val="0"/>
          <w:sz w:val="21"/>
        </w:rPr>
        <w:t xml:space="preserve"> 당사는 </w:t>
      </w:r>
      <w:r>
        <w:rPr>
          <w:rFonts w:ascii="맑은 고딕" w:hAnsi="맑은 고딕" w:eastAsia="맑은 고딕"/>
          <w:b/>
          <w:i w:val="0"/>
          <w:sz w:val="21"/>
        </w:rPr>
        <w:t>DCF에 55%</w:t>
      </w:r>
      <w:r>
        <w:rPr>
          <w:rFonts w:ascii="맑은 고딕" w:hAnsi="맑은 고딕" w:eastAsia="맑은 고딕"/>
          <w:i w:val="0"/>
          <w:sz w:val="21"/>
        </w:rPr>
        <w:t xml:space="preserve">, </w:t>
      </w:r>
      <w:r>
        <w:rPr>
          <w:rFonts w:ascii="맑은 고딕" w:hAnsi="맑은 고딕" w:eastAsia="맑은 고딕"/>
          <w:b/>
          <w:i w:val="0"/>
          <w:sz w:val="21"/>
        </w:rPr>
        <w:t>comps에 45%</w:t>
      </w:r>
      <w:r>
        <w:rPr>
          <w:rFonts w:ascii="맑은 고딕" w:hAnsi="맑은 고딕" w:eastAsia="맑은 고딕"/>
          <w:i w:val="0"/>
          <w:sz w:val="21"/>
        </w:rPr>
        <w:t>를 배분한다. DCF는 실제 Q1 실적 및 Q2 가이던스에 연동된 투명한 상향식(bottom-up) 5개년 전망에 기반하므로 더 큰 가중치를 받는다 — 다만 영구가치 비중이 높으므로(EV의 75.7%) 지배적 가중치 아래로 제한한다. comps는 peer set이 견고하고 직접적으로 관련성이 높으므로 상당한 45%를 받는다. 다만 2026년 중반 환경에서 AI/반도체 전 영역이 높은 밸류에이션에 있고, 규모 유의점이 peer 중앙값이 NVIDIA의 적정 멀티플을 과대평가함을 시사하므로 절반 미만으로 유지한다.</w:t>
      </w:r>
    </w:p>
    <w:p>
      <w:pPr>
        <w:spacing w:after="120"/>
      </w:pPr>
      <w:r>
        <w:rPr>
          <w:rFonts w:ascii="맑은 고딕" w:hAnsi="맑은 고딕" w:eastAsia="맑은 고딕"/>
          <w:b/>
          <w:i w:val="0"/>
          <w:sz w:val="21"/>
        </w:rPr>
        <w:t>가중 목표 주가:</w:t>
      </w:r>
      <w:r>
        <w:rPr>
          <w:rFonts w:ascii="맑은 고딕" w:hAnsi="맑은 고딕" w:eastAsia="맑은 고딕"/>
          <w:i w:val="0"/>
          <w:sz w:val="21"/>
        </w:rPr>
        <w:t xml:space="preserve"> 0.55 × $157 + 0.45 × $271 = </w:t>
      </w:r>
      <w:r>
        <w:rPr>
          <w:rFonts w:ascii="맑은 고딕" w:hAnsi="맑은 고딕" w:eastAsia="맑은 고딕"/>
          <w:b/>
          <w:i w:val="0"/>
          <w:sz w:val="21"/>
        </w:rPr>
        <w:t>$207.92 → $208</w:t>
      </w:r>
      <w:r>
        <w:rPr>
          <w:rFonts w:ascii="맑은 고딕" w:hAnsi="맑은 고딕" w:eastAsia="맑은 고딕"/>
          <w:i w:val="0"/>
          <w:sz w:val="21"/>
        </w:rPr>
        <w:t>.</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5. 투자 의견</w:t>
      </w:r>
    </w:p>
    <w:p>
      <w:pPr>
        <w:spacing w:after="120"/>
      </w:pPr>
      <w:r>
        <w:rPr>
          <w:rFonts w:ascii="맑은 고딕" w:hAnsi="맑은 고딕" w:eastAsia="맑은 고딕"/>
          <w:b/>
          <w:i w:val="0"/>
          <w:sz w:val="21"/>
        </w:rPr>
        <w:t>투자의견: 중립(보유). 12개월 목표 주가: $208 (+0.2%).</w:t>
      </w:r>
    </w:p>
    <w:p>
      <w:pPr>
        <w:spacing w:after="120"/>
      </w:pPr>
      <w:r>
        <w:rPr>
          <w:rFonts w:ascii="맑은 고딕" w:hAnsi="맑은 고딕" w:eastAsia="맑은 고딕"/>
          <w:i w:val="0"/>
          <w:sz w:val="21"/>
        </w:rPr>
        <w:t xml:space="preserve">현재 주가에서 NVIDIA는 균형 잡힌 위험/보상을 제공한다. 내재가치 관점은 주가가 이미 수년간의 탁월한 실행력을 할인하고 있다고 말하고, 상대가치 관점은 peer 대비 저렴하다고 말한다. 어느 축도 $207 수준에서 설득력 있는 방향성 논거를 제시하지 못하므로, 당사는 투자자들에게 </w:t>
      </w:r>
      <w:r>
        <w:rPr>
          <w:rFonts w:ascii="맑은 고딕" w:hAnsi="맑은 고딕" w:eastAsia="맑은 고딕"/>
          <w:b/>
          <w:i w:val="0"/>
          <w:sz w:val="21"/>
        </w:rPr>
        <w:t>기존 포지션을 보유하고 더 나은 진입 시점 또는 보다 명확한 확인 신호를 기다린 후</w:t>
      </w:r>
      <w:r>
        <w:rPr>
          <w:rFonts w:ascii="맑은 고딕" w:hAnsi="맑은 고딕" w:eastAsia="맑은 고딕"/>
          <w:i w:val="0"/>
          <w:sz w:val="21"/>
        </w:rPr>
        <w:t xml:space="preserve"> 비중 확대에 나설 것을 권고한다.</w:t>
      </w:r>
    </w:p>
    <w:p>
      <w:pPr>
        <w:spacing w:after="120"/>
      </w:pPr>
      <w:r>
        <w:rPr>
          <w:rFonts w:ascii="맑은 고딕" w:hAnsi="맑은 고딕" w:eastAsia="맑은 고딕"/>
          <w:b/>
          <w:i w:val="0"/>
          <w:sz w:val="21"/>
        </w:rPr>
        <w:t>매수(BUY)로 전환하게 만들 요인:</w:t>
      </w:r>
    </w:p>
    <w:p>
      <w:pPr>
        <w:pStyle w:val="ListBullet"/>
        <w:spacing w:after="60"/>
      </w:pPr>
      <w:r>
        <w:rPr>
          <w:rFonts w:ascii="맑은 고딕" w:hAnsi="맑은 고딕" w:eastAsia="맑은 고딕"/>
          <w:sz w:val="21"/>
        </w:rPr>
        <w:t xml:space="preserve">약 9%를 향한 지속적인 </w:t>
      </w:r>
      <w:r>
        <w:rPr>
          <w:rFonts w:ascii="맑은 고딕" w:hAnsi="맑은 고딕" w:eastAsia="맑은 고딕"/>
          <w:b/>
          <w:sz w:val="21"/>
        </w:rPr>
        <w:t>WACC 리레이팅</w:t>
      </w:r>
      <w:r>
        <w:rPr>
          <w:rFonts w:ascii="맑은 고딕" w:hAnsi="맑은 고딕" w:eastAsia="맑은 고딕"/>
          <w:sz w:val="21"/>
        </w:rPr>
        <w:t>(무위험 이자율 하락 및/또는 AI 캐펙스 리스크가 완화되면서 주식 위험 프리미엄 하락)이며, 이것만으로도 내재가치가 현재가를 향해 상승하여 이를 넘어서게 된다.</w:t>
      </w:r>
    </w:p>
    <w:p>
      <w:pPr>
        <w:pStyle w:val="ListBullet"/>
        <w:spacing w:after="60"/>
      </w:pPr>
      <w:r>
        <w:rPr>
          <w:rFonts w:ascii="맑은 고딕" w:hAnsi="맑은 고딕" w:eastAsia="맑은 고딕"/>
          <w:b/>
          <w:sz w:val="21"/>
        </w:rPr>
        <w:t>캐펙스 지속성의 확인</w:t>
      </w:r>
      <w:r>
        <w:rPr>
          <w:rFonts w:ascii="맑은 고딕" w:hAnsi="맑은 고딕" w:eastAsia="맑은 고딕"/>
          <w:sz w:val="21"/>
        </w:rPr>
        <w:t xml:space="preserve"> — 하이퍼스케일러 및 국가 주도(sovereign) AI 지출이 소화(digestion) 국면으로 접어들지 않고 FY2028–29까지 지속된다는 증거로, 이는 FCF 전망의 상단을 입증하고 영구가치 의존도를 축소할 것이다.</w:t>
      </w:r>
    </w:p>
    <w:p>
      <w:pPr>
        <w:spacing w:after="120"/>
      </w:pPr>
      <w:r>
        <w:rPr>
          <w:rFonts w:ascii="맑은 고딕" w:hAnsi="맑은 고딕" w:eastAsia="맑은 고딕"/>
          <w:b/>
          <w:i w:val="0"/>
          <w:sz w:val="21"/>
        </w:rPr>
        <w:t>매도(SELL)로 전환하게 만들 요인:</w:t>
      </w:r>
    </w:p>
    <w:p>
      <w:pPr>
        <w:pStyle w:val="ListBullet"/>
        <w:spacing w:after="60"/>
      </w:pPr>
      <w:r>
        <w:rPr>
          <w:rFonts w:ascii="맑은 고딕" w:hAnsi="맑은 고딕" w:eastAsia="맑은 고딕"/>
          <w:b/>
          <w:sz w:val="21"/>
        </w:rPr>
        <w:t>캐펙스 소화 신호</w:t>
      </w:r>
      <w:r>
        <w:rPr>
          <w:rFonts w:ascii="맑은 고딕" w:hAnsi="맑은 고딕" w:eastAsia="맑은 고딕"/>
          <w:sz w:val="21"/>
        </w:rPr>
        <w:t xml:space="preserve"> — 주요 고객의 주문 중단 또는 축소, 또는 2026년 +77% 급증 이후 하이퍼스케일러 캐펙스 사이클의 평탄화이며, 이는 역사적으로 양방향 모두에서 과도하게 진폭을 보여왔다.</w:t>
      </w:r>
    </w:p>
    <w:p>
      <w:pPr>
        <w:pStyle w:val="ListBullet"/>
        <w:spacing w:after="60"/>
      </w:pPr>
      <w:r>
        <w:rPr>
          <w:rFonts w:ascii="맑은 고딕" w:hAnsi="맑은 고딕" w:eastAsia="맑은 고딕"/>
          <w:b/>
          <w:sz w:val="21"/>
        </w:rPr>
        <w:t>표본 외(OOS) 매출 둔화</w:t>
      </w:r>
      <w:r>
        <w:rPr>
          <w:rFonts w:ascii="맑은 고딕" w:hAnsi="맑은 고딕" w:eastAsia="맑은 고딕"/>
          <w:sz w:val="21"/>
        </w:rPr>
        <w:t xml:space="preserve"> — 주문 성장 또는 가이던스가 모델 가정보다 빠르게 둔화되는 경우이며, 특히 추론(inference) 부문에서 ASIC 점유율 상실에 의해 촉발될 때 그러하다.</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6. 목표 주가에 대한 주요 촉매 및 리스크</w:t>
      </w:r>
    </w:p>
    <w:p>
      <w:pPr>
        <w:spacing w:after="120"/>
      </w:pPr>
      <w:r>
        <w:rPr>
          <w:rFonts w:ascii="맑은 고딕" w:hAnsi="맑은 고딕" w:eastAsia="맑은 고딕"/>
          <w:i w:val="0"/>
          <w:sz w:val="21"/>
        </w:rPr>
        <w:t>*(Task 1 기업 리서치에서 인용; NVIDIA_Research_Document_2026-07-17.md 참조.)*</w:t>
      </w:r>
    </w:p>
    <w:p>
      <w:pPr>
        <w:spacing w:before="160" w:after="80"/>
      </w:pPr>
      <w:r>
        <w:rPr>
          <w:rFonts w:ascii="맑은 고딕" w:hAnsi="맑은 고딕" w:eastAsia="맑은 고딕"/>
          <w:b/>
          <w:color w:val="1A1A1A"/>
          <w:sz w:val="22"/>
        </w:rPr>
        <w:t>촉매 (목표가 대비 잠재적 상방)</w:t>
      </w:r>
    </w:p>
    <w:p>
      <w:pPr>
        <w:spacing w:after="120"/>
      </w:pPr>
      <w:r>
        <w:rPr>
          <w:rFonts w:ascii="맑은 고딕" w:hAnsi="맑은 고딕" w:eastAsia="맑은 고딕"/>
          <w:i w:val="0"/>
          <w:sz w:val="21"/>
        </w:rPr>
        <w:t xml:space="preserve">1. </w:t>
      </w:r>
      <w:r>
        <w:rPr>
          <w:rFonts w:ascii="맑은 고딕" w:hAnsi="맑은 고딕" w:eastAsia="맑은 고딕"/>
          <w:b/>
          <w:i w:val="0"/>
          <w:sz w:val="21"/>
        </w:rPr>
        <w:t>FOMC 결정, 2026-07-29</w:t>
      </w:r>
      <w:r>
        <w:rPr>
          <w:rFonts w:ascii="맑은 고딕" w:hAnsi="맑은 고딕" w:eastAsia="맑은 고딕"/>
          <w:i w:val="0"/>
          <w:sz w:val="21"/>
        </w:rPr>
        <w:t xml:space="preserve"> — 비둘기파적(dovish) 전환은 무위험 이자율과 NVIDIA의 할인율을 낮추어 DCF를 직접적으로 리레이팅한다(위의 WACC 민감도는 내재가치가 이에 얼마나 크게 좌우되는지를 보여준다).</w:t>
      </w:r>
    </w:p>
    <w:p>
      <w:pPr>
        <w:spacing w:after="120"/>
      </w:pPr>
      <w:r>
        <w:rPr>
          <w:rFonts w:ascii="맑은 고딕" w:hAnsi="맑은 고딕" w:eastAsia="맑은 고딕"/>
          <w:i w:val="0"/>
          <w:sz w:val="21"/>
        </w:rPr>
        <w:t xml:space="preserve">2. </w:t>
      </w:r>
      <w:r>
        <w:rPr>
          <w:rFonts w:ascii="맑은 고딕" w:hAnsi="맑은 고딕" w:eastAsia="맑은 고딕"/>
          <w:b/>
          <w:i w:val="0"/>
          <w:sz w:val="21"/>
        </w:rPr>
        <w:t>Q2 FY2027 실적, 2026-08-26</w:t>
      </w:r>
      <w:r>
        <w:rPr>
          <w:rFonts w:ascii="맑은 고딕" w:hAnsi="맑은 고딕" w:eastAsia="맑은 고딕"/>
          <w:i w:val="0"/>
          <w:sz w:val="21"/>
        </w:rPr>
        <w:t xml:space="preserve"> — $91B 가이던스에 대한 상회(beat)와 Rubin 램프업 및 수주잔고에 관한 긍정적 코멘트는 FCF 전망의 상단을 뒷받침할 것이다.</w:t>
      </w:r>
    </w:p>
    <w:p>
      <w:pPr>
        <w:spacing w:after="120"/>
      </w:pPr>
      <w:r>
        <w:rPr>
          <w:rFonts w:ascii="맑은 고딕" w:hAnsi="맑은 고딕" w:eastAsia="맑은 고딕"/>
          <w:i w:val="0"/>
          <w:sz w:val="21"/>
        </w:rPr>
        <w:t xml:space="preserve">3. </w:t>
      </w:r>
      <w:r>
        <w:rPr>
          <w:rFonts w:ascii="맑은 고딕" w:hAnsi="맑은 고딕" w:eastAsia="맑은 고딕"/>
          <w:b/>
          <w:i w:val="0"/>
          <w:sz w:val="21"/>
        </w:rPr>
        <w:t>중국 옵션 가치(optionality)</w:t>
      </w:r>
      <w:r>
        <w:rPr>
          <w:rFonts w:ascii="맑은 고딕" w:hAnsi="맑은 고딕" w:eastAsia="맑은 고딕"/>
          <w:i w:val="0"/>
          <w:sz w:val="21"/>
        </w:rPr>
        <w:t xml:space="preserve"> — 현재 가이던스는 중국 데이터센터 컴퓨트 매출을 제로로 가정한다; B30/B30A 승인은 모델에 추가적 요인이 되나, 새로운 중국 측 대응 규제를 유발할 수도 있다.</w:t>
      </w:r>
    </w:p>
    <w:p>
      <w:pPr>
        <w:spacing w:after="120"/>
      </w:pPr>
      <w:r>
        <w:rPr>
          <w:rFonts w:ascii="맑은 고딕" w:hAnsi="맑은 고딕" w:eastAsia="맑은 고딕"/>
          <w:i w:val="0"/>
          <w:sz w:val="21"/>
        </w:rPr>
        <w:t xml:space="preserve">4. </w:t>
      </w:r>
      <w:r>
        <w:rPr>
          <w:rFonts w:ascii="맑은 고딕" w:hAnsi="맑은 고딕" w:eastAsia="맑은 고딕"/>
          <w:b/>
          <w:i w:val="0"/>
          <w:sz w:val="21"/>
        </w:rPr>
        <w:t>국가 주도 AI 파이프라인</w:t>
      </w:r>
      <w:r>
        <w:rPr>
          <w:rFonts w:ascii="맑은 고딕" w:hAnsi="맑은 고딕" w:eastAsia="맑은 고딕"/>
          <w:i w:val="0"/>
          <w:sz w:val="21"/>
        </w:rPr>
        <w:t xml:space="preserve"> — 다수 기가와트급 국가 프로그램(Stargate UAE, 일본)의 지속적인 수주 전환은 수요를 미국 하이퍼스케일러 예산으로부터 다변화한다.</w:t>
      </w:r>
    </w:p>
    <w:p>
      <w:pPr>
        <w:spacing w:before="160" w:after="80"/>
      </w:pPr>
      <w:r>
        <w:rPr>
          <w:rFonts w:ascii="맑은 고딕" w:hAnsi="맑은 고딕" w:eastAsia="맑은 고딕"/>
          <w:b/>
          <w:color w:val="1A1A1A"/>
          <w:sz w:val="22"/>
        </w:rPr>
        <w:t>목표 주가에 대한 리스크 (잠재적 하방)</w:t>
      </w:r>
    </w:p>
    <w:p>
      <w:pPr>
        <w:spacing w:after="120"/>
      </w:pPr>
      <w:r>
        <w:rPr>
          <w:rFonts w:ascii="맑은 고딕" w:hAnsi="맑은 고딕" w:eastAsia="맑은 고딕"/>
          <w:i w:val="0"/>
          <w:sz w:val="21"/>
        </w:rPr>
        <w:t xml:space="preserve">1. </w:t>
      </w:r>
      <w:r>
        <w:rPr>
          <w:rFonts w:ascii="맑은 고딕" w:hAnsi="맑은 고딕" w:eastAsia="맑은 고딕"/>
          <w:b/>
          <w:i w:val="0"/>
          <w:sz w:val="21"/>
        </w:rPr>
        <w:t>AI 캐펙스 신용 이벤트 / 순환 금융(circular financing)</w:t>
      </w:r>
      <w:r>
        <w:rPr>
          <w:rFonts w:ascii="맑은 고딕" w:hAnsi="맑은 고딕" w:eastAsia="맑은 고딕"/>
          <w:i w:val="0"/>
          <w:sz w:val="21"/>
        </w:rPr>
        <w:t xml:space="preserve"> — 수요의 점점 더 큰 비중이 부채로 조달되고 있으며 일부는 NVIDIA가 직접 자금을 지원한다(OpenAI 최대 $100B, Anthropic $10B, 네오클라우드 백스톱). 주요 AI 차입자의 자금 조달 실패는 주문을 감소시키고 NVIDIA의 투자자산을 손상시키며 금융 사슬을 동시에 동결시킬 수 있다 — 이것이 시스템적 꼬리 위험(tail risk)이다.</w:t>
      </w:r>
    </w:p>
    <w:p>
      <w:pPr>
        <w:spacing w:after="120"/>
      </w:pPr>
      <w:r>
        <w:rPr>
          <w:rFonts w:ascii="맑은 고딕" w:hAnsi="맑은 고딕" w:eastAsia="맑은 고딕"/>
          <w:i w:val="0"/>
          <w:sz w:val="21"/>
        </w:rPr>
        <w:t xml:space="preserve">2. </w:t>
      </w:r>
      <w:r>
        <w:rPr>
          <w:rFonts w:ascii="맑은 고딕" w:hAnsi="맑은 고딕" w:eastAsia="맑은 고딕"/>
          <w:b/>
          <w:i w:val="0"/>
          <w:sz w:val="21"/>
        </w:rPr>
        <w:t>추론 부문 ASIC 점유율 상실</w:t>
      </w:r>
      <w:r>
        <w:rPr>
          <w:rFonts w:ascii="맑은 고딕" w:hAnsi="맑은 고딕" w:eastAsia="맑은 고딕"/>
          <w:i w:val="0"/>
          <w:sz w:val="21"/>
        </w:rPr>
        <w:t xml:space="preserve"> — TPU v7, Trainium 3, Maia 200, MTIA는 가장 비용 민감도가 높은 워크로드를 겨냥하며, ASIC 서버는 이미 2026년 출하량의 약 28%를 차지한다. 표준화된 추론이 GPU에서 이탈하는 것이 가장 개연성 있는 구조적 점유율 상실 경로이다.</w:t>
      </w:r>
    </w:p>
    <w:p>
      <w:pPr>
        <w:spacing w:after="120"/>
      </w:pPr>
      <w:r>
        <w:rPr>
          <w:rFonts w:ascii="맑은 고딕" w:hAnsi="맑은 고딕" w:eastAsia="맑은 고딕"/>
          <w:i w:val="0"/>
          <w:sz w:val="21"/>
        </w:rPr>
        <w:t xml:space="preserve">3. </w:t>
      </w:r>
      <w:r>
        <w:rPr>
          <w:rFonts w:ascii="맑은 고딕" w:hAnsi="맑은 고딕" w:eastAsia="맑은 고딕"/>
          <w:b/>
          <w:i w:val="0"/>
          <w:sz w:val="21"/>
        </w:rPr>
        <w:t>캐펙스 사이클 지속성</w:t>
      </w:r>
      <w:r>
        <w:rPr>
          <w:rFonts w:ascii="맑은 고딕" w:hAnsi="맑은 고딕" w:eastAsia="맑은 고딕"/>
          <w:i w:val="0"/>
          <w:sz w:val="21"/>
        </w:rPr>
        <w:t xml:space="preserve"> — 2026년 약 $725B 규모의 빅4 캐펙스(+77%)는 AI 매출보다 훨씬 빠르게 성장하고 있다; 수익화 실망은 2027–28년 예산을 평탄화하고 성장을 급격히 압축할 수 있다.</w:t>
      </w:r>
    </w:p>
    <w:p>
      <w:pPr>
        <w:spacing w:after="120"/>
      </w:pPr>
      <w:r>
        <w:rPr>
          <w:rFonts w:ascii="맑은 고딕" w:hAnsi="맑은 고딕" w:eastAsia="맑은 고딕"/>
          <w:i w:val="0"/>
          <w:sz w:val="21"/>
        </w:rPr>
        <w:t xml:space="preserve">4. </w:t>
      </w:r>
      <w:r>
        <w:rPr>
          <w:rFonts w:ascii="맑은 고딕" w:hAnsi="맑은 고딕" w:eastAsia="맑은 고딕"/>
          <w:b/>
          <w:i w:val="0"/>
          <w:sz w:val="21"/>
        </w:rPr>
        <w:t>고객 집중도</w:t>
      </w:r>
      <w:r>
        <w:rPr>
          <w:rFonts w:ascii="맑은 고딕" w:hAnsi="맑은 고딕" w:eastAsia="맑은 고딕"/>
          <w:i w:val="0"/>
          <w:sz w:val="21"/>
        </w:rPr>
        <w:t xml:space="preserve"> — 3개 직접 고객이 Q1 FY2027 매출의 54%를 차지했다; 단일 대형 고객의 주문 중단은 연결 실적을 상당 폭 움직일 것이다.</w:t>
      </w:r>
    </w:p>
    <w:p>
      <w:pPr>
        <w:spacing w:after="120"/>
      </w:pPr>
      <w:r>
        <w:rPr>
          <w:rFonts w:ascii="맑은 고딕" w:hAnsi="맑은 고딕" w:eastAsia="맑은 고딕"/>
          <w:i w:val="0"/>
          <w:sz w:val="21"/>
        </w:rPr>
        <w:t xml:space="preserve">5. </w:t>
      </w:r>
      <w:r>
        <w:rPr>
          <w:rFonts w:ascii="맑은 고딕" w:hAnsi="맑은 고딕" w:eastAsia="맑은 고딕"/>
          <w:b/>
          <w:i w:val="0"/>
          <w:sz w:val="21"/>
        </w:rPr>
        <w:t>멀티플 디레이팅</w:t>
      </w:r>
      <w:r>
        <w:rPr>
          <w:rFonts w:ascii="맑은 고딕" w:hAnsi="맑은 고딕" w:eastAsia="맑은 고딕"/>
          <w:i w:val="0"/>
          <w:sz w:val="21"/>
        </w:rPr>
        <w:t xml:space="preserve"> — 약 5조 달러 규모와 초고속 성장 멀티플에서 NVDA는 지수 내 최대 규모의 듀레이션 및 심리(sentiment) 노출이다; 장기 고금리(higher-for-longer) 또는 AI 심리 붕괴는 펀더멘털과 무관하게 주가를 디레이팅한다.</w:t>
      </w:r>
    </w:p>
    <w:p>
      <w:pPr>
        <w:spacing w:after="120"/>
      </w:pPr>
      <w:r>
        <w:rPr>
          <w:rFonts w:ascii="맑은 고딕" w:hAnsi="맑은 고딕" w:eastAsia="맑은 고딕"/>
          <w:i w:val="0"/>
          <w:sz w:val="21"/>
        </w:rPr>
        <w:t>---</w:t>
      </w:r>
    </w:p>
    <w:p>
      <w:pPr>
        <w:spacing w:before="160" w:after="80"/>
      </w:pPr>
      <w:r>
        <w:rPr>
          <w:rFonts w:ascii="맑은 고딕" w:hAnsi="맑은 고딕" w:eastAsia="맑은 고딕"/>
          <w:b/>
          <w:color w:val="1A1A1A"/>
          <w:sz w:val="25"/>
        </w:rPr>
        <w:t>7. 정합성 점검(Sanity Checks)</w:t>
      </w:r>
    </w:p>
    <w:tbl>
      <w:tblPr>
        <w:tblStyle w:val="LightGrid-Accent1"/>
        <w:tblW w:type="auto" w:w="0"/>
        <w:tblLayout w:type="autofit"/>
        <w:tblLook w:firstColumn="1" w:firstRow="1" w:lastColumn="0" w:lastRow="0" w:noHBand="0" w:noVBand="1" w:val="04A0"/>
      </w:tblPr>
      <w:tblGrid>
        <w:gridCol w:w="3312"/>
        <w:gridCol w:w="3312"/>
        <w:gridCol w:w="3312"/>
      </w:tblGrid>
      <w:tr>
        <w:tc>
          <w:tcPr>
            <w:tcW w:type="dxa" w:w="3312"/>
            <w:shd w:fill="1F3864"/>
          </w:tcPr>
          <w:p>
            <w:pPr>
              <w:spacing w:after="20" w:before="20"/>
              <w:jc w:val="left"/>
            </w:pPr>
            <w:r/>
            <w:r>
              <w:rPr>
                <w:rFonts w:ascii="맑은 고딕" w:hAnsi="맑은 고딕" w:eastAsia="맑은 고딕"/>
                <w:b/>
                <w:color w:val="FFFFFF"/>
                <w:sz w:val="17"/>
              </w:rPr>
              <w:t>점검 항목</w:t>
            </w:r>
          </w:p>
        </w:tc>
        <w:tc>
          <w:tcPr>
            <w:tcW w:type="dxa" w:w="3312"/>
            <w:shd w:fill="1F3864"/>
          </w:tcPr>
          <w:p>
            <w:pPr>
              <w:spacing w:after="20" w:before="20"/>
              <w:jc w:val="right"/>
            </w:pPr>
            <w:r/>
            <w:r>
              <w:rPr>
                <w:rFonts w:ascii="맑은 고딕" w:hAnsi="맑은 고딕" w:eastAsia="맑은 고딕"/>
                <w:b/>
                <w:color w:val="FFFFFF"/>
                <w:sz w:val="17"/>
              </w:rPr>
              <w:t>결과</w:t>
            </w:r>
          </w:p>
        </w:tc>
        <w:tc>
          <w:tcPr>
            <w:tcW w:type="dxa" w:w="3312"/>
            <w:shd w:fill="1F3864"/>
          </w:tcPr>
          <w:p>
            <w:pPr>
              <w:spacing w:after="20" w:before="20"/>
              <w:jc w:val="right"/>
            </w:pPr>
            <w:r/>
            <w:r>
              <w:rPr>
                <w:rFonts w:ascii="맑은 고딕" w:hAnsi="맑은 고딕" w:eastAsia="맑은 고딕"/>
                <w:b/>
                <w:color w:val="FFFFFF"/>
                <w:sz w:val="17"/>
              </w:rPr>
              <w:t>평가</w:t>
            </w:r>
          </w:p>
        </w:tc>
      </w:tr>
      <w:tr>
        <w:tc>
          <w:tcPr>
            <w:tcW w:type="dxa" w:w="3312"/>
          </w:tcPr>
          <w:p>
            <w:pPr>
              <w:spacing w:after="20" w:before="20"/>
              <w:jc w:val="left"/>
            </w:pPr>
            <w:r/>
            <w:r>
              <w:rPr>
                <w:rFonts w:ascii="맑은 고딕" w:hAnsi="맑은 고딕" w:eastAsia="맑은 고딕"/>
                <w:b w:val="0"/>
                <w:sz w:val="17"/>
              </w:rPr>
              <w:t>EV 대비 영구가치 비중</w:t>
            </w:r>
          </w:p>
        </w:tc>
        <w:tc>
          <w:tcPr>
            <w:tcW w:type="dxa" w:w="3312"/>
          </w:tcPr>
          <w:p>
            <w:pPr>
              <w:spacing w:after="20" w:before="20"/>
              <w:jc w:val="right"/>
            </w:pPr>
            <w:r/>
            <w:r>
              <w:rPr>
                <w:rFonts w:ascii="맑은 고딕" w:hAnsi="맑은 고딕" w:eastAsia="맑은 고딕"/>
                <w:b w:val="0"/>
                <w:sz w:val="17"/>
              </w:rPr>
              <w:t>**75.7%**</w:t>
            </w:r>
          </w:p>
        </w:tc>
        <w:tc>
          <w:tcPr>
            <w:tcW w:type="dxa" w:w="3312"/>
          </w:tcPr>
          <w:p>
            <w:pPr>
              <w:spacing w:after="20" w:before="20"/>
              <w:jc w:val="right"/>
            </w:pPr>
            <w:r/>
            <w:r>
              <w:rPr>
                <w:rFonts w:ascii="맑은 고딕" w:hAnsi="맑은 고딕" w:eastAsia="맑은 고딕"/>
                <w:b w:val="0"/>
                <w:sz w:val="17"/>
              </w:rPr>
              <w:t>높음 — 주된 DCF 한계로 지적됨; 초고속 성장주에서 통상적이나 산출 결과를 WACC/g에 취약하게 만듦.</w:t>
            </w:r>
          </w:p>
        </w:tc>
      </w:tr>
      <w:tr>
        <w:tc>
          <w:tcPr>
            <w:tcW w:type="dxa" w:w="3312"/>
          </w:tcPr>
          <w:p>
            <w:pPr>
              <w:spacing w:after="20" w:before="20"/>
              <w:jc w:val="left"/>
            </w:pPr>
            <w:r/>
            <w:r>
              <w:rPr>
                <w:rFonts w:ascii="맑은 고딕" w:hAnsi="맑은 고딕" w:eastAsia="맑은 고딕"/>
                <w:b w:val="0"/>
                <w:sz w:val="17"/>
              </w:rPr>
              <w:t>WACC 대 기술주 통상 범위</w:t>
            </w:r>
          </w:p>
        </w:tc>
        <w:tc>
          <w:tcPr>
            <w:tcW w:type="dxa" w:w="3312"/>
          </w:tcPr>
          <w:p>
            <w:pPr>
              <w:spacing w:after="20" w:before="20"/>
              <w:jc w:val="right"/>
            </w:pPr>
            <w:r/>
            <w:r>
              <w:rPr>
                <w:rFonts w:ascii="맑은 고딕" w:hAnsi="맑은 고딕" w:eastAsia="맑은 고딕"/>
                <w:b w:val="0"/>
                <w:sz w:val="17"/>
              </w:rPr>
              <w:t>**10.9%** (10–14% 범위)</w:t>
            </w:r>
          </w:p>
        </w:tc>
        <w:tc>
          <w:tcPr>
            <w:tcW w:type="dxa" w:w="3312"/>
          </w:tcPr>
          <w:p>
            <w:pPr>
              <w:spacing w:after="20" w:before="20"/>
              <w:jc w:val="right"/>
            </w:pPr>
            <w:r/>
            <w:r>
              <w:rPr>
                <w:rFonts w:ascii="맑은 고딕" w:hAnsi="맑은 고딕" w:eastAsia="맑은 고딕"/>
                <w:b w:val="0"/>
                <w:sz w:val="17"/>
              </w:rPr>
              <w:t>합리적, 하단에 위치 — 순현금에 가까운 재무구조와 일관됨.</w:t>
            </w:r>
          </w:p>
        </w:tc>
      </w:tr>
      <w:tr>
        <w:tc>
          <w:tcPr>
            <w:tcW w:type="dxa" w:w="3312"/>
          </w:tcPr>
          <w:p>
            <w:pPr>
              <w:spacing w:after="20" w:before="20"/>
              <w:jc w:val="left"/>
            </w:pPr>
            <w:r/>
            <w:r>
              <w:rPr>
                <w:rFonts w:ascii="맑은 고딕" w:hAnsi="맑은 고딕" w:eastAsia="맑은 고딕"/>
                <w:b w:val="0"/>
                <w:sz w:val="17"/>
              </w:rPr>
              <w:t>NVDA 대 peer, EV/EBITDA</w:t>
            </w:r>
          </w:p>
        </w:tc>
        <w:tc>
          <w:tcPr>
            <w:tcW w:type="dxa" w:w="3312"/>
          </w:tcPr>
          <w:p>
            <w:pPr>
              <w:spacing w:after="20" w:before="20"/>
              <w:jc w:val="right"/>
            </w:pPr>
            <w:r/>
            <w:r>
              <w:rPr>
                <w:rFonts w:ascii="맑은 고딕" w:hAnsi="맑은 고딕" w:eastAsia="맑은 고딕"/>
                <w:b w:val="0"/>
                <w:sz w:val="17"/>
              </w:rPr>
              <w:t>22.3배 대 중앙값 31.4배</w:t>
            </w:r>
          </w:p>
        </w:tc>
        <w:tc>
          <w:tcPr>
            <w:tcW w:type="dxa" w:w="3312"/>
          </w:tcPr>
          <w:p>
            <w:pPr>
              <w:spacing w:after="20" w:before="20"/>
              <w:jc w:val="right"/>
            </w:pPr>
            <w:r/>
            <w:r>
              <w:rPr>
                <w:rFonts w:ascii="맑은 고딕" w:hAnsi="맑은 고딕" w:eastAsia="맑은 고딕"/>
                <w:b w:val="0"/>
                <w:sz w:val="17"/>
              </w:rPr>
              <w:t>우월한 성장/마진에도 불구하고 NVDA는 peer보다 **저렴하게** 스크리닝됨.</w:t>
            </w:r>
          </w:p>
        </w:tc>
      </w:tr>
      <w:tr>
        <w:tc>
          <w:tcPr>
            <w:tcW w:type="dxa" w:w="3312"/>
          </w:tcPr>
          <w:p>
            <w:pPr>
              <w:spacing w:after="20" w:before="20"/>
              <w:jc w:val="left"/>
            </w:pPr>
            <w:r/>
            <w:r>
              <w:rPr>
                <w:rFonts w:ascii="맑은 고딕" w:hAnsi="맑은 고딕" w:eastAsia="맑은 고딕"/>
                <w:b w:val="0"/>
                <w:sz w:val="17"/>
              </w:rPr>
              <w:t>NVDA 대 peer, P/E</w:t>
            </w:r>
          </w:p>
        </w:tc>
        <w:tc>
          <w:tcPr>
            <w:tcW w:type="dxa" w:w="3312"/>
          </w:tcPr>
          <w:p>
            <w:pPr>
              <w:spacing w:after="20" w:before="20"/>
              <w:jc w:val="right"/>
            </w:pPr>
            <w:r/>
            <w:r>
              <w:rPr>
                <w:rFonts w:ascii="맑은 고딕" w:hAnsi="맑은 고딕" w:eastAsia="맑은 고딕"/>
                <w:b w:val="0"/>
                <w:sz w:val="17"/>
              </w:rPr>
              <w:t>27.1배 대 중앙값 32.6배</w:t>
            </w:r>
          </w:p>
        </w:tc>
        <w:tc>
          <w:tcPr>
            <w:tcW w:type="dxa" w:w="3312"/>
          </w:tcPr>
          <w:p>
            <w:pPr>
              <w:spacing w:after="20" w:before="20"/>
              <w:jc w:val="right"/>
            </w:pPr>
            <w:r/>
            <w:r>
              <w:rPr>
                <w:rFonts w:ascii="맑은 고딕" w:hAnsi="맑은 고딕" w:eastAsia="맑은 고딕"/>
                <w:b w:val="0"/>
                <w:sz w:val="17"/>
              </w:rPr>
              <w:t>두 번째 지표에서도 상대가치 저평가를 확인함.</w:t>
            </w:r>
          </w:p>
        </w:tc>
      </w:tr>
      <w:tr>
        <w:tc>
          <w:tcPr>
            <w:tcW w:type="dxa" w:w="3312"/>
          </w:tcPr>
          <w:p>
            <w:pPr>
              <w:spacing w:after="20" w:before="20"/>
              <w:jc w:val="left"/>
            </w:pPr>
            <w:r/>
            <w:r>
              <w:rPr>
                <w:rFonts w:ascii="맑은 고딕" w:hAnsi="맑은 고딕" w:eastAsia="맑은 고딕"/>
                <w:b w:val="0"/>
                <w:sz w:val="17"/>
              </w:rPr>
              <w:t>내재 성장률</w:t>
            </w:r>
          </w:p>
        </w:tc>
        <w:tc>
          <w:tcPr>
            <w:tcW w:type="dxa" w:w="3312"/>
          </w:tcPr>
          <w:p>
            <w:pPr>
              <w:spacing w:after="20" w:before="20"/>
              <w:jc w:val="right"/>
            </w:pPr>
            <w:r/>
            <w:r>
              <w:rPr>
                <w:rFonts w:ascii="맑은 고딕" w:hAnsi="맑은 고딕" w:eastAsia="맑은 고딕"/>
                <w:b w:val="0"/>
                <w:sz w:val="17"/>
              </w:rPr>
              <w:t>기본 5개년 매출 CAGR 약 29% ($215.9B → $769.5B); FY2027E EPS $7.66 대 FY2026 $4.90</w:t>
            </w:r>
          </w:p>
        </w:tc>
        <w:tc>
          <w:tcPr>
            <w:tcW w:type="dxa" w:w="3312"/>
          </w:tcPr>
          <w:p>
            <w:pPr>
              <w:spacing w:after="20" w:before="20"/>
              <w:jc w:val="right"/>
            </w:pPr>
            <w:r/>
            <w:r>
              <w:rPr>
                <w:rFonts w:ascii="맑은 고딕" w:hAnsi="맑은 고딕" w:eastAsia="맑은 고딕"/>
                <w:b w:val="0"/>
                <w:sz w:val="17"/>
              </w:rPr>
              <w:t>공격적이나 Q1 실적($81.6B) + Q2 가이던스($91B)에 근거함; DCF는 여전히 주가를 하회하여 "완벽함이 가격에 반영됨" 해석을 확인함.</w:t>
            </w:r>
          </w:p>
        </w:tc>
      </w:tr>
      <w:tr>
        <w:tc>
          <w:tcPr>
            <w:tcW w:type="dxa" w:w="3312"/>
          </w:tcPr>
          <w:p>
            <w:pPr>
              <w:spacing w:after="20" w:before="20"/>
              <w:jc w:val="left"/>
            </w:pPr>
            <w:r/>
            <w:r>
              <w:rPr>
                <w:rFonts w:ascii="맑은 고딕" w:hAnsi="맑은 고딕" w:eastAsia="맑은 고딕"/>
                <w:b w:val="0"/>
                <w:sz w:val="17"/>
              </w:rPr>
              <w:t>DCF 대 Comps 격차</w:t>
            </w:r>
          </w:p>
        </w:tc>
        <w:tc>
          <w:tcPr>
            <w:tcW w:type="dxa" w:w="3312"/>
          </w:tcPr>
          <w:p>
            <w:pPr>
              <w:spacing w:after="20" w:before="20"/>
              <w:jc w:val="right"/>
            </w:pPr>
            <w:r/>
            <w:r>
              <w:rPr>
                <w:rFonts w:ascii="맑은 고딕" w:hAnsi="맑은 고딕" w:eastAsia="맑은 고딕"/>
                <w:b w:val="0"/>
                <w:sz w:val="17"/>
              </w:rPr>
              <w:t>$157 대 $271</w:t>
            </w:r>
          </w:p>
        </w:tc>
        <w:tc>
          <w:tcPr>
            <w:tcW w:type="dxa" w:w="3312"/>
          </w:tcPr>
          <w:p>
            <w:pPr>
              <w:spacing w:after="20" w:before="20"/>
              <w:jc w:val="right"/>
            </w:pPr>
            <w:r/>
            <w:r>
              <w:rPr>
                <w:rFonts w:ascii="맑은 고딕" w:hAnsi="맑은 고딕" w:eastAsia="맑은 고딕"/>
                <w:b w:val="0"/>
                <w:sz w:val="17"/>
              </w:rPr>
              <w:t>넓은 격차($114)가 핵심 긴장 요소; 혼합 목표 주가가 이를 현재가 근처에서 조정함.</w:t>
            </w:r>
          </w:p>
        </w:tc>
      </w:tr>
    </w:tbl>
    <w:p>
      <w:pPr>
        <w:spacing w:after="40"/>
      </w:pPr>
    </w:p>
    <w:p>
      <w:pPr>
        <w:spacing w:after="120"/>
      </w:pPr>
      <w:r>
        <w:rPr>
          <w:rFonts w:ascii="맑은 고딕" w:hAnsi="맑은 고딕" w:eastAsia="맑은 고딕"/>
          <w:i w:val="0"/>
          <w:sz w:val="21"/>
        </w:rPr>
        <w:t xml:space="preserve">이 점검들은 내부적으로 일관된다: 높으나 설명 가능한 영구가치 비중, 방어 가능한 WACC, peer 대비 실질적인 상대가치 저평가, 그리고 공격적이나 근거가 있는 성장 경로가 함께 $208 수준에서 </w:t>
      </w:r>
      <w:r>
        <w:rPr>
          <w:rFonts w:ascii="맑은 고딕" w:hAnsi="맑은 고딕" w:eastAsia="맑은 고딕"/>
          <w:b/>
          <w:i w:val="0"/>
          <w:sz w:val="21"/>
        </w:rPr>
        <w:t>적정가치 / 중립(보유)</w:t>
      </w:r>
      <w:r>
        <w:rPr>
          <w:rFonts w:ascii="맑은 고딕" w:hAnsi="맑은 고딕" w:eastAsia="맑은 고딕"/>
          <w:i w:val="0"/>
          <w:sz w:val="21"/>
        </w:rPr>
        <w:t xml:space="preserve"> 결론을 뒷받침한다.</w:t>
      </w:r>
    </w:p>
    <w:p>
      <w:pPr>
        <w:spacing w:after="120"/>
      </w:pPr>
      <w:r>
        <w:rPr>
          <w:rFonts w:ascii="맑은 고딕" w:hAnsi="맑은 고딕" w:eastAsia="맑은 고딕"/>
          <w:i w:val="0"/>
          <w:sz w:val="21"/>
        </w:rPr>
        <w:t>---</w:t>
      </w:r>
    </w:p>
    <w:p>
      <w:pPr>
        <w:spacing w:after="120"/>
      </w:pPr>
      <w:r>
        <w:rPr>
          <w:rFonts w:ascii="맑은 고딕" w:hAnsi="맑은 고딕" w:eastAsia="맑은 고딕"/>
          <w:i w:val="0"/>
          <w:sz w:val="21"/>
        </w:rPr>
        <w:t>*교육용입니다. 투자 자문이 아니며, 모델 기반 산출값입니다.*</w:t>
      </w:r>
    </w:p>
    <w:p>
      <w:pPr>
        <w:spacing w:before="160" w:after="80"/>
      </w:pPr>
      <w:r>
        <w:rPr>
          <w:rFonts w:ascii="맑은 고딕" w:hAnsi="맑은 고딕" w:eastAsia="맑은 고딕"/>
          <w:b/>
          <w:color w:val="1A1A1A"/>
          <w:sz w:val="25"/>
        </w:rPr>
        <w:t>DCF 민감도</w:t>
      </w:r>
    </w:p>
    <w:p>
      <w:pPr>
        <w:jc w:val="center"/>
      </w:pPr>
      <w:r>
        <w:drawing>
          <wp:inline xmlns:a="http://schemas.openxmlformats.org/drawingml/2006/main" xmlns:pic="http://schemas.openxmlformats.org/drawingml/2006/picture">
            <wp:extent cx="5486400" cy="4245123"/>
            <wp:docPr id="21" name="Picture 21"/>
            <wp:cNvGraphicFramePr>
              <a:graphicFrameLocks noChangeAspect="1"/>
            </wp:cNvGraphicFramePr>
            <a:graphic>
              <a:graphicData uri="http://schemas.openxmlformats.org/drawingml/2006/picture">
                <pic:pic>
                  <pic:nvPicPr>
                    <pic:cNvPr id="0" name="chart_28_dcf_sensitivity_heatmap.png"/>
                    <pic:cNvPicPr/>
                  </pic:nvPicPr>
                  <pic:blipFill>
                    <a:blip r:embed="rId29"/>
                    <a:stretch>
                      <a:fillRect/>
                    </a:stretch>
                  </pic:blipFill>
                  <pic:spPr>
                    <a:xfrm>
                      <a:off x="0" y="0"/>
                      <a:ext cx="5486400" cy="4245123"/>
                    </a:xfrm>
                    <a:prstGeom prst="rect"/>
                  </pic:spPr>
                </pic:pic>
              </a:graphicData>
            </a:graphic>
          </wp:inline>
        </w:drawing>
      </w:r>
    </w:p>
    <w:p>
      <w:pPr>
        <w:spacing w:after="200"/>
      </w:pPr>
      <w:r>
        <w:rPr>
          <w:rFonts w:ascii="맑은 고딕" w:hAnsi="맑은 고딕" w:eastAsia="맑은 고딕"/>
          <w:i/>
          <w:color w:val="595959"/>
          <w:sz w:val="16"/>
        </w:rPr>
        <w:t>그림 28 — DCF 민감도, WACC × 영구성장률(기본 박스). 자료: 모델. ⭐</w:t>
      </w:r>
    </w:p>
    <w:p>
      <w:pPr>
        <w:jc w:val="center"/>
      </w:pPr>
      <w:r>
        <w:drawing>
          <wp:inline xmlns:a="http://schemas.openxmlformats.org/drawingml/2006/main" xmlns:pic="http://schemas.openxmlformats.org/drawingml/2006/picture">
            <wp:extent cx="5303520" cy="3009481"/>
            <wp:docPr id="22" name="Picture 22"/>
            <wp:cNvGraphicFramePr>
              <a:graphicFrameLocks noChangeAspect="1"/>
            </wp:cNvGraphicFramePr>
            <a:graphic>
              <a:graphicData uri="http://schemas.openxmlformats.org/drawingml/2006/picture">
                <pic:pic>
                  <pic:nvPicPr>
                    <pic:cNvPr id="0" name="chart_29_dcf_waterfall.png"/>
                    <pic:cNvPicPr/>
                  </pic:nvPicPr>
                  <pic:blipFill>
                    <a:blip r:embed="rId30"/>
                    <a:stretch>
                      <a:fillRect/>
                    </a:stretch>
                  </pic:blipFill>
                  <pic:spPr>
                    <a:xfrm>
                      <a:off x="0" y="0"/>
                      <a:ext cx="5303520" cy="3009481"/>
                    </a:xfrm>
                    <a:prstGeom prst="rect"/>
                  </pic:spPr>
                </pic:pic>
              </a:graphicData>
            </a:graphic>
          </wp:inline>
        </w:drawing>
      </w:r>
    </w:p>
    <w:p>
      <w:pPr>
        <w:spacing w:after="200"/>
      </w:pPr>
      <w:r>
        <w:rPr>
          <w:rFonts w:ascii="맑은 고딕" w:hAnsi="맑은 고딕" w:eastAsia="맑은 고딕"/>
          <w:i/>
          <w:color w:val="595959"/>
          <w:sz w:val="16"/>
        </w:rPr>
        <w:t>그림 29 — DCF 기업가치→자기자본 브릿지. 자료: 모델.</w:t>
      </w:r>
    </w:p>
    <w:p>
      <w:pPr>
        <w:spacing w:before="160" w:after="80"/>
      </w:pPr>
      <w:r>
        <w:rPr>
          <w:rFonts w:ascii="맑은 고딕" w:hAnsi="맑은 고딕" w:eastAsia="맑은 고딕"/>
          <w:b/>
          <w:color w:val="1A1A1A"/>
          <w:sz w:val="25"/>
        </w:rPr>
        <w:t>비교기업 분석</w:t>
      </w:r>
    </w:p>
    <w:tbl>
      <w:tblPr>
        <w:tblStyle w:val="LightGrid-Accent1"/>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fill="1F3864"/>
          </w:tcPr>
          <w:p>
            <w:pPr>
              <w:spacing w:after="20" w:before="20"/>
              <w:jc w:val="left"/>
            </w:pPr>
            <w:r/>
            <w:r>
              <w:rPr>
                <w:rFonts w:ascii="맑은 고딕" w:hAnsi="맑은 고딕" w:eastAsia="맑은 고딕"/>
                <w:b/>
                <w:color w:val="FFFFFF"/>
                <w:sz w:val="16"/>
              </w:rPr>
              <w:t>회사</w:t>
            </w:r>
          </w:p>
        </w:tc>
        <w:tc>
          <w:tcPr>
            <w:tcW w:type="dxa" w:w="1419"/>
            <w:shd w:fill="1F3864"/>
          </w:tcPr>
          <w:p>
            <w:pPr>
              <w:spacing w:after="20" w:before="20"/>
              <w:jc w:val="right"/>
            </w:pPr>
            <w:r/>
            <w:r>
              <w:rPr>
                <w:rFonts w:ascii="맑은 고딕" w:hAnsi="맑은 고딕" w:eastAsia="맑은 고딕"/>
                <w:b/>
                <w:color w:val="FFFFFF"/>
                <w:sz w:val="16"/>
              </w:rPr>
              <w:t>티커</w:t>
            </w:r>
          </w:p>
        </w:tc>
        <w:tc>
          <w:tcPr>
            <w:tcW w:type="dxa" w:w="1419"/>
            <w:shd w:fill="1F3864"/>
          </w:tcPr>
          <w:p>
            <w:pPr>
              <w:spacing w:after="20" w:before="20"/>
              <w:jc w:val="right"/>
            </w:pPr>
            <w:r/>
            <w:r>
              <w:rPr>
                <w:rFonts w:ascii="맑은 고딕" w:hAnsi="맑은 고딕" w:eastAsia="맑은 고딕"/>
                <w:b/>
                <w:color w:val="FFFFFF"/>
                <w:sz w:val="16"/>
              </w:rPr>
              <w:t>시총 $B</w:t>
            </w:r>
          </w:p>
        </w:tc>
        <w:tc>
          <w:tcPr>
            <w:tcW w:type="dxa" w:w="1419"/>
            <w:shd w:fill="1F3864"/>
          </w:tcPr>
          <w:p>
            <w:pPr>
              <w:spacing w:after="20" w:before="20"/>
              <w:jc w:val="right"/>
            </w:pPr>
            <w:r/>
            <w:r>
              <w:rPr>
                <w:rFonts w:ascii="맑은 고딕" w:hAnsi="맑은 고딕" w:eastAsia="맑은 고딕"/>
                <w:b/>
                <w:color w:val="FFFFFF"/>
                <w:sz w:val="16"/>
              </w:rPr>
              <w:t>EV/EBITDA NTM</w:t>
            </w:r>
          </w:p>
        </w:tc>
        <w:tc>
          <w:tcPr>
            <w:tcW w:type="dxa" w:w="1419"/>
            <w:shd w:fill="1F3864"/>
          </w:tcPr>
          <w:p>
            <w:pPr>
              <w:spacing w:after="20" w:before="20"/>
              <w:jc w:val="right"/>
            </w:pPr>
            <w:r/>
            <w:r>
              <w:rPr>
                <w:rFonts w:ascii="맑은 고딕" w:hAnsi="맑은 고딕" w:eastAsia="맑은 고딕"/>
                <w:b/>
                <w:color w:val="FFFFFF"/>
                <w:sz w:val="16"/>
              </w:rPr>
              <w:t>P/E NTM</w:t>
            </w:r>
          </w:p>
        </w:tc>
        <w:tc>
          <w:tcPr>
            <w:tcW w:type="dxa" w:w="1419"/>
            <w:shd w:fill="1F3864"/>
          </w:tcPr>
          <w:p>
            <w:pPr>
              <w:spacing w:after="20" w:before="20"/>
              <w:jc w:val="right"/>
            </w:pPr>
            <w:r/>
            <w:r>
              <w:rPr>
                <w:rFonts w:ascii="맑은 고딕" w:hAnsi="맑은 고딕" w:eastAsia="맑은 고딕"/>
                <w:b/>
                <w:color w:val="FFFFFF"/>
                <w:sz w:val="16"/>
              </w:rPr>
              <w:t>매출성장 %</w:t>
            </w:r>
          </w:p>
        </w:tc>
        <w:tc>
          <w:tcPr>
            <w:tcW w:type="dxa" w:w="1419"/>
            <w:shd w:fill="1F3864"/>
          </w:tcPr>
          <w:p>
            <w:pPr>
              <w:spacing w:after="20" w:before="20"/>
              <w:jc w:val="right"/>
            </w:pPr>
            <w:r/>
            <w:r>
              <w:rPr>
                <w:rFonts w:ascii="맑은 고딕" w:hAnsi="맑은 고딕" w:eastAsia="맑은 고딕"/>
                <w:b/>
                <w:color w:val="FFFFFF"/>
                <w:sz w:val="16"/>
              </w:rPr>
              <w:t>EBITDA 마진 %</w:t>
            </w:r>
          </w:p>
        </w:tc>
      </w:tr>
      <w:tr>
        <w:tc>
          <w:tcPr>
            <w:tcW w:type="dxa" w:w="1419"/>
          </w:tcPr>
          <w:p>
            <w:pPr>
              <w:spacing w:after="20" w:before="20"/>
              <w:jc w:val="left"/>
            </w:pPr>
            <w:r/>
            <w:r>
              <w:rPr>
                <w:rFonts w:ascii="맑은 고딕" w:hAnsi="맑은 고딕" w:eastAsia="맑은 고딕"/>
                <w:b w:val="0"/>
                <w:sz w:val="16"/>
              </w:rPr>
              <w:t>Advanced Micro Devices</w:t>
            </w:r>
          </w:p>
        </w:tc>
        <w:tc>
          <w:tcPr>
            <w:tcW w:type="dxa" w:w="1419"/>
          </w:tcPr>
          <w:p>
            <w:pPr>
              <w:spacing w:after="20" w:before="20"/>
              <w:jc w:val="right"/>
            </w:pPr>
            <w:r/>
            <w:r>
              <w:rPr>
                <w:rFonts w:ascii="맑은 고딕" w:hAnsi="맑은 고딕" w:eastAsia="맑은 고딕"/>
                <w:b w:val="0"/>
                <w:sz w:val="16"/>
              </w:rPr>
              <w:t>AMD</w:t>
            </w:r>
          </w:p>
        </w:tc>
        <w:tc>
          <w:tcPr>
            <w:tcW w:type="dxa" w:w="1419"/>
          </w:tcPr>
          <w:p>
            <w:pPr>
              <w:spacing w:after="20" w:before="20"/>
              <w:jc w:val="right"/>
            </w:pPr>
            <w:r/>
            <w:r>
              <w:rPr>
                <w:rFonts w:ascii="맑은 고딕" w:hAnsi="맑은 고딕" w:eastAsia="맑은 고딕"/>
                <w:b w:val="0"/>
                <w:sz w:val="16"/>
              </w:rPr>
              <w:t>817</w:t>
            </w:r>
          </w:p>
        </w:tc>
        <w:tc>
          <w:tcPr>
            <w:tcW w:type="dxa" w:w="1419"/>
          </w:tcPr>
          <w:p>
            <w:pPr>
              <w:spacing w:after="20" w:before="20"/>
              <w:jc w:val="right"/>
            </w:pPr>
            <w:r/>
            <w:r>
              <w:rPr>
                <w:rFonts w:ascii="맑은 고딕" w:hAnsi="맑은 고딕" w:eastAsia="맑은 고딕"/>
                <w:b w:val="0"/>
                <w:sz w:val="16"/>
              </w:rPr>
              <w:t>66.6배</w:t>
            </w:r>
          </w:p>
        </w:tc>
        <w:tc>
          <w:tcPr>
            <w:tcW w:type="dxa" w:w="1419"/>
          </w:tcPr>
          <w:p>
            <w:pPr>
              <w:spacing w:after="20" w:before="20"/>
              <w:jc w:val="right"/>
            </w:pPr>
            <w:r/>
            <w:r>
              <w:rPr>
                <w:rFonts w:ascii="맑은 고딕" w:hAnsi="맑은 고딕" w:eastAsia="맑은 고딕"/>
                <w:b w:val="0"/>
                <w:sz w:val="16"/>
              </w:rPr>
              <w:t>56.7배</w:t>
            </w:r>
          </w:p>
        </w:tc>
        <w:tc>
          <w:tcPr>
            <w:tcW w:type="dxa" w:w="1419"/>
          </w:tcPr>
          <w:p>
            <w:pPr>
              <w:spacing w:after="20" w:before="20"/>
              <w:jc w:val="right"/>
            </w:pPr>
            <w:r/>
            <w:r>
              <w:rPr>
                <w:rFonts w:ascii="맑은 고딕" w:hAnsi="맑은 고딕" w:eastAsia="맑은 고딕"/>
                <w:b w:val="0"/>
                <w:sz w:val="16"/>
              </w:rPr>
              <w:t>35%</w:t>
            </w:r>
          </w:p>
        </w:tc>
        <w:tc>
          <w:tcPr>
            <w:tcW w:type="dxa" w:w="1419"/>
          </w:tcPr>
          <w:p>
            <w:pPr>
              <w:spacing w:after="20" w:before="20"/>
              <w:jc w:val="right"/>
            </w:pPr>
            <w:r/>
            <w:r>
              <w:rPr>
                <w:rFonts w:ascii="맑은 고딕" w:hAnsi="맑은 고딕" w:eastAsia="맑은 고딕"/>
                <w:b w:val="0"/>
                <w:sz w:val="16"/>
              </w:rPr>
              <w:t>20%</w:t>
            </w:r>
          </w:p>
        </w:tc>
      </w:tr>
      <w:tr>
        <w:tc>
          <w:tcPr>
            <w:tcW w:type="dxa" w:w="1419"/>
          </w:tcPr>
          <w:p>
            <w:pPr>
              <w:spacing w:after="20" w:before="20"/>
              <w:jc w:val="left"/>
            </w:pPr>
            <w:r/>
            <w:r>
              <w:rPr>
                <w:rFonts w:ascii="맑은 고딕" w:hAnsi="맑은 고딕" w:eastAsia="맑은 고딕"/>
                <w:b w:val="0"/>
                <w:sz w:val="16"/>
              </w:rPr>
              <w:t>Broadcom</w:t>
            </w:r>
          </w:p>
        </w:tc>
        <w:tc>
          <w:tcPr>
            <w:tcW w:type="dxa" w:w="1419"/>
          </w:tcPr>
          <w:p>
            <w:pPr>
              <w:spacing w:after="20" w:before="20"/>
              <w:jc w:val="right"/>
            </w:pPr>
            <w:r/>
            <w:r>
              <w:rPr>
                <w:rFonts w:ascii="맑은 고딕" w:hAnsi="맑은 고딕" w:eastAsia="맑은 고딕"/>
                <w:b w:val="0"/>
                <w:sz w:val="16"/>
              </w:rPr>
              <w:t>AVGO</w:t>
            </w:r>
          </w:p>
        </w:tc>
        <w:tc>
          <w:tcPr>
            <w:tcW w:type="dxa" w:w="1419"/>
          </w:tcPr>
          <w:p>
            <w:pPr>
              <w:spacing w:after="20" w:before="20"/>
              <w:jc w:val="right"/>
            </w:pPr>
            <w:r/>
            <w:r>
              <w:rPr>
                <w:rFonts w:ascii="맑은 고딕" w:hAnsi="맑은 고딕" w:eastAsia="맑은 고딕"/>
                <w:b w:val="0"/>
                <w:sz w:val="16"/>
              </w:rPr>
              <w:t>1,780</w:t>
            </w:r>
          </w:p>
        </w:tc>
        <w:tc>
          <w:tcPr>
            <w:tcW w:type="dxa" w:w="1419"/>
          </w:tcPr>
          <w:p>
            <w:pPr>
              <w:spacing w:after="20" w:before="20"/>
              <w:jc w:val="right"/>
            </w:pPr>
            <w:r/>
            <w:r>
              <w:rPr>
                <w:rFonts w:ascii="맑은 고딕" w:hAnsi="맑은 고딕" w:eastAsia="맑은 고딕"/>
                <w:b w:val="0"/>
                <w:sz w:val="16"/>
              </w:rPr>
              <w:t>32.1배</w:t>
            </w:r>
          </w:p>
        </w:tc>
        <w:tc>
          <w:tcPr>
            <w:tcW w:type="dxa" w:w="1419"/>
          </w:tcPr>
          <w:p>
            <w:pPr>
              <w:spacing w:after="20" w:before="20"/>
              <w:jc w:val="right"/>
            </w:pPr>
            <w:r/>
            <w:r>
              <w:rPr>
                <w:rFonts w:ascii="맑은 고딕" w:hAnsi="맑은 고딕" w:eastAsia="맑은 고딕"/>
                <w:b w:val="0"/>
                <w:sz w:val="16"/>
              </w:rPr>
              <w:t>23.8배</w:t>
            </w:r>
          </w:p>
        </w:tc>
        <w:tc>
          <w:tcPr>
            <w:tcW w:type="dxa" w:w="1419"/>
          </w:tcPr>
          <w:p>
            <w:pPr>
              <w:spacing w:after="20" w:before="20"/>
              <w:jc w:val="right"/>
            </w:pPr>
            <w:r/>
            <w:r>
              <w:rPr>
                <w:rFonts w:ascii="맑은 고딕" w:hAnsi="맑은 고딕" w:eastAsia="맑은 고딕"/>
                <w:b w:val="0"/>
                <w:sz w:val="16"/>
              </w:rPr>
              <w:t>30%</w:t>
            </w:r>
          </w:p>
        </w:tc>
        <w:tc>
          <w:tcPr>
            <w:tcW w:type="dxa" w:w="1419"/>
          </w:tcPr>
          <w:p>
            <w:pPr>
              <w:spacing w:after="20" w:before="20"/>
              <w:jc w:val="right"/>
            </w:pPr>
            <w:r/>
            <w:r>
              <w:rPr>
                <w:rFonts w:ascii="맑은 고딕" w:hAnsi="맑은 고딕" w:eastAsia="맑은 고딕"/>
                <w:b w:val="0"/>
                <w:sz w:val="16"/>
              </w:rPr>
              <w:t>56%</w:t>
            </w:r>
          </w:p>
        </w:tc>
      </w:tr>
      <w:tr>
        <w:tc>
          <w:tcPr>
            <w:tcW w:type="dxa" w:w="1419"/>
          </w:tcPr>
          <w:p>
            <w:pPr>
              <w:spacing w:after="20" w:before="20"/>
              <w:jc w:val="left"/>
            </w:pPr>
            <w:r/>
            <w:r>
              <w:rPr>
                <w:rFonts w:ascii="맑은 고딕" w:hAnsi="맑은 고딕" w:eastAsia="맑은 고딕"/>
                <w:b w:val="0"/>
                <w:sz w:val="16"/>
              </w:rPr>
              <w:t>Taiwan Semiconductor</w:t>
            </w:r>
          </w:p>
        </w:tc>
        <w:tc>
          <w:tcPr>
            <w:tcW w:type="dxa" w:w="1419"/>
          </w:tcPr>
          <w:p>
            <w:pPr>
              <w:spacing w:after="20" w:before="20"/>
              <w:jc w:val="right"/>
            </w:pPr>
            <w:r/>
            <w:r>
              <w:rPr>
                <w:rFonts w:ascii="맑은 고딕" w:hAnsi="맑은 고딕" w:eastAsia="맑은 고딕"/>
                <w:b w:val="0"/>
                <w:sz w:val="16"/>
              </w:rPr>
              <w:t>TSM</w:t>
            </w:r>
          </w:p>
        </w:tc>
        <w:tc>
          <w:tcPr>
            <w:tcW w:type="dxa" w:w="1419"/>
          </w:tcPr>
          <w:p>
            <w:pPr>
              <w:spacing w:after="20" w:before="20"/>
              <w:jc w:val="right"/>
            </w:pPr>
            <w:r/>
            <w:r>
              <w:rPr>
                <w:rFonts w:ascii="맑은 고딕" w:hAnsi="맑은 고딕" w:eastAsia="맑은 고딕"/>
                <w:b w:val="0"/>
                <w:sz w:val="16"/>
              </w:rPr>
              <w:t>1,980</w:t>
            </w:r>
          </w:p>
        </w:tc>
        <w:tc>
          <w:tcPr>
            <w:tcW w:type="dxa" w:w="1419"/>
          </w:tcPr>
          <w:p>
            <w:pPr>
              <w:spacing w:after="20" w:before="20"/>
              <w:jc w:val="right"/>
            </w:pPr>
            <w:r/>
            <w:r>
              <w:rPr>
                <w:rFonts w:ascii="맑은 고딕" w:hAnsi="맑은 고딕" w:eastAsia="맑은 고딕"/>
                <w:b w:val="0"/>
                <w:sz w:val="16"/>
              </w:rPr>
              <w:t>16.6배</w:t>
            </w:r>
          </w:p>
        </w:tc>
        <w:tc>
          <w:tcPr>
            <w:tcW w:type="dxa" w:w="1419"/>
          </w:tcPr>
          <w:p>
            <w:pPr>
              <w:spacing w:after="20" w:before="20"/>
              <w:jc w:val="right"/>
            </w:pPr>
            <w:r/>
            <w:r>
              <w:rPr>
                <w:rFonts w:ascii="맑은 고딕" w:hAnsi="맑은 고딕" w:eastAsia="맑은 고딕"/>
                <w:b w:val="0"/>
                <w:sz w:val="16"/>
              </w:rPr>
              <w:t>20.0배</w:t>
            </w:r>
          </w:p>
        </w:tc>
        <w:tc>
          <w:tcPr>
            <w:tcW w:type="dxa" w:w="1419"/>
          </w:tcPr>
          <w:p>
            <w:pPr>
              <w:spacing w:after="20" w:before="20"/>
              <w:jc w:val="right"/>
            </w:pPr>
            <w:r/>
            <w:r>
              <w:rPr>
                <w:rFonts w:ascii="맑은 고딕" w:hAnsi="맑은 고딕" w:eastAsia="맑은 고딕"/>
                <w:b w:val="0"/>
                <w:sz w:val="16"/>
              </w:rPr>
              <w:t>28%</w:t>
            </w:r>
          </w:p>
        </w:tc>
        <w:tc>
          <w:tcPr>
            <w:tcW w:type="dxa" w:w="1419"/>
          </w:tcPr>
          <w:p>
            <w:pPr>
              <w:spacing w:after="20" w:before="20"/>
              <w:jc w:val="right"/>
            </w:pPr>
            <w:r/>
            <w:r>
              <w:rPr>
                <w:rFonts w:ascii="맑은 고딕" w:hAnsi="맑은 고딕" w:eastAsia="맑은 고딕"/>
                <w:b w:val="0"/>
                <w:sz w:val="16"/>
              </w:rPr>
              <w:t>70%</w:t>
            </w:r>
          </w:p>
        </w:tc>
      </w:tr>
      <w:tr>
        <w:tc>
          <w:tcPr>
            <w:tcW w:type="dxa" w:w="1419"/>
          </w:tcPr>
          <w:p>
            <w:pPr>
              <w:spacing w:after="20" w:before="20"/>
              <w:jc w:val="left"/>
            </w:pPr>
            <w:r/>
            <w:r>
              <w:rPr>
                <w:rFonts w:ascii="맑은 고딕" w:hAnsi="맑은 고딕" w:eastAsia="맑은 고딕"/>
                <w:b w:val="0"/>
                <w:sz w:val="16"/>
              </w:rPr>
              <w:t>Qualcomm</w:t>
            </w:r>
          </w:p>
        </w:tc>
        <w:tc>
          <w:tcPr>
            <w:tcW w:type="dxa" w:w="1419"/>
          </w:tcPr>
          <w:p>
            <w:pPr>
              <w:spacing w:after="20" w:before="20"/>
              <w:jc w:val="right"/>
            </w:pPr>
            <w:r/>
            <w:r>
              <w:rPr>
                <w:rFonts w:ascii="맑은 고딕" w:hAnsi="맑은 고딕" w:eastAsia="맑은 고딕"/>
                <w:b w:val="0"/>
                <w:sz w:val="16"/>
              </w:rPr>
              <w:t>QCOM</w:t>
            </w:r>
          </w:p>
        </w:tc>
        <w:tc>
          <w:tcPr>
            <w:tcW w:type="dxa" w:w="1419"/>
          </w:tcPr>
          <w:p>
            <w:pPr>
              <w:spacing w:after="20" w:before="20"/>
              <w:jc w:val="right"/>
            </w:pPr>
            <w:r/>
            <w:r>
              <w:rPr>
                <w:rFonts w:ascii="맑은 고딕" w:hAnsi="맑은 고딕" w:eastAsia="맑은 고딕"/>
                <w:b w:val="0"/>
                <w:sz w:val="16"/>
              </w:rPr>
              <w:t>180</w:t>
            </w:r>
          </w:p>
        </w:tc>
        <w:tc>
          <w:tcPr>
            <w:tcW w:type="dxa" w:w="1419"/>
          </w:tcPr>
          <w:p>
            <w:pPr>
              <w:spacing w:after="20" w:before="20"/>
              <w:jc w:val="right"/>
            </w:pPr>
            <w:r/>
            <w:r>
              <w:rPr>
                <w:rFonts w:ascii="맑은 고딕" w:hAnsi="맑은 고딕" w:eastAsia="맑은 고딕"/>
                <w:b w:val="0"/>
                <w:sz w:val="16"/>
              </w:rPr>
              <w:t>13.1배</w:t>
            </w:r>
          </w:p>
        </w:tc>
        <w:tc>
          <w:tcPr>
            <w:tcW w:type="dxa" w:w="1419"/>
          </w:tcPr>
          <w:p>
            <w:pPr>
              <w:spacing w:after="20" w:before="20"/>
              <w:jc w:val="right"/>
            </w:pPr>
            <w:r/>
            <w:r>
              <w:rPr>
                <w:rFonts w:ascii="맑은 고딕" w:hAnsi="맑은 고딕" w:eastAsia="맑은 고딕"/>
                <w:b w:val="0"/>
                <w:sz w:val="16"/>
              </w:rPr>
              <w:t>17.3배</w:t>
            </w:r>
          </w:p>
        </w:tc>
        <w:tc>
          <w:tcPr>
            <w:tcW w:type="dxa" w:w="1419"/>
          </w:tcPr>
          <w:p>
            <w:pPr>
              <w:spacing w:after="20" w:before="20"/>
              <w:jc w:val="right"/>
            </w:pPr>
            <w:r/>
            <w:r>
              <w:rPr>
                <w:rFonts w:ascii="맑은 고딕" w:hAnsi="맑은 고딕" w:eastAsia="맑은 고딕"/>
                <w:b w:val="0"/>
                <w:sz w:val="16"/>
              </w:rPr>
              <w:t>6%</w:t>
            </w:r>
          </w:p>
        </w:tc>
        <w:tc>
          <w:tcPr>
            <w:tcW w:type="dxa" w:w="1419"/>
          </w:tcPr>
          <w:p>
            <w:pPr>
              <w:spacing w:after="20" w:before="20"/>
              <w:jc w:val="right"/>
            </w:pPr>
            <w:r/>
            <w:r>
              <w:rPr>
                <w:rFonts w:ascii="맑은 고딕" w:hAnsi="맑은 고딕" w:eastAsia="맑은 고딕"/>
                <w:b w:val="0"/>
                <w:sz w:val="16"/>
              </w:rPr>
              <w:t>29%</w:t>
            </w:r>
          </w:p>
        </w:tc>
      </w:tr>
      <w:tr>
        <w:tc>
          <w:tcPr>
            <w:tcW w:type="dxa" w:w="1419"/>
          </w:tcPr>
          <w:p>
            <w:pPr>
              <w:spacing w:after="20" w:before="20"/>
              <w:jc w:val="left"/>
            </w:pPr>
            <w:r/>
            <w:r>
              <w:rPr>
                <w:rFonts w:ascii="맑은 고딕" w:hAnsi="맑은 고딕" w:eastAsia="맑은 고딕"/>
                <w:b w:val="0"/>
                <w:sz w:val="16"/>
              </w:rPr>
              <w:t>Marvell Technology</w:t>
            </w:r>
          </w:p>
        </w:tc>
        <w:tc>
          <w:tcPr>
            <w:tcW w:type="dxa" w:w="1419"/>
          </w:tcPr>
          <w:p>
            <w:pPr>
              <w:spacing w:after="20" w:before="20"/>
              <w:jc w:val="right"/>
            </w:pPr>
            <w:r/>
            <w:r>
              <w:rPr>
                <w:rFonts w:ascii="맑은 고딕" w:hAnsi="맑은 고딕" w:eastAsia="맑은 고딕"/>
                <w:b w:val="0"/>
                <w:sz w:val="16"/>
              </w:rPr>
              <w:t>MRVL</w:t>
            </w:r>
          </w:p>
        </w:tc>
        <w:tc>
          <w:tcPr>
            <w:tcW w:type="dxa" w:w="1419"/>
          </w:tcPr>
          <w:p>
            <w:pPr>
              <w:spacing w:after="20" w:before="20"/>
              <w:jc w:val="right"/>
            </w:pPr>
            <w:r/>
            <w:r>
              <w:rPr>
                <w:rFonts w:ascii="맑은 고딕" w:hAnsi="맑은 고딕" w:eastAsia="맑은 고딕"/>
                <w:b w:val="0"/>
                <w:sz w:val="16"/>
              </w:rPr>
              <w:t>165</w:t>
            </w:r>
          </w:p>
        </w:tc>
        <w:tc>
          <w:tcPr>
            <w:tcW w:type="dxa" w:w="1419"/>
          </w:tcPr>
          <w:p>
            <w:pPr>
              <w:spacing w:after="20" w:before="20"/>
              <w:jc w:val="right"/>
            </w:pPr>
            <w:r/>
            <w:r>
              <w:rPr>
                <w:rFonts w:ascii="맑은 고딕" w:hAnsi="맑은 고딕" w:eastAsia="맑은 고딕"/>
                <w:b w:val="0"/>
                <w:sz w:val="16"/>
              </w:rPr>
              <w:t>38.4배</w:t>
            </w:r>
          </w:p>
        </w:tc>
        <w:tc>
          <w:tcPr>
            <w:tcW w:type="dxa" w:w="1419"/>
          </w:tcPr>
          <w:p>
            <w:pPr>
              <w:spacing w:after="20" w:before="20"/>
              <w:jc w:val="right"/>
            </w:pPr>
            <w:r/>
            <w:r>
              <w:rPr>
                <w:rFonts w:ascii="맑은 고딕" w:hAnsi="맑은 고딕" w:eastAsia="맑은 고딕"/>
                <w:b w:val="0"/>
                <w:sz w:val="16"/>
              </w:rPr>
              <w:t>41.5배</w:t>
            </w:r>
          </w:p>
        </w:tc>
        <w:tc>
          <w:tcPr>
            <w:tcW w:type="dxa" w:w="1419"/>
          </w:tcPr>
          <w:p>
            <w:pPr>
              <w:spacing w:after="20" w:before="20"/>
              <w:jc w:val="right"/>
            </w:pPr>
            <w:r/>
            <w:r>
              <w:rPr>
                <w:rFonts w:ascii="맑은 고딕" w:hAnsi="맑은 고딕" w:eastAsia="맑은 고딕"/>
                <w:b w:val="0"/>
                <w:sz w:val="16"/>
              </w:rPr>
              <w:t>38%</w:t>
            </w:r>
          </w:p>
        </w:tc>
        <w:tc>
          <w:tcPr>
            <w:tcW w:type="dxa" w:w="1419"/>
          </w:tcPr>
          <w:p>
            <w:pPr>
              <w:spacing w:after="20" w:before="20"/>
              <w:jc w:val="right"/>
            </w:pPr>
            <w:r/>
            <w:r>
              <w:rPr>
                <w:rFonts w:ascii="맑은 고딕" w:hAnsi="맑은 고딕" w:eastAsia="맑은 고딕"/>
                <w:b w:val="0"/>
                <w:sz w:val="16"/>
              </w:rPr>
              <w:t>31%</w:t>
            </w:r>
          </w:p>
        </w:tc>
      </w:tr>
      <w:tr>
        <w:tc>
          <w:tcPr>
            <w:tcW w:type="dxa" w:w="1419"/>
          </w:tcPr>
          <w:p>
            <w:pPr>
              <w:spacing w:after="20" w:before="20"/>
              <w:jc w:val="left"/>
            </w:pPr>
            <w:r/>
            <w:r>
              <w:rPr>
                <w:rFonts w:ascii="맑은 고딕" w:hAnsi="맑은 고딕" w:eastAsia="맑은 고딕"/>
                <w:b w:val="0"/>
                <w:sz w:val="16"/>
              </w:rPr>
              <w:t>Micron Technology</w:t>
            </w:r>
          </w:p>
        </w:tc>
        <w:tc>
          <w:tcPr>
            <w:tcW w:type="dxa" w:w="1419"/>
          </w:tcPr>
          <w:p>
            <w:pPr>
              <w:spacing w:after="20" w:before="20"/>
              <w:jc w:val="right"/>
            </w:pPr>
            <w:r/>
            <w:r>
              <w:rPr>
                <w:rFonts w:ascii="맑은 고딕" w:hAnsi="맑은 고딕" w:eastAsia="맑은 고딕"/>
                <w:b w:val="0"/>
                <w:sz w:val="16"/>
              </w:rPr>
              <w:t>MU</w:t>
            </w:r>
          </w:p>
        </w:tc>
        <w:tc>
          <w:tcPr>
            <w:tcW w:type="dxa" w:w="1419"/>
          </w:tcPr>
          <w:p>
            <w:pPr>
              <w:spacing w:after="20" w:before="20"/>
              <w:jc w:val="right"/>
            </w:pPr>
            <w:r/>
            <w:r>
              <w:rPr>
                <w:rFonts w:ascii="맑은 고딕" w:hAnsi="맑은 고딕" w:eastAsia="맑은 고딕"/>
                <w:b w:val="0"/>
                <w:sz w:val="16"/>
              </w:rPr>
              <w:t>964</w:t>
            </w:r>
          </w:p>
        </w:tc>
        <w:tc>
          <w:tcPr>
            <w:tcW w:type="dxa" w:w="1419"/>
          </w:tcPr>
          <w:p>
            <w:pPr>
              <w:spacing w:after="20" w:before="20"/>
              <w:jc w:val="right"/>
            </w:pPr>
            <w:r/>
            <w:r>
              <w:rPr>
                <w:rFonts w:ascii="맑은 고딕" w:hAnsi="맑은 고딕" w:eastAsia="맑은 고딕"/>
                <w:b w:val="0"/>
                <w:sz w:val="16"/>
              </w:rPr>
              <w:t>10.2배</w:t>
            </w:r>
          </w:p>
        </w:tc>
        <w:tc>
          <w:tcPr>
            <w:tcW w:type="dxa" w:w="1419"/>
          </w:tcPr>
          <w:p>
            <w:pPr>
              <w:spacing w:after="20" w:before="20"/>
              <w:jc w:val="right"/>
            </w:pPr>
            <w:r/>
            <w:r>
              <w:rPr>
                <w:rFonts w:ascii="맑은 고딕" w:hAnsi="맑은 고딕" w:eastAsia="맑은 고딕"/>
                <w:b w:val="0"/>
                <w:sz w:val="16"/>
              </w:rPr>
              <w:t>6.0배</w:t>
            </w:r>
          </w:p>
        </w:tc>
        <w:tc>
          <w:tcPr>
            <w:tcW w:type="dxa" w:w="1419"/>
          </w:tcPr>
          <w:p>
            <w:pPr>
              <w:spacing w:after="20" w:before="20"/>
              <w:jc w:val="right"/>
            </w:pPr>
            <w:r/>
            <w:r>
              <w:rPr>
                <w:rFonts w:ascii="맑은 고딕" w:hAnsi="맑은 고딕" w:eastAsia="맑은 고딕"/>
                <w:b w:val="0"/>
                <w:sz w:val="16"/>
              </w:rPr>
              <w:t>35%</w:t>
            </w:r>
          </w:p>
        </w:tc>
        <w:tc>
          <w:tcPr>
            <w:tcW w:type="dxa" w:w="1419"/>
          </w:tcPr>
          <w:p>
            <w:pPr>
              <w:spacing w:after="20" w:before="20"/>
              <w:jc w:val="right"/>
            </w:pPr>
            <w:r/>
            <w:r>
              <w:rPr>
                <w:rFonts w:ascii="맑은 고딕" w:hAnsi="맑은 고딕" w:eastAsia="맑은 고딕"/>
                <w:b w:val="0"/>
                <w:sz w:val="16"/>
              </w:rPr>
              <w:t>76%</w:t>
            </w:r>
          </w:p>
        </w:tc>
      </w:tr>
      <w:tr>
        <w:tc>
          <w:tcPr>
            <w:tcW w:type="dxa" w:w="1419"/>
          </w:tcPr>
          <w:p>
            <w:pPr>
              <w:spacing w:after="20" w:before="20"/>
              <w:jc w:val="left"/>
            </w:pPr>
            <w:r/>
            <w:r>
              <w:rPr>
                <w:rFonts w:ascii="맑은 고딕" w:hAnsi="맑은 고딕" w:eastAsia="맑은 고딕"/>
                <w:b w:val="0"/>
                <w:sz w:val="16"/>
              </w:rPr>
              <w:t>Intel</w:t>
            </w:r>
          </w:p>
        </w:tc>
        <w:tc>
          <w:tcPr>
            <w:tcW w:type="dxa" w:w="1419"/>
          </w:tcPr>
          <w:p>
            <w:pPr>
              <w:spacing w:after="20" w:before="20"/>
              <w:jc w:val="right"/>
            </w:pPr>
            <w:r/>
            <w:r>
              <w:rPr>
                <w:rFonts w:ascii="맑은 고딕" w:hAnsi="맑은 고딕" w:eastAsia="맑은 고딕"/>
                <w:b w:val="0"/>
                <w:sz w:val="16"/>
              </w:rPr>
              <w:t>INTC</w:t>
            </w:r>
          </w:p>
        </w:tc>
        <w:tc>
          <w:tcPr>
            <w:tcW w:type="dxa" w:w="1419"/>
          </w:tcPr>
          <w:p>
            <w:pPr>
              <w:spacing w:after="20" w:before="20"/>
              <w:jc w:val="right"/>
            </w:pPr>
            <w:r/>
            <w:r>
              <w:rPr>
                <w:rFonts w:ascii="맑은 고딕" w:hAnsi="맑은 고딕" w:eastAsia="맑은 고딕"/>
                <w:b w:val="0"/>
                <w:sz w:val="16"/>
              </w:rPr>
              <w:t>487</w:t>
            </w:r>
          </w:p>
        </w:tc>
        <w:tc>
          <w:tcPr>
            <w:tcW w:type="dxa" w:w="1419"/>
          </w:tcPr>
          <w:p>
            <w:pPr>
              <w:spacing w:after="20" w:before="20"/>
              <w:jc w:val="right"/>
            </w:pPr>
            <w:r/>
            <w:r>
              <w:rPr>
                <w:rFonts w:ascii="맑은 고딕" w:hAnsi="맑은 고딕" w:eastAsia="맑은 고딕"/>
                <w:b w:val="0"/>
                <w:sz w:val="16"/>
              </w:rPr>
              <w:t>30.7배</w:t>
            </w:r>
          </w:p>
        </w:tc>
        <w:tc>
          <w:tcPr>
            <w:tcW w:type="dxa" w:w="1419"/>
          </w:tcPr>
          <w:p>
            <w:pPr>
              <w:spacing w:after="20" w:before="20"/>
              <w:jc w:val="right"/>
            </w:pPr>
            <w:r/>
            <w:r>
              <w:rPr>
                <w:rFonts w:ascii="맑은 고딕" w:hAnsi="맑은 고딕" w:eastAsia="맑은 고딕"/>
                <w:b w:val="0"/>
                <w:sz w:val="16"/>
              </w:rPr>
              <w:t>89.5배</w:t>
            </w:r>
          </w:p>
        </w:tc>
        <w:tc>
          <w:tcPr>
            <w:tcW w:type="dxa" w:w="1419"/>
          </w:tcPr>
          <w:p>
            <w:pPr>
              <w:spacing w:after="20" w:before="20"/>
              <w:jc w:val="right"/>
            </w:pPr>
            <w:r/>
            <w:r>
              <w:rPr>
                <w:rFonts w:ascii="맑은 고딕" w:hAnsi="맑은 고딕" w:eastAsia="맑은 고딕"/>
                <w:b w:val="0"/>
                <w:sz w:val="16"/>
              </w:rPr>
              <w:t>12%</w:t>
            </w:r>
          </w:p>
        </w:tc>
        <w:tc>
          <w:tcPr>
            <w:tcW w:type="dxa" w:w="1419"/>
          </w:tcPr>
          <w:p>
            <w:pPr>
              <w:spacing w:after="20" w:before="20"/>
              <w:jc w:val="right"/>
            </w:pPr>
            <w:r/>
            <w:r>
              <w:rPr>
                <w:rFonts w:ascii="맑은 고딕" w:hAnsi="맑은 고딕" w:eastAsia="맑은 고딕"/>
                <w:b w:val="0"/>
                <w:sz w:val="16"/>
              </w:rPr>
              <w:t>26%</w:t>
            </w:r>
          </w:p>
        </w:tc>
      </w:tr>
      <w:tr>
        <w:tc>
          <w:tcPr>
            <w:tcW w:type="dxa" w:w="1419"/>
          </w:tcPr>
          <w:p>
            <w:pPr>
              <w:spacing w:after="20" w:before="20"/>
              <w:jc w:val="left"/>
            </w:pPr>
            <w:r/>
            <w:r>
              <w:rPr>
                <w:rFonts w:ascii="맑은 고딕" w:hAnsi="맑은 고딕" w:eastAsia="맑은 고딕"/>
                <w:b w:val="0"/>
                <w:sz w:val="16"/>
              </w:rPr>
              <w:t>Arm Holdings</w:t>
            </w:r>
          </w:p>
        </w:tc>
        <w:tc>
          <w:tcPr>
            <w:tcW w:type="dxa" w:w="1419"/>
          </w:tcPr>
          <w:p>
            <w:pPr>
              <w:spacing w:after="20" w:before="20"/>
              <w:jc w:val="right"/>
            </w:pPr>
            <w:r/>
            <w:r>
              <w:rPr>
                <w:rFonts w:ascii="맑은 고딕" w:hAnsi="맑은 고딕" w:eastAsia="맑은 고딕"/>
                <w:b w:val="0"/>
                <w:sz w:val="16"/>
              </w:rPr>
              <w:t>ARM</w:t>
            </w:r>
          </w:p>
        </w:tc>
        <w:tc>
          <w:tcPr>
            <w:tcW w:type="dxa" w:w="1419"/>
          </w:tcPr>
          <w:p>
            <w:pPr>
              <w:spacing w:after="20" w:before="20"/>
              <w:jc w:val="right"/>
            </w:pPr>
            <w:r/>
            <w:r>
              <w:rPr>
                <w:rFonts w:ascii="맑은 고딕" w:hAnsi="맑은 고딕" w:eastAsia="맑은 고딕"/>
                <w:b w:val="0"/>
                <w:sz w:val="16"/>
              </w:rPr>
              <w:t>280</w:t>
            </w:r>
          </w:p>
        </w:tc>
        <w:tc>
          <w:tcPr>
            <w:tcW w:type="dxa" w:w="1419"/>
          </w:tcPr>
          <w:p>
            <w:pPr>
              <w:spacing w:after="20" w:before="20"/>
              <w:jc w:val="right"/>
            </w:pPr>
            <w:r/>
            <w:r>
              <w:rPr>
                <w:rFonts w:ascii="맑은 고딕" w:hAnsi="맑은 고딕" w:eastAsia="맑은 고딕"/>
                <w:b w:val="0"/>
                <w:sz w:val="16"/>
              </w:rPr>
              <w:t>183.3배</w:t>
            </w:r>
          </w:p>
        </w:tc>
        <w:tc>
          <w:tcPr>
            <w:tcW w:type="dxa" w:w="1419"/>
          </w:tcPr>
          <w:p>
            <w:pPr>
              <w:spacing w:after="20" w:before="20"/>
              <w:jc w:val="right"/>
            </w:pPr>
            <w:r/>
            <w:r>
              <w:rPr>
                <w:rFonts w:ascii="맑은 고딕" w:hAnsi="맑은 고딕" w:eastAsia="맑은 고딕"/>
                <w:b w:val="0"/>
                <w:sz w:val="16"/>
              </w:rPr>
              <w:t>120.8배</w:t>
            </w:r>
          </w:p>
        </w:tc>
        <w:tc>
          <w:tcPr>
            <w:tcW w:type="dxa" w:w="1419"/>
          </w:tcPr>
          <w:p>
            <w:pPr>
              <w:spacing w:after="20" w:before="20"/>
              <w:jc w:val="right"/>
            </w:pPr>
            <w:r/>
            <w:r>
              <w:rPr>
                <w:rFonts w:ascii="맑은 고딕" w:hAnsi="맑은 고딕" w:eastAsia="맑은 고딕"/>
                <w:b w:val="0"/>
                <w:sz w:val="16"/>
              </w:rPr>
              <w:t>28%</w:t>
            </w:r>
          </w:p>
        </w:tc>
        <w:tc>
          <w:tcPr>
            <w:tcW w:type="dxa" w:w="1419"/>
          </w:tcPr>
          <w:p>
            <w:pPr>
              <w:spacing w:after="20" w:before="20"/>
              <w:jc w:val="right"/>
            </w:pPr>
            <w:r/>
            <w:r>
              <w:rPr>
                <w:rFonts w:ascii="맑은 고딕" w:hAnsi="맑은 고딕" w:eastAsia="맑은 고딕"/>
                <w:b w:val="0"/>
                <w:sz w:val="16"/>
              </w:rPr>
              <w:t>22%</w:t>
            </w:r>
          </w:p>
        </w:tc>
      </w:tr>
      <w:tr>
        <w:tc>
          <w:tcPr>
            <w:tcW w:type="dxa" w:w="1419"/>
          </w:tcPr>
          <w:p>
            <w:pPr>
              <w:spacing w:after="20" w:before="20"/>
              <w:jc w:val="left"/>
            </w:pPr>
            <w:r/>
            <w:r>
              <w:rPr>
                <w:rFonts w:ascii="맑은 고딕" w:hAnsi="맑은 고딕" w:eastAsia="맑은 고딕"/>
                <w:b w:val="0"/>
                <w:sz w:val="16"/>
              </w:rPr>
              <w:t>최댓값</w:t>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t>183.3배</w:t>
            </w:r>
          </w:p>
        </w:tc>
        <w:tc>
          <w:tcPr>
            <w:tcW w:type="dxa" w:w="1419"/>
          </w:tcPr>
          <w:p>
            <w:pPr>
              <w:spacing w:after="20" w:before="20"/>
              <w:jc w:val="right"/>
            </w:pPr>
            <w:r/>
            <w:r>
              <w:rPr>
                <w:rFonts w:ascii="맑은 고딕" w:hAnsi="맑은 고딕" w:eastAsia="맑은 고딕"/>
                <w:b w:val="0"/>
                <w:sz w:val="16"/>
              </w:rPr>
              <w:t>120.8배</w:t>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r>
          </w:p>
        </w:tc>
      </w:tr>
      <w:tr>
        <w:tc>
          <w:tcPr>
            <w:tcW w:type="dxa" w:w="1419"/>
          </w:tcPr>
          <w:p>
            <w:pPr>
              <w:spacing w:after="20" w:before="20"/>
              <w:jc w:val="left"/>
            </w:pPr>
            <w:r/>
            <w:r>
              <w:rPr>
                <w:rFonts w:ascii="맑은 고딕" w:hAnsi="맑은 고딕" w:eastAsia="맑은 고딕"/>
                <w:b w:val="0"/>
                <w:sz w:val="16"/>
              </w:rPr>
              <w:t>중앙값</w:t>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t>31.4배</w:t>
            </w:r>
          </w:p>
        </w:tc>
        <w:tc>
          <w:tcPr>
            <w:tcW w:type="dxa" w:w="1419"/>
          </w:tcPr>
          <w:p>
            <w:pPr>
              <w:spacing w:after="20" w:before="20"/>
              <w:jc w:val="right"/>
            </w:pPr>
            <w:r/>
            <w:r>
              <w:rPr>
                <w:rFonts w:ascii="맑은 고딕" w:hAnsi="맑은 고딕" w:eastAsia="맑은 고딕"/>
                <w:b w:val="0"/>
                <w:sz w:val="16"/>
              </w:rPr>
              <w:t>32.6배</w:t>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r>
          </w:p>
        </w:tc>
      </w:tr>
      <w:tr>
        <w:tc>
          <w:tcPr>
            <w:tcW w:type="dxa" w:w="1419"/>
          </w:tcPr>
          <w:p>
            <w:pPr>
              <w:spacing w:after="20" w:before="20"/>
              <w:jc w:val="left"/>
            </w:pPr>
            <w:r/>
            <w:r>
              <w:rPr>
                <w:rFonts w:ascii="맑은 고딕" w:hAnsi="맑은 고딕" w:eastAsia="맑은 고딕"/>
                <w:b w:val="0"/>
                <w:sz w:val="16"/>
              </w:rPr>
              <w:t>최솟값</w:t>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t>10.2배</w:t>
            </w:r>
          </w:p>
        </w:tc>
        <w:tc>
          <w:tcPr>
            <w:tcW w:type="dxa" w:w="1419"/>
          </w:tcPr>
          <w:p>
            <w:pPr>
              <w:spacing w:after="20" w:before="20"/>
              <w:jc w:val="right"/>
            </w:pPr>
            <w:r/>
            <w:r>
              <w:rPr>
                <w:rFonts w:ascii="맑은 고딕" w:hAnsi="맑은 고딕" w:eastAsia="맑은 고딕"/>
                <w:b w:val="0"/>
                <w:sz w:val="16"/>
              </w:rPr>
              <w:t>6.0배</w:t>
            </w:r>
          </w:p>
        </w:tc>
        <w:tc>
          <w:tcPr>
            <w:tcW w:type="dxa" w:w="1419"/>
          </w:tcPr>
          <w:p>
            <w:pPr>
              <w:spacing w:after="20" w:before="20"/>
              <w:jc w:val="right"/>
            </w:pPr>
            <w:r/>
            <w:r>
              <w:rPr>
                <w:rFonts w:ascii="맑은 고딕" w:hAnsi="맑은 고딕" w:eastAsia="맑은 고딕"/>
                <w:b w:val="0"/>
                <w:sz w:val="16"/>
              </w:rPr>
            </w:r>
          </w:p>
        </w:tc>
        <w:tc>
          <w:tcPr>
            <w:tcW w:type="dxa" w:w="1419"/>
          </w:tcPr>
          <w:p>
            <w:pPr>
              <w:spacing w:after="20" w:before="20"/>
              <w:jc w:val="right"/>
            </w:pPr>
            <w:r/>
            <w:r>
              <w:rPr>
                <w:rFonts w:ascii="맑은 고딕" w:hAnsi="맑은 고딕" w:eastAsia="맑은 고딕"/>
                <w:b w:val="0"/>
                <w:sz w:val="16"/>
              </w:rPr>
            </w:r>
          </w:p>
        </w:tc>
      </w:tr>
      <w:tr>
        <w:tc>
          <w:tcPr>
            <w:tcW w:type="dxa" w:w="1419"/>
          </w:tcPr>
          <w:p>
            <w:pPr>
              <w:spacing w:after="20" w:before="20"/>
              <w:jc w:val="left"/>
            </w:pPr>
            <w:r/>
            <w:r>
              <w:rPr>
                <w:rFonts w:ascii="맑은 고딕" w:hAnsi="맑은 고딕" w:eastAsia="맑은 고딕"/>
                <w:b w:val="0"/>
                <w:sz w:val="16"/>
              </w:rPr>
              <w:t>NVIDIA (NVDA)</w:t>
            </w:r>
          </w:p>
        </w:tc>
        <w:tc>
          <w:tcPr>
            <w:tcW w:type="dxa" w:w="1419"/>
          </w:tcPr>
          <w:p>
            <w:pPr>
              <w:spacing w:after="20" w:before="20"/>
              <w:jc w:val="right"/>
            </w:pPr>
            <w:r/>
            <w:r>
              <w:rPr>
                <w:rFonts w:ascii="맑은 고딕" w:hAnsi="맑은 고딕" w:eastAsia="맑은 고딕"/>
                <w:b w:val="0"/>
                <w:sz w:val="16"/>
              </w:rPr>
              <w:t>NVDA</w:t>
            </w:r>
          </w:p>
        </w:tc>
        <w:tc>
          <w:tcPr>
            <w:tcW w:type="dxa" w:w="1419"/>
          </w:tcPr>
          <w:p>
            <w:pPr>
              <w:spacing w:after="20" w:before="20"/>
              <w:jc w:val="right"/>
            </w:pPr>
            <w:r/>
            <w:r>
              <w:rPr>
                <w:rFonts w:ascii="맑은 고딕" w:hAnsi="맑은 고딕" w:eastAsia="맑은 고딕"/>
                <w:b w:val="0"/>
                <w:sz w:val="16"/>
              </w:rPr>
              <w:t>5,084</w:t>
            </w:r>
          </w:p>
        </w:tc>
        <w:tc>
          <w:tcPr>
            <w:tcW w:type="dxa" w:w="1419"/>
          </w:tcPr>
          <w:p>
            <w:pPr>
              <w:spacing w:after="20" w:before="20"/>
              <w:jc w:val="right"/>
            </w:pPr>
            <w:r/>
            <w:r>
              <w:rPr>
                <w:rFonts w:ascii="맑은 고딕" w:hAnsi="맑은 고딕" w:eastAsia="맑은 고딕"/>
                <w:b w:val="0"/>
                <w:sz w:val="16"/>
              </w:rPr>
              <w:t>22.3배</w:t>
            </w:r>
          </w:p>
        </w:tc>
        <w:tc>
          <w:tcPr>
            <w:tcW w:type="dxa" w:w="1419"/>
          </w:tcPr>
          <w:p>
            <w:pPr>
              <w:spacing w:after="20" w:before="20"/>
              <w:jc w:val="right"/>
            </w:pPr>
            <w:r/>
            <w:r>
              <w:rPr>
                <w:rFonts w:ascii="맑은 고딕" w:hAnsi="맑은 고딕" w:eastAsia="맑은 고딕"/>
                <w:b w:val="0"/>
                <w:sz w:val="16"/>
              </w:rPr>
              <w:t>27.1배</w:t>
            </w:r>
          </w:p>
        </w:tc>
        <w:tc>
          <w:tcPr>
            <w:tcW w:type="dxa" w:w="1419"/>
          </w:tcPr>
          <w:p>
            <w:pPr>
              <w:spacing w:after="20" w:before="20"/>
              <w:jc w:val="right"/>
            </w:pPr>
            <w:r/>
            <w:r>
              <w:rPr>
                <w:rFonts w:ascii="맑은 고딕" w:hAnsi="맑은 고딕" w:eastAsia="맑은 고딕"/>
                <w:b w:val="0"/>
                <w:sz w:val="16"/>
              </w:rPr>
              <w:t>29%</w:t>
            </w:r>
          </w:p>
        </w:tc>
        <w:tc>
          <w:tcPr>
            <w:tcW w:type="dxa" w:w="1419"/>
          </w:tcPr>
          <w:p>
            <w:pPr>
              <w:spacing w:after="20" w:before="20"/>
              <w:jc w:val="right"/>
            </w:pPr>
            <w:r/>
            <w:r>
              <w:rPr>
                <w:rFonts w:ascii="맑은 고딕" w:hAnsi="맑은 고딕" w:eastAsia="맑은 고딕"/>
                <w:b w:val="0"/>
                <w:sz w:val="16"/>
              </w:rPr>
              <w:t>61%</w:t>
            </w:r>
          </w:p>
        </w:tc>
      </w:tr>
    </w:tbl>
    <w:p>
      <w:pPr>
        <w:spacing w:after="40"/>
      </w:pPr>
    </w:p>
    <w:p>
      <w:pPr>
        <w:spacing w:after="200"/>
      </w:pPr>
      <w:r>
        <w:rPr>
          <w:rFonts w:ascii="맑은 고딕" w:hAnsi="맑은 고딕" w:eastAsia="맑은 고딕"/>
          <w:i/>
          <w:color w:val="595959"/>
          <w:sz w:val="16"/>
        </w:rPr>
        <w:t>표 6 — 비교기업(2026-07-16 기준). NTM 추정치. 자료: stockanalysis.com; 모델.</w:t>
      </w:r>
    </w:p>
    <w:p>
      <w:pPr>
        <w:jc w:val="center"/>
      </w:pPr>
      <w:r>
        <w:drawing>
          <wp:inline xmlns:a="http://schemas.openxmlformats.org/drawingml/2006/main" xmlns:pic="http://schemas.openxmlformats.org/drawingml/2006/picture">
            <wp:extent cx="5486400" cy="6222063"/>
            <wp:docPr id="23" name="Picture 23"/>
            <wp:cNvGraphicFramePr>
              <a:graphicFrameLocks noChangeAspect="1"/>
            </wp:cNvGraphicFramePr>
            <a:graphic>
              <a:graphicData uri="http://schemas.openxmlformats.org/drawingml/2006/picture">
                <pic:pic>
                  <pic:nvPicPr>
                    <pic:cNvPr id="0" name="chart_30_trading_comps_scatter.png"/>
                    <pic:cNvPicPr/>
                  </pic:nvPicPr>
                  <pic:blipFill>
                    <a:blip r:embed="rId31"/>
                    <a:stretch>
                      <a:fillRect/>
                    </a:stretch>
                  </pic:blipFill>
                  <pic:spPr>
                    <a:xfrm>
                      <a:off x="0" y="0"/>
                      <a:ext cx="5486400" cy="6222063"/>
                    </a:xfrm>
                    <a:prstGeom prst="rect"/>
                  </pic:spPr>
                </pic:pic>
              </a:graphicData>
            </a:graphic>
          </wp:inline>
        </w:drawing>
      </w:r>
    </w:p>
    <w:p>
      <w:pPr>
        <w:spacing w:after="200"/>
      </w:pPr>
      <w:r>
        <w:rPr>
          <w:rFonts w:ascii="맑은 고딕" w:hAnsi="맑은 고딕" w:eastAsia="맑은 고딕"/>
          <w:i/>
          <w:color w:val="595959"/>
          <w:sz w:val="16"/>
        </w:rPr>
        <w:t>그림 30 — 성장 vs. EV/EBITDA. 자료: 피어 데이터.</w:t>
      </w:r>
    </w:p>
    <w:p>
      <w:pPr>
        <w:jc w:val="center"/>
      </w:pPr>
      <w:r>
        <w:drawing>
          <wp:inline xmlns:a="http://schemas.openxmlformats.org/drawingml/2006/main" xmlns:pic="http://schemas.openxmlformats.org/drawingml/2006/picture">
            <wp:extent cx="5486400" cy="3113256"/>
            <wp:docPr id="24" name="Picture 24"/>
            <wp:cNvGraphicFramePr>
              <a:graphicFrameLocks noChangeAspect="1"/>
            </wp:cNvGraphicFramePr>
            <a:graphic>
              <a:graphicData uri="http://schemas.openxmlformats.org/drawingml/2006/picture">
                <pic:pic>
                  <pic:nvPicPr>
                    <pic:cNvPr id="0" name="chart_31_peer_multiples_comparison.png"/>
                    <pic:cNvPicPr/>
                  </pic:nvPicPr>
                  <pic:blipFill>
                    <a:blip r:embed="rId32"/>
                    <a:stretch>
                      <a:fillRect/>
                    </a:stretch>
                  </pic:blipFill>
                  <pic:spPr>
                    <a:xfrm>
                      <a:off x="0" y="0"/>
                      <a:ext cx="5486400" cy="3113256"/>
                    </a:xfrm>
                    <a:prstGeom prst="rect"/>
                  </pic:spPr>
                </pic:pic>
              </a:graphicData>
            </a:graphic>
          </wp:inline>
        </w:drawing>
      </w:r>
    </w:p>
    <w:p>
      <w:pPr>
        <w:spacing w:after="200"/>
      </w:pPr>
      <w:r>
        <w:rPr>
          <w:rFonts w:ascii="맑은 고딕" w:hAnsi="맑은 고딕" w:eastAsia="맑은 고딕"/>
          <w:i/>
          <w:color w:val="595959"/>
          <w:sz w:val="16"/>
        </w:rPr>
        <w:t>그림 31 — 피어 선행 P/E(NVDA 중앙값 이하). 자료: 피어 데이터.</w:t>
      </w:r>
    </w:p>
    <w:p>
      <w:pPr>
        <w:spacing w:before="160" w:after="80"/>
      </w:pPr>
      <w:r>
        <w:rPr>
          <w:rFonts w:ascii="맑은 고딕" w:hAnsi="맑은 고딕" w:eastAsia="맑은 고딕"/>
          <w:b/>
          <w:color w:val="1A1A1A"/>
          <w:sz w:val="25"/>
        </w:rPr>
        <w:t>밸류에이션 요약</w:t>
      </w:r>
    </w:p>
    <w:tbl>
      <w:tblPr>
        <w:tblStyle w:val="LightGrid-Accent1"/>
        <w:tblW w:type="auto" w:w="0"/>
        <w:tblLayout w:type="autofit"/>
        <w:tblLook w:firstColumn="1" w:firstRow="1" w:lastColumn="0" w:lastRow="0" w:noHBand="0" w:noVBand="1" w:val="04A0"/>
      </w:tblPr>
      <w:tblGrid>
        <w:gridCol w:w="1987"/>
        <w:gridCol w:w="1987"/>
        <w:gridCol w:w="1987"/>
        <w:gridCol w:w="1987"/>
        <w:gridCol w:w="1987"/>
      </w:tblGrid>
      <w:tr>
        <w:tc>
          <w:tcPr>
            <w:tcW w:type="dxa" w:w="1987"/>
            <w:shd w:fill="1F3864"/>
          </w:tcPr>
          <w:p>
            <w:pPr>
              <w:spacing w:after="20" w:before="20"/>
              <w:jc w:val="left"/>
            </w:pPr>
            <w:r/>
            <w:r>
              <w:rPr>
                <w:rFonts w:ascii="맑은 고딕" w:hAnsi="맑은 고딕" w:eastAsia="맑은 고딕"/>
                <w:b/>
                <w:color w:val="FFFFFF"/>
                <w:sz w:val="18"/>
              </w:rPr>
              <w:t>방법</w:t>
            </w:r>
          </w:p>
        </w:tc>
        <w:tc>
          <w:tcPr>
            <w:tcW w:type="dxa" w:w="1987"/>
            <w:shd w:fill="1F3864"/>
          </w:tcPr>
          <w:p>
            <w:pPr>
              <w:spacing w:after="20" w:before="20"/>
              <w:jc w:val="right"/>
            </w:pPr>
            <w:r/>
            <w:r>
              <w:rPr>
                <w:rFonts w:ascii="맑은 고딕" w:hAnsi="맑은 고딕" w:eastAsia="맑은 고딕"/>
                <w:b/>
                <w:color w:val="FFFFFF"/>
                <w:sz w:val="18"/>
              </w:rPr>
              <w:t>하단</w:t>
            </w:r>
          </w:p>
        </w:tc>
        <w:tc>
          <w:tcPr>
            <w:tcW w:type="dxa" w:w="1987"/>
            <w:shd w:fill="1F3864"/>
          </w:tcPr>
          <w:p>
            <w:pPr>
              <w:spacing w:after="20" w:before="20"/>
              <w:jc w:val="right"/>
            </w:pPr>
            <w:r/>
            <w:r>
              <w:rPr>
                <w:rFonts w:ascii="맑은 고딕" w:hAnsi="맑은 고딕" w:eastAsia="맑은 고딕"/>
                <w:b/>
                <w:color w:val="FFFFFF"/>
                <w:sz w:val="18"/>
              </w:rPr>
              <w:t>기준</w:t>
            </w:r>
          </w:p>
        </w:tc>
        <w:tc>
          <w:tcPr>
            <w:tcW w:type="dxa" w:w="1987"/>
            <w:shd w:fill="1F3864"/>
          </w:tcPr>
          <w:p>
            <w:pPr>
              <w:spacing w:after="20" w:before="20"/>
              <w:jc w:val="right"/>
            </w:pPr>
            <w:r/>
            <w:r>
              <w:rPr>
                <w:rFonts w:ascii="맑은 고딕" w:hAnsi="맑은 고딕" w:eastAsia="맑은 고딕"/>
                <w:b/>
                <w:color w:val="FFFFFF"/>
                <w:sz w:val="18"/>
              </w:rPr>
              <w:t>상단</w:t>
            </w:r>
          </w:p>
        </w:tc>
        <w:tc>
          <w:tcPr>
            <w:tcW w:type="dxa" w:w="1987"/>
            <w:shd w:fill="1F3864"/>
          </w:tcPr>
          <w:p>
            <w:pPr>
              <w:spacing w:after="20" w:before="20"/>
              <w:jc w:val="right"/>
            </w:pPr>
            <w:r/>
            <w:r>
              <w:rPr>
                <w:rFonts w:ascii="맑은 고딕" w:hAnsi="맑은 고딕" w:eastAsia="맑은 고딕"/>
                <w:b/>
                <w:color w:val="FFFFFF"/>
                <w:sz w:val="18"/>
              </w:rPr>
              <w:t>가중</w:t>
            </w:r>
          </w:p>
        </w:tc>
      </w:tr>
      <w:tr>
        <w:tc>
          <w:tcPr>
            <w:tcW w:type="dxa" w:w="1987"/>
          </w:tcPr>
          <w:p>
            <w:pPr>
              <w:spacing w:after="20" w:before="20"/>
              <w:jc w:val="left"/>
            </w:pPr>
            <w:r/>
            <w:r>
              <w:rPr>
                <w:rFonts w:ascii="맑은 고딕" w:hAnsi="맑은 고딕" w:eastAsia="맑은 고딕"/>
                <w:b w:val="0"/>
                <w:sz w:val="18"/>
              </w:rPr>
              <w:t>DCF</w:t>
            </w:r>
          </w:p>
        </w:tc>
        <w:tc>
          <w:tcPr>
            <w:tcW w:type="dxa" w:w="1987"/>
          </w:tcPr>
          <w:p>
            <w:pPr>
              <w:spacing w:after="20" w:before="20"/>
              <w:jc w:val="right"/>
            </w:pPr>
            <w:r/>
            <w:r>
              <w:rPr>
                <w:rFonts w:ascii="맑은 고딕" w:hAnsi="맑은 고딕" w:eastAsia="맑은 고딕"/>
                <w:b w:val="0"/>
                <w:sz w:val="18"/>
              </w:rPr>
              <w:t>$129</w:t>
            </w:r>
          </w:p>
        </w:tc>
        <w:tc>
          <w:tcPr>
            <w:tcW w:type="dxa" w:w="1987"/>
          </w:tcPr>
          <w:p>
            <w:pPr>
              <w:spacing w:after="20" w:before="20"/>
              <w:jc w:val="right"/>
            </w:pPr>
            <w:r/>
            <w:r>
              <w:rPr>
                <w:rFonts w:ascii="맑은 고딕" w:hAnsi="맑은 고딕" w:eastAsia="맑은 고딕"/>
                <w:b w:val="0"/>
                <w:sz w:val="18"/>
              </w:rPr>
              <w:t>$157</w:t>
            </w:r>
          </w:p>
        </w:tc>
        <w:tc>
          <w:tcPr>
            <w:tcW w:type="dxa" w:w="1987"/>
          </w:tcPr>
          <w:p>
            <w:pPr>
              <w:spacing w:after="20" w:before="20"/>
              <w:jc w:val="right"/>
            </w:pPr>
            <w:r/>
            <w:r>
              <w:rPr>
                <w:rFonts w:ascii="맑은 고딕" w:hAnsi="맑은 고딕" w:eastAsia="맑은 고딕"/>
                <w:b w:val="0"/>
                <w:sz w:val="18"/>
              </w:rPr>
              <w:t>$209</w:t>
            </w:r>
          </w:p>
        </w:tc>
        <w:tc>
          <w:tcPr>
            <w:tcW w:type="dxa" w:w="1987"/>
          </w:tcPr>
          <w:p>
            <w:pPr>
              <w:spacing w:after="20" w:before="20"/>
              <w:jc w:val="right"/>
            </w:pPr>
            <w:r/>
            <w:r>
              <w:rPr>
                <w:rFonts w:ascii="맑은 고딕" w:hAnsi="맑은 고딕" w:eastAsia="맑은 고딕"/>
                <w:b w:val="0"/>
                <w:sz w:val="18"/>
              </w:rPr>
              <w:t>55%</w:t>
            </w:r>
          </w:p>
        </w:tc>
      </w:tr>
      <w:tr>
        <w:tc>
          <w:tcPr>
            <w:tcW w:type="dxa" w:w="1987"/>
          </w:tcPr>
          <w:p>
            <w:pPr>
              <w:spacing w:after="20" w:before="20"/>
              <w:jc w:val="left"/>
            </w:pPr>
            <w:r/>
            <w:r>
              <w:rPr>
                <w:rFonts w:ascii="맑은 고딕" w:hAnsi="맑은 고딕" w:eastAsia="맑은 고딕"/>
                <w:b w:val="0"/>
                <w:sz w:val="18"/>
              </w:rPr>
              <w:t>Comps</w:t>
            </w:r>
          </w:p>
        </w:tc>
        <w:tc>
          <w:tcPr>
            <w:tcW w:type="dxa" w:w="1987"/>
          </w:tcPr>
          <w:p>
            <w:pPr>
              <w:spacing w:after="20" w:before="20"/>
              <w:jc w:val="right"/>
            </w:pPr>
            <w:r/>
            <w:r>
              <w:rPr>
                <w:rFonts w:ascii="맑은 고딕" w:hAnsi="맑은 고딕" w:eastAsia="맑은 고딕"/>
                <w:b w:val="0"/>
                <w:sz w:val="18"/>
              </w:rPr>
              <w:t>$131</w:t>
            </w:r>
          </w:p>
        </w:tc>
        <w:tc>
          <w:tcPr>
            <w:tcW w:type="dxa" w:w="1987"/>
          </w:tcPr>
          <w:p>
            <w:pPr>
              <w:spacing w:after="20" w:before="20"/>
              <w:jc w:val="right"/>
            </w:pPr>
            <w:r/>
            <w:r>
              <w:rPr>
                <w:rFonts w:ascii="맑은 고딕" w:hAnsi="맑은 고딕" w:eastAsia="맑은 고딕"/>
                <w:b w:val="0"/>
                <w:sz w:val="18"/>
              </w:rPr>
              <w:t>$271</w:t>
            </w:r>
          </w:p>
        </w:tc>
        <w:tc>
          <w:tcPr>
            <w:tcW w:type="dxa" w:w="1987"/>
          </w:tcPr>
          <w:p>
            <w:pPr>
              <w:spacing w:after="20" w:before="20"/>
              <w:jc w:val="right"/>
            </w:pPr>
            <w:r/>
            <w:r>
              <w:rPr>
                <w:rFonts w:ascii="맑은 고딕" w:hAnsi="맑은 고딕" w:eastAsia="맑은 고딕"/>
                <w:b w:val="0"/>
                <w:sz w:val="18"/>
              </w:rPr>
              <w:t>$622</w:t>
            </w:r>
          </w:p>
        </w:tc>
        <w:tc>
          <w:tcPr>
            <w:tcW w:type="dxa" w:w="1987"/>
          </w:tcPr>
          <w:p>
            <w:pPr>
              <w:spacing w:after="20" w:before="20"/>
              <w:jc w:val="right"/>
            </w:pPr>
            <w:r/>
            <w:r>
              <w:rPr>
                <w:rFonts w:ascii="맑은 고딕" w:hAnsi="맑은 고딕" w:eastAsia="맑은 고딕"/>
                <w:b w:val="0"/>
                <w:sz w:val="18"/>
              </w:rPr>
              <w:t>45%</w:t>
            </w:r>
          </w:p>
        </w:tc>
      </w:tr>
      <w:tr>
        <w:tc>
          <w:tcPr>
            <w:tcW w:type="dxa" w:w="1987"/>
          </w:tcPr>
          <w:p>
            <w:pPr>
              <w:spacing w:after="20" w:before="20"/>
              <w:jc w:val="left"/>
            </w:pPr>
            <w:r/>
            <w:r>
              <w:rPr>
                <w:rFonts w:ascii="맑은 고딕" w:hAnsi="맑은 고딕" w:eastAsia="맑은 고딕"/>
                <w:b w:val="0"/>
                <w:sz w:val="18"/>
              </w:rPr>
              <w:t>가중 목표가</w:t>
            </w:r>
          </w:p>
        </w:tc>
        <w:tc>
          <w:tcPr>
            <w:tcW w:type="dxa" w:w="1987"/>
          </w:tcPr>
          <w:p>
            <w:pPr>
              <w:spacing w:after="20" w:before="20"/>
              <w:jc w:val="right"/>
            </w:pPr>
            <w:r/>
            <w:r>
              <w:rPr>
                <w:rFonts w:ascii="맑은 고딕" w:hAnsi="맑은 고딕" w:eastAsia="맑은 고딕"/>
                <w:b w:val="0"/>
                <w:sz w:val="18"/>
              </w:rPr>
            </w:r>
          </w:p>
        </w:tc>
        <w:tc>
          <w:tcPr>
            <w:tcW w:type="dxa" w:w="1987"/>
          </w:tcPr>
          <w:p>
            <w:pPr>
              <w:spacing w:after="20" w:before="20"/>
              <w:jc w:val="right"/>
            </w:pPr>
            <w:r/>
            <w:r>
              <w:rPr>
                <w:rFonts w:ascii="맑은 고딕" w:hAnsi="맑은 고딕" w:eastAsia="맑은 고딕"/>
                <w:b w:val="0"/>
                <w:sz w:val="18"/>
              </w:rPr>
              <w:t>$208</w:t>
            </w:r>
          </w:p>
        </w:tc>
        <w:tc>
          <w:tcPr>
            <w:tcW w:type="dxa" w:w="1987"/>
          </w:tcPr>
          <w:p>
            <w:pPr>
              <w:spacing w:after="20" w:before="20"/>
              <w:jc w:val="right"/>
            </w:pPr>
            <w:r/>
            <w:r>
              <w:rPr>
                <w:rFonts w:ascii="맑은 고딕" w:hAnsi="맑은 고딕" w:eastAsia="맑은 고딕"/>
                <w:b w:val="0"/>
                <w:sz w:val="18"/>
              </w:rPr>
            </w:r>
          </w:p>
        </w:tc>
        <w:tc>
          <w:tcPr>
            <w:tcW w:type="dxa" w:w="1987"/>
          </w:tcPr>
          <w:p>
            <w:pPr>
              <w:spacing w:after="20" w:before="20"/>
              <w:jc w:val="right"/>
            </w:pPr>
            <w:r/>
            <w:r>
              <w:rPr>
                <w:rFonts w:ascii="맑은 고딕" w:hAnsi="맑은 고딕" w:eastAsia="맑은 고딕"/>
                <w:b w:val="0"/>
                <w:sz w:val="18"/>
              </w:rPr>
              <w:t>100%</w:t>
            </w:r>
          </w:p>
        </w:tc>
      </w:tr>
    </w:tbl>
    <w:p>
      <w:pPr>
        <w:spacing w:after="40"/>
      </w:pPr>
    </w:p>
    <w:p>
      <w:pPr>
        <w:spacing w:after="200"/>
      </w:pPr>
      <w:r>
        <w:rPr>
          <w:rFonts w:ascii="맑은 고딕" w:hAnsi="맑은 고딕" w:eastAsia="맑은 고딕"/>
          <w:i/>
          <w:color w:val="595959"/>
          <w:sz w:val="16"/>
        </w:rPr>
        <w:t>표 7 — 밸류에이션 요약. 자료: 모델(Valuation Summary 탭).</w:t>
      </w:r>
    </w:p>
    <w:p>
      <w:pPr>
        <w:jc w:val="center"/>
      </w:pPr>
      <w:r>
        <w:drawing>
          <wp:inline xmlns:a="http://schemas.openxmlformats.org/drawingml/2006/main" xmlns:pic="http://schemas.openxmlformats.org/drawingml/2006/picture">
            <wp:extent cx="5852160" cy="2798432"/>
            <wp:docPr id="25" name="Picture 25"/>
            <wp:cNvGraphicFramePr>
              <a:graphicFrameLocks noChangeAspect="1"/>
            </wp:cNvGraphicFramePr>
            <a:graphic>
              <a:graphicData uri="http://schemas.openxmlformats.org/drawingml/2006/picture">
                <pic:pic>
                  <pic:nvPicPr>
                    <pic:cNvPr id="0" name="chart_32_valuation_football_field.png"/>
                    <pic:cNvPicPr/>
                  </pic:nvPicPr>
                  <pic:blipFill>
                    <a:blip r:embed="rId33"/>
                    <a:stretch>
                      <a:fillRect/>
                    </a:stretch>
                  </pic:blipFill>
                  <pic:spPr>
                    <a:xfrm>
                      <a:off x="0" y="0"/>
                      <a:ext cx="5852160" cy="2798432"/>
                    </a:xfrm>
                    <a:prstGeom prst="rect"/>
                  </pic:spPr>
                </pic:pic>
              </a:graphicData>
            </a:graphic>
          </wp:inline>
        </w:drawing>
      </w:r>
    </w:p>
    <w:p>
      <w:pPr>
        <w:spacing w:after="200"/>
      </w:pPr>
      <w:r>
        <w:rPr>
          <w:rFonts w:ascii="맑은 고딕" w:hAnsi="맑은 고딕" w:eastAsia="맑은 고딕"/>
          <w:i/>
          <w:color w:val="595959"/>
          <w:sz w:val="16"/>
        </w:rPr>
        <w:t>그림 32 — 밸류에이션 풋볼 필드. 자료: 모델. ⭐</w:t>
      </w:r>
    </w:p>
    <w:p>
      <w:pPr>
        <w:jc w:val="center"/>
      </w:pPr>
      <w:r>
        <w:drawing>
          <wp:inline xmlns:a="http://schemas.openxmlformats.org/drawingml/2006/main" xmlns:pic="http://schemas.openxmlformats.org/drawingml/2006/picture">
            <wp:extent cx="4754880" cy="2734543"/>
            <wp:docPr id="26" name="Picture 26"/>
            <wp:cNvGraphicFramePr>
              <a:graphicFrameLocks noChangeAspect="1"/>
            </wp:cNvGraphicFramePr>
            <a:graphic>
              <a:graphicData uri="http://schemas.openxmlformats.org/drawingml/2006/picture">
                <pic:pic>
                  <pic:nvPicPr>
                    <pic:cNvPr id="0" name="chart_33_price_target_scenarios.png"/>
                    <pic:cNvPicPr/>
                  </pic:nvPicPr>
                  <pic:blipFill>
                    <a:blip r:embed="rId34"/>
                    <a:stretch>
                      <a:fillRect/>
                    </a:stretch>
                  </pic:blipFill>
                  <pic:spPr>
                    <a:xfrm>
                      <a:off x="0" y="0"/>
                      <a:ext cx="4754880" cy="2734543"/>
                    </a:xfrm>
                    <a:prstGeom prst="rect"/>
                  </pic:spPr>
                </pic:pic>
              </a:graphicData>
            </a:graphic>
          </wp:inline>
        </w:drawing>
      </w:r>
    </w:p>
    <w:p>
      <w:pPr>
        <w:spacing w:after="200"/>
      </w:pPr>
      <w:r>
        <w:rPr>
          <w:rFonts w:ascii="맑은 고딕" w:hAnsi="맑은 고딕" w:eastAsia="맑은 고딕"/>
          <w:i/>
          <w:color w:val="595959"/>
          <w:sz w:val="16"/>
        </w:rPr>
        <w:t>그림 33 — 목표가 시나리오. 자료: 모델.</w:t>
      </w:r>
    </w:p>
    <w:p>
      <w:pPr>
        <w:jc w:val="center"/>
      </w:pPr>
      <w:r>
        <w:drawing>
          <wp:inline xmlns:a="http://schemas.openxmlformats.org/drawingml/2006/main" xmlns:pic="http://schemas.openxmlformats.org/drawingml/2006/picture">
            <wp:extent cx="5303520" cy="2746084"/>
            <wp:docPr id="27" name="Picture 27"/>
            <wp:cNvGraphicFramePr>
              <a:graphicFrameLocks noChangeAspect="1"/>
            </wp:cNvGraphicFramePr>
            <a:graphic>
              <a:graphicData uri="http://schemas.openxmlformats.org/drawingml/2006/picture">
                <pic:pic>
                  <pic:nvPicPr>
                    <pic:cNvPr id="0" name="chart_34_historical_valuation_multiples.png"/>
                    <pic:cNvPicPr/>
                  </pic:nvPicPr>
                  <pic:blipFill>
                    <a:blip r:embed="rId35"/>
                    <a:stretch>
                      <a:fillRect/>
                    </a:stretch>
                  </pic:blipFill>
                  <pic:spPr>
                    <a:xfrm>
                      <a:off x="0" y="0"/>
                      <a:ext cx="5303520" cy="2746084"/>
                    </a:xfrm>
                    <a:prstGeom prst="rect"/>
                  </pic:spPr>
                </pic:pic>
              </a:graphicData>
            </a:graphic>
          </wp:inline>
        </w:drawing>
      </w:r>
    </w:p>
    <w:p>
      <w:pPr>
        <w:spacing w:after="200"/>
      </w:pPr>
      <w:r>
        <w:rPr>
          <w:rFonts w:ascii="맑은 고딕" w:hAnsi="맑은 고딕" w:eastAsia="맑은 고딕"/>
          <w:i/>
          <w:color w:val="595959"/>
          <w:sz w:val="16"/>
        </w:rPr>
        <w:t>그림 34 — 과거 후행 P/E(근사). 자료: 시장 데이터.</w:t>
      </w:r>
    </w:p>
    <w:p>
      <w:pPr>
        <w:jc w:val="center"/>
      </w:pPr>
      <w:r>
        <w:drawing>
          <wp:inline xmlns:a="http://schemas.openxmlformats.org/drawingml/2006/main" xmlns:pic="http://schemas.openxmlformats.org/drawingml/2006/picture">
            <wp:extent cx="4754880" cy="2734543"/>
            <wp:docPr id="28" name="Picture 28"/>
            <wp:cNvGraphicFramePr>
              <a:graphicFrameLocks noChangeAspect="1"/>
            </wp:cNvGraphicFramePr>
            <a:graphic>
              <a:graphicData uri="http://schemas.openxmlformats.org/drawingml/2006/picture">
                <pic:pic>
                  <pic:nvPicPr>
                    <pic:cNvPr id="0" name="chart_35_analyst_price_targets.png"/>
                    <pic:cNvPicPr/>
                  </pic:nvPicPr>
                  <pic:blipFill>
                    <a:blip r:embed="rId36"/>
                    <a:stretch>
                      <a:fillRect/>
                    </a:stretch>
                  </pic:blipFill>
                  <pic:spPr>
                    <a:xfrm>
                      <a:off x="0" y="0"/>
                      <a:ext cx="4754880" cy="2734543"/>
                    </a:xfrm>
                    <a:prstGeom prst="rect"/>
                  </pic:spPr>
                </pic:pic>
              </a:graphicData>
            </a:graphic>
          </wp:inline>
        </w:drawing>
      </w:r>
    </w:p>
    <w:p>
      <w:pPr>
        <w:spacing w:after="200"/>
      </w:pPr>
      <w:r>
        <w:rPr>
          <w:rFonts w:ascii="맑은 고딕" w:hAnsi="맑은 고딕" w:eastAsia="맑은 고딕"/>
          <w:i/>
          <w:color w:val="595959"/>
          <w:sz w:val="16"/>
        </w:rPr>
        <w:t>그림 35 — 셀사이드 목표가 분포 vs. 당사. 자료: 리서치 문서.</w:t>
      </w:r>
    </w:p>
    <w:p>
      <w:pPr>
        <w:spacing w:before="160" w:after="80"/>
      </w:pPr>
      <w:r>
        <w:rPr>
          <w:rFonts w:ascii="맑은 고딕" w:hAnsi="맑은 고딕" w:eastAsia="맑은 고딕"/>
          <w:b/>
          <w:color w:val="1A1A1A"/>
          <w:sz w:val="25"/>
        </w:rPr>
        <w:t>목표 주가 및 투자의견</w:t>
      </w:r>
    </w:p>
    <w:p>
      <w:pPr>
        <w:spacing w:after="140"/>
      </w:pPr>
      <w:r>
        <w:rPr>
          <w:rFonts w:ascii="맑은 고딕" w:hAnsi="맑은 고딕" w:eastAsia="맑은 고딕"/>
          <w:i w:val="0"/>
          <w:sz w:val="21"/>
        </w:rPr>
        <w:t>당사는 12개월 목표주가 $208로 중립(HOLD) 의견을 제시하며 커버리지를 개시한다. 이는 DCF 가치 $157(가중치 55%)와 comps 가치 $271(가중치 45%)을 결합한 0.55 × $157 + 0.45 × $271 = $207.92를 반올림한 값으로, 직전 종가 $207.40 대비 +0.2% 수준이다. 목표주가가 시장가와 사실상 일치하는 것은 두 가지 밸류에이션 방법이 상반된 방향을 가리키며 서로 상쇄되기 때문이다. DCF는 향후 5년 매출 약 29% CAGR을 10.9% WACC와 3.5% 영구성장률로 할인하여 주가 대비 24.5% 낮은 값을 도출하며, 이는 동사 주식이 완벽을 전제로 가격이 형성되어 있음을 시사한다. 즉 WACC가 약 9% 이하일 때에만 $207 부근이 정당화되며, 기업가치의 75.7%가 잔존가치(terminal value)에 놓여 있다. 반면 comps는 22.3배 NTM EV/EBITDA 및 27.1배 선행 P/E로, 동종 AI·반도체 업종의 중앙값 31.4배 및 32.6배를 하회하여 주가 대비 30% 높은 값을 도출하며, NVDA가 고평가된 AI·반도체 진영 내에서 상대적으로 합리적인 가격의 종목임을 시사한다. '적정 가치'라는 결론은 실재하며 아직 해소되지 않은 긴장 관계를 정직하게 조정한 결과이지, 어느 편에도 서지 않는 절충이 아니다.</w:t>
      </w:r>
    </w:p>
    <w:p>
      <w:pPr>
        <w:spacing w:after="140"/>
      </w:pPr>
      <w:r>
        <w:rPr>
          <w:rFonts w:ascii="맑은 고딕" w:hAnsi="맑은 고딕" w:eastAsia="맑은 고딕"/>
          <w:i w:val="0"/>
          <w:sz w:val="21"/>
        </w:rPr>
        <w:t>DCF 대 comps의 긴장 관계는 투자 논거 전체를 이루며, 당사가 시장에서 가장 붐비는 롱 포지션을 추격하지도 공매도하지도 않는 이유이기도 하다. 내재가치(intrinsic) 관점은 약 $5.1조 시가총액이라는 절대 수준이 이미 수년간의 감속하는 초고성장을 가격에 반영하고 있으며, AI 자본지출(capex) 리스크가 상향 재평가될 경우 시장이 유지하지 못할 수도 있는 할인율을 요구한다고 경고한다. 상대가치(relative) 관점은 이에 반박하여, 열위의 성장성과 마진에도 더 높은 배수에 거래되는 동종 업종 내에서 NVDA가 과열이 자리한 곳은 아니라고 본다. 다만 NVIDIA의 훨씬 큰 EBITDA 기반에 적용되는 규모 할인(size discount)이 그 신호를 완화하되 완전히 지우지는 못한다. 당사는 보고된 실적에 연동된 투명한 상향식(bottom-up) 구성을 이유로 DCF에 더 높은 가중치(55%)를 부여하되, 잔존가치의 취약성을 감안하여 지배적 가중치 미만으로 제한한다. comps에는 직접적 관련성을 이유로 상당한 45%를 부여하되, 업종 전반의 높은 밸류에이션을 감안하여 절반 미만으로 유지한다. 12개월 투자 기간을 선택한 것은 이를 해소할 사건들, 즉 FY2027~28 자본지출 궤적과 할인율 경로가 그 기간 내에 가시화될 것으로 보기 때문이다.</w:t>
      </w:r>
    </w:p>
    <w:p>
      <w:pPr>
        <w:spacing w:after="140"/>
      </w:pPr>
      <w:r>
        <w:rPr>
          <w:rFonts w:ascii="맑은 고딕" w:hAnsi="맑은 고딕" w:eastAsia="맑은 고딕"/>
          <w:i w:val="0"/>
          <w:sz w:val="21"/>
        </w:rPr>
        <w:t>세 가지 전개는 당사를 매수(BUY)로 이동시킬 것이다. 첫째, 약 9%를 향한 지속적인 WACC 재평가로, 이는 비둘기파적 FOMC(2026-07-29 결정이 단기 촉매) 이후의 낮은 무위험이자율과 AI 자본지출 리스크의 재평가에 따른 낮은 주식위험프리미엄을 통해 이루어지며, 그것만으로도 내재가치를 현재 주가 수준으로, 나아가 그 이상으로 끌어올린다. 둘째, 자본지출 지속성의 확인으로, 하이퍼스케일러 및 국가 주도(sovereign) 지출이 2026년 +77% 급증 이후 소화 국면에 들어가지 않고 FY2028~29까지 지속된다는 증거가 이에 해당하며, 이는 FCF 전망의 상단을 검증하고 잔존가치에 대한 의존을 축소한다. 셋째, 중국 재개방으로, 현재 0으로 반영된 약 $50B 시장을 더하는 B30/B30A 승인은 분자(numerator)에 순증분 상승 여력을 제공한다. 2026-08-26 FY2027 2분기 실적에서 $91B 가이던스를 상회하며 Rubin 램프와 수주잔고에 대해 건설적인 코멘트가 나온다면, 이는 자본지출 지속성 조건을 검증할 가장 즉각적인 시험대가 될 것이다.</w:t>
      </w:r>
    </w:p>
    <w:p>
      <w:pPr>
        <w:spacing w:after="140"/>
      </w:pPr>
      <w:r>
        <w:rPr>
          <w:rFonts w:ascii="맑은 고딕" w:hAnsi="맑은 고딕" w:eastAsia="맑은 고딕"/>
          <w:i w:val="0"/>
          <w:sz w:val="21"/>
        </w:rPr>
        <w:t>세 가지 전개는 당사를 매도(SELL)로 이동시킬 것이다. 첫째, 자본지출 소화(digestion) 신호로, 상위 3개 고객사(FY2027 1분기 매출의 54%) 중 하나가 주문을 중단하거나 재배분하는 경우, 또는 하이퍼스케일러 자본지출 사이클이 2026년 이후 정체되는 경우가 이에 해당하며, 반도체 사이클은 역사적으로 양방향 모두로 과잉 반응(overshoot)해 왔다. 둘째, 표본 밖(out-of-sample) 매출 감속으로, 특히 추론(inference)에서의 ASIC 점유율 상실(이미 2026년 서버 출하량의 약 28%)에 기인하여 주문 성장 또는 가이던스가 당사 모델의 가정보다 빠르게 둔화되는 경우가 이에 해당한다. 셋째, 총이익률(gross margin)이 70%대 초반 아래로 붕괴되는 경우로, 이는 시스템·소프트웨어 믹스와 1년 주기의 아키텍처 갱신이 더 이상 대체 공급원과 HBM 원가 상승에 맞서 가격 우산(pricing umbrella)을 지탱하지 못한다는 신호가 된다. 이러한 양극 중 어느 한쪽으로의 이동이 없는 한, 25%/55%/20%로 균형 잡힌 시나리오 분포와 현재 주가에 근접한 확률가중 기대값은 어느 방향으로든 자본을 투입하기보다 기존 포지션을 유지하며 12개월 투자 기간에 걸쳐 보다 명확한 진입 시점을 기다리는 것을 지지한다.</w:t>
      </w:r>
    </w:p>
    <w:p>
      <w:r>
        <w:br w:type="page"/>
      </w:r>
    </w:p>
    <w:p>
      <w:pPr>
        <w:spacing w:before="240" w:after="80"/>
        <w:pBdr>
          <w:bottom w:val="single" w:sz="6" w:space="2" w:color="1F3864"/>
        </w:pBdr>
      </w:pPr>
      <w:r>
        <w:rPr>
          <w:rFonts w:ascii="맑은 고딕" w:hAnsi="맑은 고딕" w:eastAsia="맑은 고딕"/>
          <w:b/>
          <w:color w:val="1F3864"/>
          <w:sz w:val="30"/>
        </w:rPr>
        <w:t>데이터 출처 및 참고자료</w:t>
      </w:r>
    </w:p>
    <w:p>
      <w:pPr>
        <w:spacing w:after="120"/>
      </w:pPr>
      <w:r>
        <w:rPr>
          <w:rFonts w:ascii="맑은 고딕" w:hAnsi="맑은 고딕" w:eastAsia="맑은 고딕"/>
          <w:i w:val="0"/>
          <w:sz w:val="21"/>
        </w:rPr>
        <w:t>1. NVIDIA Q1 FY2027 보도자료(2026-04-26 종료 분기) — 매출 $81.6B, DC $75.2B, 네트워킹 $14.8B, Q2 가이던스 $91B, $80B 자사주 매입, 배당 $0.25 — nvidianews.nvidia.com/news/nvidia-announces-financial-results-for-first-quarter-fiscal-2027 (2026년 5월)</w:t>
      </w:r>
    </w:p>
    <w:p>
      <w:pPr>
        <w:spacing w:after="120"/>
      </w:pPr>
      <w:r>
        <w:rPr>
          <w:rFonts w:ascii="맑은 고딕" w:hAnsi="맑은 고딕" w:eastAsia="맑은 고딕"/>
          <w:i w:val="0"/>
          <w:sz w:val="21"/>
        </w:rPr>
        <w:t>2. NVIDIA Q4/FY2026 보도자료 및 CFO 논평 — FY26 매출 $215.9B, 부문 상세, Rubin 10배 토큰 비용 주장, 중국 가이던스 — nvidianews.nvidia.com/news/nvidia-announces-financial-results-for-fourth-quarter-and-fiscal-2026 (2026년 2월); SEC 8-K: sec.gov/Archives/edgar/data/1045810/000104581026000019/q4fy26pr.htm</w:t>
      </w:r>
    </w:p>
    <w:p>
      <w:pPr>
        <w:spacing w:after="120"/>
      </w:pPr>
      <w:r>
        <w:rPr>
          <w:rFonts w:ascii="맑은 고딕" w:hAnsi="맑은 고딕" w:eastAsia="맑은 고딕"/>
          <w:i w:val="0"/>
          <w:sz w:val="21"/>
        </w:rPr>
        <w:t>3. NVIDIA Form 10-K FY2026(2026-01-25 종료 회계연도) — 고객 집중도(22%/14%), "사실상 배제(effectively foreclosed)" 중국 문구, 임직원, 지역 — sec.gov/Archives/edgar/data/1045810/000104581026000021/nvda-20260125.htm (2026년 2월)</w:t>
      </w:r>
    </w:p>
    <w:p>
      <w:pPr>
        <w:spacing w:after="120"/>
      </w:pPr>
      <w:r>
        <w:rPr>
          <w:rFonts w:ascii="맑은 고딕" w:hAnsi="맑은 고딕" w:eastAsia="맑은 고딕"/>
          <w:i w:val="0"/>
          <w:sz w:val="21"/>
        </w:rPr>
        <w:t>4. NVIDIA Form 10-Q Q1 FY2027 — 고객 집중도(21%/17%/16%), $119B 공급 약정, $30B 클라우드 약정 — sec.gov/Archives/edgar/data/0001045810/000104581026000052/nvda-20260426.htm (2026년 5월)</w:t>
      </w:r>
    </w:p>
    <w:p>
      <w:pPr>
        <w:spacing w:after="120"/>
      </w:pPr>
      <w:r>
        <w:rPr>
          <w:rFonts w:ascii="맑은 고딕" w:hAnsi="맑은 고딕" w:eastAsia="맑은 고딕"/>
          <w:i w:val="0"/>
          <w:sz w:val="21"/>
        </w:rPr>
        <w:t>5. Fortune — "Nvidia smashes Q4 2026 with $68 billion in revenue" — fortune.com/2026/02/25/nvidia-nvda-earnings-q4-results-jensen-huang/ (2026-02-25)</w:t>
      </w:r>
    </w:p>
    <w:p>
      <w:pPr>
        <w:spacing w:after="120"/>
      </w:pPr>
      <w:r>
        <w:rPr>
          <w:rFonts w:ascii="맑은 고딕" w:hAnsi="맑은 고딕" w:eastAsia="맑은 고딕"/>
          <w:i w:val="0"/>
          <w:sz w:val="21"/>
        </w:rPr>
        <w:t>6. CNBC — GTC 2026 기조연설, 2027년까지 $1조 Blackwell/Rubin 주문 — cnbc.com/2026/03/16/nvidia-gtc-2026-ceo-jensen-huang-keynote-blackwell-vera-rubin.html (2026-03-16)</w:t>
      </w:r>
    </w:p>
    <w:p>
      <w:pPr>
        <w:spacing w:after="120"/>
      </w:pPr>
      <w:r>
        <w:rPr>
          <w:rFonts w:ascii="맑은 고딕" w:hAnsi="맑은 고딕" w:eastAsia="맑은 고딕"/>
          <w:i w:val="0"/>
          <w:sz w:val="21"/>
        </w:rPr>
        <w:t>7. DataCenterKnowledge — "GTC 2026: Nvidia Unveils Vera Rubin AI Platform" — datacenterknowledge.com/data-center-chips/gtc-2026-nvidia-unveils-vera-rubin-ai-platform-eyes-1t-by-2027 (2026년 3월)</w:t>
      </w:r>
    </w:p>
    <w:p>
      <w:pPr>
        <w:spacing w:after="120"/>
      </w:pPr>
      <w:r>
        <w:rPr>
          <w:rFonts w:ascii="맑은 고딕" w:hAnsi="맑은 고딕" w:eastAsia="맑은 고딕"/>
          <w:i w:val="0"/>
          <w:sz w:val="21"/>
        </w:rPr>
        <w:t>8. Tom's Hardware — Kyber 랙 아키텍처, 144 GPU, NVLink 7; 맞춤 AI ASIC 현황(2026년 5월); Maia 200; Trainium3 출시 — tomshardware.com (2026년 1–5월)</w:t>
      </w:r>
    </w:p>
    <w:p>
      <w:pPr>
        <w:spacing w:after="120"/>
      </w:pPr>
      <w:r>
        <w:rPr>
          <w:rFonts w:ascii="맑은 고딕" w:hAnsi="맑은 고딕" w:eastAsia="맑은 고딕"/>
          <w:i w:val="0"/>
          <w:sz w:val="21"/>
        </w:rPr>
        <w:t>9. Data Center Dynamics — CES 2026에서 Vera Rubin 완전 양산 — datacenterdynamics.com (2026년 1월)</w:t>
      </w:r>
    </w:p>
    <w:p>
      <w:pPr>
        <w:spacing w:after="120"/>
      </w:pPr>
      <w:r>
        <w:rPr>
          <w:rFonts w:ascii="맑은 고딕" w:hAnsi="맑은 고딕" w:eastAsia="맑은 고딕"/>
          <w:i w:val="0"/>
          <w:sz w:val="21"/>
        </w:rPr>
        <w:t>10. NVIDIA DEF 14A 위임장 FY2026 — Huang 지분 870.6M주/3.58%, 보수 $36.3M, 이사회 상세 — sec.gov/Archives/edgar/data/0001045810/000104581026000036/nvda-20260512.htm (2026년 5월)</w:t>
      </w:r>
    </w:p>
    <w:p>
      <w:pPr>
        <w:spacing w:after="120"/>
      </w:pPr>
      <w:r>
        <w:rPr>
          <w:rFonts w:ascii="맑은 고딕" w:hAnsi="맑은 고딕" w:eastAsia="맑은 고딕"/>
          <w:i w:val="0"/>
          <w:sz w:val="21"/>
        </w:rPr>
        <w:t>11. NVIDIA 보도자료 — Suzanne Nora Johnson 이사 선임, 2026-07-13 발효 — nvidianews.nvidia.com/news/nvidia-names-suzanne-nora-johnson-to-board-of-directors (2026년 7월)</w:t>
      </w:r>
    </w:p>
    <w:p>
      <w:pPr>
        <w:spacing w:after="120"/>
      </w:pPr>
      <w:r>
        <w:rPr>
          <w:rFonts w:ascii="맑은 고딕" w:hAnsi="맑은 고딕" w:eastAsia="맑은 고딕"/>
          <w:i w:val="0"/>
          <w:sz w:val="21"/>
        </w:rPr>
        <w:t>12. SEC Form 8-K(2026년 7월) — Jay Puri 은퇴 공시</w:t>
      </w:r>
    </w:p>
    <w:p>
      <w:pPr>
        <w:spacing w:after="120"/>
      </w:pPr>
      <w:r>
        <w:rPr>
          <w:rFonts w:ascii="맑은 고딕" w:hAnsi="맑은 고딕" w:eastAsia="맑은 고딕"/>
          <w:i w:val="0"/>
          <w:sz w:val="21"/>
        </w:rPr>
        <w:t>13. CNBC — "Nvidia buying AI chip startup Groq's assets for about $20 billion" — cnbc.com/2025/12/24/nvidia-buying-ai-chip-startup-groq-for-about-20-billion-biggest-deal.html (2025-12-24)</w:t>
      </w:r>
    </w:p>
    <w:p>
      <w:pPr>
        <w:spacing w:after="120"/>
      </w:pPr>
      <w:r>
        <w:rPr>
          <w:rFonts w:ascii="맑은 고딕" w:hAnsi="맑은 고딕" w:eastAsia="맑은 고딕"/>
          <w:i w:val="0"/>
          <w:sz w:val="21"/>
        </w:rPr>
        <w:t>14. TradingView/Reuters 요약 — Groq $20B 라이선스($13B 초기), $10B Anthropic 투자, $100B OpenAI 의향서(2025년 9–12월)</w:t>
      </w:r>
    </w:p>
    <w:p>
      <w:pPr>
        <w:spacing w:after="120"/>
      </w:pPr>
      <w:r>
        <w:rPr>
          <w:rFonts w:ascii="맑은 고딕" w:hAnsi="맑은 고딕" w:eastAsia="맑은 고딕"/>
          <w:i w:val="0"/>
          <w:sz w:val="21"/>
        </w:rPr>
        <w:t>15. Gartner — "Worldwide Semiconductor Revenue to Exceed $1.3 Trillion in 2026" (+64%) — gartner.com (2026-04-08)</w:t>
      </w:r>
    </w:p>
    <w:p>
      <w:pPr>
        <w:spacing w:after="120"/>
      </w:pPr>
      <w:r>
        <w:rPr>
          <w:rFonts w:ascii="맑은 고딕" w:hAnsi="맑은 고딕" w:eastAsia="맑은 고딕"/>
          <w:i w:val="0"/>
          <w:sz w:val="21"/>
        </w:rPr>
        <w:t>16. WSTS — 2026년 봄 전망, $1.51조(+90%), 메모리 +250% $800B 초과 — wsts.org (2026)</w:t>
      </w:r>
    </w:p>
    <w:p>
      <w:pPr>
        <w:spacing w:after="120"/>
      </w:pPr>
      <w:r>
        <w:rPr>
          <w:rFonts w:ascii="맑은 고딕" w:hAnsi="맑은 고딕" w:eastAsia="맑은 고딕"/>
          <w:i w:val="0"/>
          <w:sz w:val="21"/>
        </w:rPr>
        <w:t>17. Deloitte — 2026 반도체 산업 전망, 약 $500B AI 칩 시장 — deloitte.com (2026)</w:t>
      </w:r>
    </w:p>
    <w:p>
      <w:pPr>
        <w:spacing w:after="120"/>
      </w:pPr>
      <w:r>
        <w:rPr>
          <w:rFonts w:ascii="맑은 고딕" w:hAnsi="맑은 고딕" w:eastAsia="맑은 고딕"/>
          <w:i w:val="0"/>
          <w:sz w:val="21"/>
        </w:rPr>
        <w:t>18. Tom's Hardware — "Big Tech's AI spending plans reach $725 billion" (+77% 전년비) — tomshardware.com/tech-industry/big-tech (2026)</w:t>
      </w:r>
    </w:p>
    <w:p>
      <w:pPr>
        <w:spacing w:after="120"/>
      </w:pPr>
      <w:r>
        <w:rPr>
          <w:rFonts w:ascii="맑은 고딕" w:hAnsi="맑은 고딕" w:eastAsia="맑은 고딕"/>
          <w:i w:val="0"/>
          <w:sz w:val="21"/>
        </w:rPr>
        <w:t>19. CNBC — "Tech AI spending approaches $700 billion in 2026" — cnbc.com/2026/02/06 (2026-02-06)</w:t>
      </w:r>
    </w:p>
    <w:p>
      <w:pPr>
        <w:spacing w:after="120"/>
      </w:pPr>
      <w:r>
        <w:rPr>
          <w:rFonts w:ascii="맑은 고딕" w:hAnsi="맑은 고딕" w:eastAsia="맑은 고딕"/>
          <w:i w:val="0"/>
          <w:sz w:val="21"/>
        </w:rPr>
        <w:t>20. Forbes — "The AI capex-to-revenue gap is widening" — forbes.com (2026-06-02)</w:t>
      </w:r>
    </w:p>
    <w:p>
      <w:pPr>
        <w:spacing w:after="120"/>
      </w:pPr>
      <w:r>
        <w:rPr>
          <w:rFonts w:ascii="맑은 고딕" w:hAnsi="맑은 고딕" w:eastAsia="맑은 고딕"/>
          <w:i w:val="0"/>
          <w:sz w:val="21"/>
        </w:rPr>
        <w:t>21. AMD 보도자료 — CES 2026 MI400 계열; Meta 6 GW 확대 파트너십 — amd.com (2026-02-24); Tom's Hardware — Oracle 50,000 MI450 거래</w:t>
      </w:r>
    </w:p>
    <w:p>
      <w:pPr>
        <w:spacing w:after="120"/>
      </w:pPr>
      <w:r>
        <w:rPr>
          <w:rFonts w:ascii="맑은 고딕" w:hAnsi="맑은 고딕" w:eastAsia="맑은 고딕"/>
          <w:i w:val="0"/>
          <w:sz w:val="21"/>
        </w:rPr>
        <w:t>22. CNBC — "Broadcom agrees to expanded chip deals with Google, Anthropic" — cnbc.com/2026/04/06 (2026-04-06)</w:t>
      </w:r>
    </w:p>
    <w:p>
      <w:pPr>
        <w:spacing w:after="120"/>
      </w:pPr>
      <w:r>
        <w:rPr>
          <w:rFonts w:ascii="맑은 고딕" w:hAnsi="맑은 고딕" w:eastAsia="맑은 고딕"/>
          <w:i w:val="0"/>
          <w:sz w:val="21"/>
        </w:rPr>
        <w:t>23. SemiAnalysis — TPUv7 분석; AWS Trainium3 심층 분석; GTC 2026 "Inference Kingdom" — newsletter.semianalysis.com (2025–2026)</w:t>
      </w:r>
    </w:p>
    <w:p>
      <w:pPr>
        <w:spacing w:after="120"/>
      </w:pPr>
      <w:r>
        <w:rPr>
          <w:rFonts w:ascii="맑은 고딕" w:hAnsi="맑은 고딕" w:eastAsia="맑은 고딕"/>
          <w:i w:val="0"/>
          <w:sz w:val="21"/>
        </w:rPr>
        <w:t>24. Tom's Hardware — Microsoft Maia 200(TSMC 3nm, 216GB HBM3e) — tomshardware.com (2026년 1월)</w:t>
      </w:r>
    </w:p>
    <w:p>
      <w:pPr>
        <w:spacing w:after="120"/>
      </w:pPr>
      <w:r>
        <w:rPr>
          <w:rFonts w:ascii="맑은 고딕" w:hAnsi="맑은 고딕" w:eastAsia="맑은 고딕"/>
          <w:i w:val="0"/>
          <w:sz w:val="21"/>
        </w:rPr>
        <w:t>25. Tom's Hardware — Meta MTIA 300–500 로드맵 — tomshardware.com (2026년 3월)</w:t>
      </w:r>
    </w:p>
    <w:p>
      <w:pPr>
        <w:spacing w:after="120"/>
      </w:pPr>
      <w:r>
        <w:rPr>
          <w:rFonts w:ascii="맑은 고딕" w:hAnsi="맑은 고딕" w:eastAsia="맑은 고딕"/>
          <w:i w:val="0"/>
          <w:sz w:val="21"/>
        </w:rPr>
        <w:t>26. CNBC — "Nvidia still hasn't sold its U.S.-approved China AI chips" — cnbc.com/2026/02/26 (2026-02-26)</w:t>
      </w:r>
    </w:p>
    <w:p>
      <w:pPr>
        <w:spacing w:after="120"/>
      </w:pPr>
      <w:r>
        <w:rPr>
          <w:rFonts w:ascii="맑은 고딕" w:hAnsi="맑은 고딕" w:eastAsia="맑은 고딕"/>
          <w:i w:val="0"/>
          <w:sz w:val="21"/>
        </w:rPr>
        <w:t>27. GamersNexus — GPU 수출 통제 타임라인 — gamersnexus.net (2025–2026)</w:t>
      </w:r>
    </w:p>
    <w:p>
      <w:pPr>
        <w:spacing w:after="120"/>
      </w:pPr>
      <w:r>
        <w:rPr>
          <w:rFonts w:ascii="맑은 고딕" w:hAnsi="맑은 고딕" w:eastAsia="맑은 고딕"/>
          <w:i w:val="0"/>
          <w:sz w:val="21"/>
        </w:rPr>
        <w:t>28. The National — "What the UAE's mega-deal with Nvidia means for its AI sovereignty" — thenationalnews.com/business/2026/03/27 (2026-03-27)</w:t>
      </w:r>
    </w:p>
    <w:p>
      <w:pPr>
        <w:spacing w:after="120"/>
      </w:pPr>
      <w:r>
        <w:rPr>
          <w:rFonts w:ascii="맑은 고딕" w:hAnsi="맑은 고딕" w:eastAsia="맑은 고딕"/>
          <w:i w:val="0"/>
          <w:sz w:val="21"/>
        </w:rPr>
        <w:t>29. G42 — Stargate UAE 발표(5 GW 캠퍼스) — g42.ai (2025년 5월)</w:t>
      </w:r>
    </w:p>
    <w:p>
      <w:pPr>
        <w:spacing w:after="120"/>
      </w:pPr>
      <w:r>
        <w:rPr>
          <w:rFonts w:ascii="맑은 고딕" w:hAnsi="맑은 고딕" w:eastAsia="맑은 고딕"/>
          <w:i w:val="0"/>
          <w:sz w:val="21"/>
        </w:rPr>
        <w:t>30. Nikkei Asia / TechWire Asia — 일본에서의 NVIDIA 소버린 AI — asia.nikkei.com; techwireasia.com/2026/07 (2026년 7월)</w:t>
      </w:r>
    </w:p>
    <w:p>
      <w:pPr>
        <w:spacing w:after="120"/>
      </w:pPr>
      <w:r>
        <w:rPr>
          <w:rFonts w:ascii="맑은 고딕" w:hAnsi="맑은 고딕" w:eastAsia="맑은 고딕"/>
          <w:i w:val="0"/>
          <w:sz w:val="21"/>
        </w:rPr>
        <w:t>31. Fortune — Huang, 2030년까지 $3–4조 AI 인프라; $1조 수요 전망 — fortune.com/2026/03/17 (2026-03-17)</w:t>
      </w:r>
    </w:p>
    <w:p>
      <w:pPr>
        <w:spacing w:after="120"/>
      </w:pPr>
      <w:r>
        <w:rPr>
          <w:rFonts w:ascii="맑은 고딕" w:hAnsi="맑은 고딕" w:eastAsia="맑은 고딕"/>
          <w:i w:val="0"/>
          <w:sz w:val="21"/>
        </w:rPr>
        <w:t>32. Motley Fool — Blackwell 판매 및 고객 집중도(고객 4곳, 61%) — fool.com (2025-11-27)</w:t>
      </w:r>
    </w:p>
    <w:p>
      <w:pPr>
        <w:spacing w:after="120"/>
      </w:pPr>
      <w:r>
        <w:rPr>
          <w:rFonts w:ascii="맑은 고딕" w:hAnsi="맑은 고딕" w:eastAsia="맑은 고딕"/>
          <w:i w:val="0"/>
          <w:sz w:val="21"/>
        </w:rPr>
        <w:t>33. Finance Monthly — Jensen Huang 순자산 및 지분 — finance-monthly.com (2026)</w:t>
      </w:r>
    </w:p>
    <w:p>
      <w:pPr>
        <w:spacing w:after="120"/>
      </w:pPr>
      <w:r>
        <w:rPr>
          <w:rFonts w:ascii="맑은 고딕" w:hAnsi="맑은 고딕" w:eastAsia="맑은 고딕"/>
          <w:i w:val="0"/>
          <w:sz w:val="21"/>
        </w:rPr>
        <w:t>34. 파이프라인 검증 시장 데이터: 최근 종가 $207.40 (2026-07-16); 시가총액 약 $5.1조 (내부, 2026-07-17)</w:t>
      </w:r>
    </w:p>
    <w:p>
      <w:pPr>
        <w:spacing w:after="120"/>
      </w:pPr>
      <w:r>
        <w:rPr>
          <w:rFonts w:ascii="맑은 고딕" w:hAnsi="맑은 고딕" w:eastAsia="맑은 고딕"/>
          <w:i w:val="0"/>
          <w:sz w:val="21"/>
        </w:rPr>
        <w:t>---</w:t>
      </w:r>
    </w:p>
    <w:p>
      <w:pPr>
        <w:spacing w:after="120"/>
      </w:pPr>
      <w:r>
        <w:rPr>
          <w:rFonts w:ascii="맑은 고딕" w:hAnsi="맑은 고딕" w:eastAsia="맑은 고딕"/>
          <w:i w:val="0"/>
          <w:sz w:val="21"/>
        </w:rPr>
        <w:t>*교육용입니다. 투자 자문이 아닙니다.*</w:t>
      </w:r>
    </w:p>
    <w:p>
      <w:pPr>
        <w:spacing w:after="120"/>
      </w:pPr>
      <w:r>
        <w:rPr>
          <w:rFonts w:ascii="맑은 고딕" w:hAnsi="맑은 고딕" w:eastAsia="맑은 고딕"/>
          <w:i w:val="0"/>
          <w:color w:val="595959"/>
          <w:sz w:val="18"/>
        </w:rPr>
        <w:t>밸류에이션·모델 상세: 본 리포트와 함께 제공되는 NVIDIA_Financial_Model_2026-07-17.xlsx(10개 탭) 및 NVIDIA_Valuation_Analysis_2026-07-17_KR.md 참조.</w:t>
      </w:r>
    </w:p>
    <w:p>
      <w:pPr>
        <w:spacing w:after="120"/>
      </w:pPr>
    </w:p>
    <w:p>
      <w:pPr>
        <w:spacing w:after="120"/>
      </w:pPr>
      <w:r>
        <w:rPr>
          <w:rFonts w:ascii="맑은 고딕" w:hAnsi="맑은 고딕" w:eastAsia="맑은 고딕"/>
          <w:i/>
          <w:color w:val="595959"/>
          <w:sz w:val="16"/>
        </w:rPr>
        <w:t>교육용입니다. 투자·법률·세무 자문이 아닙니다. 수치는 모델 기반 추정치이며 실제 결과는 다를 수 있습니다. 특정 증권의 매매 권유가 아닙니다.</w:t>
      </w:r>
    </w:p>
    <w:sectPr w:rsidR="00FC693F" w:rsidRPr="0006063C" w:rsidSect="00034616">
      <w:footerReference w:type="default" r:id="rId3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595959"/>
        <w:sz w:val="16"/>
      </w:rPr>
      <w:t xml:space="preserve">NVIDIA (NVDA) — 커버리지 개시  |  교육용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