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pPr>
      <w:r>
        <w:rPr>
          <w:b/>
          <w:bCs/>
        </w:rPr>
        <w:softHyphen/>
      </w:r>
      <w:r>
        <w:rPr>
          <w:b/>
          <w:bCs/>
        </w:rPr>
        <w:t>Assignment 7: single cell (nucleus) RNA Biology (Start early, this assignment may take some time)</w:t>
      </w:r>
    </w:p>
    <w:p>
      <w:pPr>
        <w:pStyle w:val="Normal"/>
        <w:spacing w:lineRule="auto" w:line="240" w:before="0" w:after="0"/>
        <w:rPr/>
      </w:pPr>
      <w:r>
        <w:rPr/>
      </w:r>
    </w:p>
    <w:p>
      <w:pPr>
        <w:pStyle w:val="Normal"/>
        <w:spacing w:lineRule="auto" w:line="240" w:before="0" w:after="0"/>
        <w:rPr>
          <w:color w:val="C00000"/>
          <w:sz w:val="32"/>
          <w:szCs w:val="32"/>
        </w:rPr>
      </w:pPr>
      <w:r>
        <w:rPr>
          <w:color w:val="C00000"/>
          <w:sz w:val="32"/>
          <w:szCs w:val="32"/>
        </w:rPr>
        <w:t>Instructions</w:t>
      </w:r>
    </w:p>
    <w:p>
      <w:pPr>
        <w:pStyle w:val="Normal"/>
        <w:spacing w:lineRule="auto" w:line="240" w:before="0" w:after="0"/>
        <w:rPr/>
      </w:pPr>
      <w:r>
        <w:rPr/>
        <w:t xml:space="preserve">The goal of this assignment is to learn the basics of scRNA-seq data analysis using the single-cell genomics tool Seurat as well as the concepts and rationale behind the code. In this assignment you need to work through several Seurat vignettes and tutorials to finish the code and analysis as instructed in the Bio5488_scRNAseq_Homework.Rmd file. </w:t>
      </w:r>
    </w:p>
    <w:p>
      <w:pPr>
        <w:pStyle w:val="Normal"/>
        <w:spacing w:lineRule="auto" w:line="240" w:before="0" w:after="0"/>
        <w:rPr/>
      </w:pPr>
      <w:r>
        <w:rPr/>
      </w:r>
    </w:p>
    <w:p>
      <w:pPr>
        <w:pStyle w:val="Normal"/>
        <w:spacing w:lineRule="auto" w:line="240" w:before="0" w:after="0"/>
        <w:rPr/>
      </w:pPr>
      <w:r>
        <w:rPr/>
        <w:t xml:space="preserve">Follow the instructions in the ” RIS_RStudio_Instructions_Single_Cell_Genomics.docx” file to setup and start RStudio on RIS . </w:t>
      </w:r>
    </w:p>
    <w:p>
      <w:pPr>
        <w:pStyle w:val="Normal"/>
        <w:spacing w:lineRule="auto" w:line="240" w:before="0" w:after="0"/>
        <w:rPr/>
      </w:pPr>
      <w:r>
        <w:rPr/>
      </w:r>
    </w:p>
    <w:p>
      <w:pPr>
        <w:pStyle w:val="Normal"/>
        <w:spacing w:lineRule="auto" w:line="240" w:before="0" w:after="0"/>
        <w:rPr/>
      </w:pPr>
      <w:r>
        <w:rPr/>
        <w:t xml:space="preserve">Open up </w:t>
      </w:r>
      <w:bookmarkStart w:id="0" w:name="_Hlk189378142"/>
      <w:r>
        <w:rPr/>
        <w:t>Bio5488_scRNAseq_Homework</w:t>
      </w:r>
      <w:bookmarkEnd w:id="0"/>
      <w:r>
        <w:rPr/>
        <w:t>_Assignment.Rmd and read through first to get a sense of what you will need to do. There are prompts in Bio5488_scRNAseq_Homework_Assignment.Rmd file for where you need to complete the assigned work. Follow the steps shown below and look for TODO list sign as shown below. There are comments in the script that will tell you what you need to do.</w:t>
      </w:r>
    </w:p>
    <w:p>
      <w:pPr>
        <w:pStyle w:val="Normal"/>
        <w:spacing w:lineRule="auto" w:line="240" w:before="0" w:after="0"/>
        <w:rPr/>
      </w:pPr>
      <w:r>
        <w:rPr/>
        <w:t># ============================ TODOs  ===========================</w:t>
      </w:r>
    </w:p>
    <w:p>
      <w:pPr>
        <w:pStyle w:val="Normal"/>
        <w:spacing w:lineRule="auto" w:line="240" w:before="0" w:after="0"/>
        <w:rPr/>
      </w:pPr>
      <w:r>
        <w:rPr/>
      </w:r>
    </w:p>
    <w:p>
      <w:pPr>
        <w:pStyle w:val="Normal"/>
        <w:spacing w:lineRule="auto" w:line="240" w:before="0" w:after="0"/>
        <w:rPr/>
      </w:pPr>
      <w:r>
        <w:rPr/>
        <w:t>Provide your code under “# provide solution here: “ to accomplish the required task.</w:t>
      </w:r>
    </w:p>
    <w:p>
      <w:pPr>
        <w:pStyle w:val="Normal"/>
        <w:spacing w:lineRule="auto" w:line="240" w:before="0" w:after="0"/>
        <w:rPr/>
      </w:pPr>
      <w:r>
        <w:rPr/>
        <w:t xml:space="preserve">Make sure you complete all parts of the assignment. Remember to comment your code.   </w:t>
      </w:r>
    </w:p>
    <w:p>
      <w:pPr>
        <w:pStyle w:val="Normal"/>
        <w:spacing w:lineRule="auto" w:line="240" w:before="0" w:after="0"/>
        <w:rPr/>
      </w:pPr>
      <w:r>
        <w:rPr/>
      </w:r>
    </w:p>
    <w:p>
      <w:pPr>
        <w:pStyle w:val="Normal"/>
        <w:spacing w:lineRule="auto" w:line="240" w:before="0" w:after="0"/>
        <w:rPr>
          <w:b/>
          <w:bCs/>
        </w:rPr>
      </w:pPr>
      <w:r>
        <w:rPr>
          <w:b/>
          <w:bCs/>
          <w:color w:val="C00000"/>
        </w:rPr>
        <w:t>Introduction</w:t>
      </w:r>
    </w:p>
    <w:p>
      <w:pPr>
        <w:pStyle w:val="Normal"/>
        <w:spacing w:lineRule="auto" w:line="240" w:before="0" w:after="0"/>
        <w:rPr/>
      </w:pPr>
      <w:r>
        <w:rPr/>
        <w:t>For new users of Seurat, it was suggest starting with a guided walk through of a dataset of 2,700 Peripheral Blood Mononuclear Cells (PBMCs) made publicly available by 10X Genomics (</w:t>
      </w:r>
      <w:hyperlink r:id="rId2">
        <w:r>
          <w:rPr>
            <w:rStyle w:val="Hyperlink"/>
          </w:rPr>
          <w:t>https://satijalab.org/seurat/articles/pbmc3k_tutorial</w:t>
        </w:r>
      </w:hyperlink>
      <w:r>
        <w:rPr/>
        <w:t xml:space="preserve"> ). This practice introduces important concepts and provides basic training in sample quality control for individual samples. In Part 2 we learn how to analyze more multiple scRNA-seq samples (</w:t>
      </w:r>
      <w:hyperlink r:id="rId3">
        <w:r>
          <w:rPr>
            <w:rStyle w:val="Hyperlink"/>
          </w:rPr>
          <w:t>https://satijalab.org/seurat/articles/integration_introduction</w:t>
        </w:r>
      </w:hyperlink>
      <w:r>
        <w:rPr/>
        <w:t xml:space="preserve"> ). </w:t>
      </w:r>
    </w:p>
    <w:p>
      <w:pPr>
        <w:pStyle w:val="Normal"/>
        <w:spacing w:lineRule="auto" w:line="240" w:before="0" w:after="0"/>
        <w:rPr/>
      </w:pPr>
      <w:r>
        <w:rPr/>
      </w:r>
    </w:p>
    <w:p>
      <w:pPr>
        <w:pStyle w:val="Normal"/>
        <w:spacing w:lineRule="auto" w:line="240" w:before="0" w:after="0"/>
        <w:rPr>
          <w:b/>
          <w:bCs/>
          <w:color w:val="C00000"/>
        </w:rPr>
      </w:pPr>
      <w:r>
        <w:rPr>
          <w:b/>
          <w:bCs/>
          <w:color w:val="C00000"/>
        </w:rPr>
        <w:t>Part 1 — Analyzing a single scRNA-seq sample</w:t>
      </w:r>
    </w:p>
    <w:p>
      <w:pPr>
        <w:pStyle w:val="Normal"/>
        <w:spacing w:lineRule="auto" w:line="240" w:before="0" w:after="0"/>
        <w:rPr/>
      </w:pPr>
      <w:r>
        <w:rPr/>
      </w:r>
    </w:p>
    <w:p>
      <w:pPr>
        <w:pStyle w:val="Normal"/>
        <w:spacing w:lineRule="auto" w:line="240" w:before="0" w:after="0"/>
        <w:rPr/>
      </w:pPr>
      <w:r>
        <w:rPr/>
        <w:t>The following tutorial implements the major components of a standard unsupervised clustering workflow for a single sample including how to construct a Seurat object starting from the raw input file, how to perform sample QC and data filtration, calculation of high-variance genes, dimensional reduction, graph-based clustering, and the identification of cluster markers.</w:t>
      </w:r>
    </w:p>
    <w:p>
      <w:pPr>
        <w:pStyle w:val="Normal"/>
        <w:spacing w:lineRule="auto" w:line="240" w:before="0" w:after="0"/>
        <w:rPr/>
      </w:pPr>
      <w:r>
        <w:rPr/>
        <w:t xml:space="preserve"> </w:t>
      </w:r>
      <w:hyperlink r:id="rId4">
        <w:r>
          <w:rPr>
            <w:rStyle w:val="Hyperlink"/>
          </w:rPr>
          <w:t>https://satijalab.org/seurat/articles/pbmc3k_tutorial</w:t>
        </w:r>
      </w:hyperlink>
    </w:p>
    <w:p>
      <w:pPr>
        <w:pStyle w:val="Normal"/>
        <w:spacing w:lineRule="auto" w:line="240" w:before="0" w:after="0"/>
        <w:rPr/>
      </w:pPr>
      <w:r>
        <w:rPr/>
      </w:r>
    </w:p>
    <w:p>
      <w:pPr>
        <w:pStyle w:val="Normal"/>
        <w:spacing w:lineRule="auto" w:line="240" w:before="0" w:after="0"/>
        <w:rPr>
          <w:color w:val="C00000"/>
        </w:rPr>
      </w:pPr>
      <w:r>
        <w:rPr>
          <w:color w:val="C00000"/>
        </w:rPr>
        <w:t>Experimental data</w:t>
      </w:r>
    </w:p>
    <w:p>
      <w:pPr>
        <w:pStyle w:val="Normal"/>
        <w:spacing w:lineRule="auto" w:line="240" w:before="0" w:after="0"/>
        <w:rPr/>
      </w:pPr>
      <w:r>
        <w:rPr/>
        <w:t xml:space="preserve">We will use the dataset of Peripheral Blood Mononuclear Cells (PBMC) freely available from 10X Genomics. There are 2,700 single cells that were sequenced on the Illumina NextSeq 500. </w:t>
      </w:r>
    </w:p>
    <w:p>
      <w:pPr>
        <w:pStyle w:val="Normal"/>
        <w:spacing w:lineRule="auto" w:line="240" w:before="0" w:after="0"/>
        <w:rPr/>
      </w:pPr>
      <w:r>
        <w:rPr/>
      </w:r>
    </w:p>
    <w:p>
      <w:pPr>
        <w:pStyle w:val="ListParagraph"/>
        <w:numPr>
          <w:ilvl w:val="0"/>
          <w:numId w:val="3"/>
        </w:numPr>
        <w:spacing w:lineRule="auto" w:line="240" w:before="0" w:after="0"/>
        <w:contextualSpacing/>
        <w:rPr/>
      </w:pPr>
      <w:r>
        <w:rPr/>
        <w:t xml:space="preserve">Copy the file “pbmc3k_filtered_gene_bc_matrices.tar” from the   </w:t>
      </w:r>
    </w:p>
    <w:p>
      <w:pPr>
        <w:pStyle w:val="Normal"/>
        <w:spacing w:lineRule="auto" w:line="240" w:before="0" w:after="0"/>
        <w:rPr/>
      </w:pPr>
      <w:r>
        <w:rPr/>
        <w:t>/storage1/fs1/workshops/Active/BIO5488/SP202</w:t>
      </w:r>
      <w:r>
        <w:rPr/>
        <w:t>6</w:t>
      </w:r>
      <w:r>
        <w:rPr/>
        <w:t xml:space="preserve">.L41.BIOL.5488.01/Assignments/A07/Assignment_Data/ folder to your home directory or your *work directory </w:t>
      </w:r>
    </w:p>
    <w:p>
      <w:pPr>
        <w:pStyle w:val="Normal"/>
        <w:spacing w:lineRule="auto" w:line="240" w:before="0" w:after="0"/>
        <w:rPr/>
      </w:pPr>
      <w:r>
        <w:rPr/>
        <w:t>/storage1/fs1/workshops/Active/BIO5488/SP202</w:t>
      </w:r>
      <w:r>
        <w:rPr/>
        <w:t>6</w:t>
      </w:r>
      <w:r>
        <w:rPr/>
        <w:t xml:space="preserve">.L41.BIOL.5488.01/Assignments/A07/Users/&lt;wustlkey&gt;.   </w:t>
      </w:r>
    </w:p>
    <w:p>
      <w:pPr>
        <w:pStyle w:val="Normal"/>
        <w:spacing w:lineRule="auto" w:line="240" w:before="0" w:after="0"/>
        <w:rPr/>
      </w:pPr>
      <w:r>
        <w:rPr/>
      </w:r>
    </w:p>
    <w:p>
      <w:pPr>
        <w:pStyle w:val="ListParagraph"/>
        <w:numPr>
          <w:ilvl w:val="0"/>
          <w:numId w:val="3"/>
        </w:numPr>
        <w:spacing w:lineRule="auto" w:line="240" w:before="0" w:after="0"/>
        <w:contextualSpacing/>
        <w:rPr/>
      </w:pPr>
      <w:r>
        <w:rPr/>
        <w:t>unzip the file. You will get a folder named “pbmc3k_filtered_gene_bc_matrices”</w:t>
      </w:r>
    </w:p>
    <w:p>
      <w:pPr>
        <w:pStyle w:val="Normal"/>
        <w:spacing w:lineRule="auto" w:line="240" w:before="0" w:after="0"/>
        <w:rPr/>
      </w:pPr>
      <w:r>
        <w:rPr/>
      </w:r>
    </w:p>
    <w:p>
      <w:pPr>
        <w:pStyle w:val="Normal"/>
        <w:spacing w:lineRule="auto" w:line="240" w:before="0" w:after="0"/>
        <w:rPr>
          <w:color w:val="00B0F0"/>
        </w:rPr>
      </w:pPr>
      <w:r>
        <w:rPr>
          <w:color w:val="00B0F0"/>
        </w:rPr>
        <w:t xml:space="preserve"># Question 1: </w:t>
      </w:r>
    </w:p>
    <w:p>
      <w:pPr>
        <w:pStyle w:val="Normal"/>
        <w:spacing w:lineRule="auto" w:line="240" w:before="0" w:after="0"/>
        <w:rPr>
          <w:color w:val="00B0F0"/>
        </w:rPr>
      </w:pPr>
      <w:r>
        <w:rPr>
          <w:color w:val="00B0F0"/>
        </w:rPr>
        <w:t># read in the data stored in the file "pbmc3k_filtered_gene_bc_matrices.tar" and construct the Seurat object named "pbmc"</w:t>
      </w:r>
    </w:p>
    <w:p>
      <w:pPr>
        <w:pStyle w:val="Normal"/>
        <w:spacing w:lineRule="auto" w:line="240" w:before="0" w:after="0"/>
        <w:rPr/>
      </w:pPr>
      <w:r>
        <w:rPr/>
      </w:r>
    </w:p>
    <w:p>
      <w:pPr>
        <w:pStyle w:val="Normal"/>
        <w:spacing w:lineRule="auto" w:line="240" w:before="0" w:after="0"/>
        <w:rPr>
          <w:color w:val="C00000"/>
        </w:rPr>
      </w:pPr>
      <w:r>
        <w:rPr>
          <w:color w:val="C00000"/>
        </w:rPr>
        <w:t>Standard workflow</w:t>
      </w:r>
    </w:p>
    <w:p>
      <w:pPr>
        <w:pStyle w:val="Normal"/>
        <w:spacing w:lineRule="auto" w:line="240" w:before="0" w:after="0"/>
        <w:rPr/>
      </w:pPr>
      <w:r>
        <w:rPr/>
        <w:t xml:space="preserve">Read the section “QC and selecting cells for further analysis”, calculate the percentage of mitochondria genes as shown in the tutorial. </w:t>
      </w:r>
    </w:p>
    <w:p>
      <w:pPr>
        <w:pStyle w:val="Normal"/>
        <w:spacing w:lineRule="auto" w:line="240" w:before="0" w:after="0"/>
        <w:rPr/>
      </w:pPr>
      <w:r>
        <w:rPr/>
      </w:r>
    </w:p>
    <w:p>
      <w:pPr>
        <w:pStyle w:val="Normal"/>
        <w:spacing w:lineRule="auto" w:line="240" w:before="0" w:after="0"/>
        <w:rPr/>
      </w:pPr>
      <w:r>
        <w:rPr/>
        <w:t>Explore metadata table, find where was the percentage of mitochondria genes stored and calculate the mean and range of the percentage of mitochondria genes</w:t>
      </w:r>
    </w:p>
    <w:p>
      <w:pPr>
        <w:pStyle w:val="Normal"/>
        <w:spacing w:lineRule="auto" w:line="240" w:before="0" w:after="0"/>
        <w:rPr/>
      </w:pPr>
      <w:r>
        <w:rPr/>
      </w:r>
    </w:p>
    <w:p>
      <w:pPr>
        <w:pStyle w:val="Normal"/>
        <w:spacing w:lineRule="auto" w:line="240" w:before="0" w:after="0"/>
        <w:rPr>
          <w:color w:val="00B0F0"/>
        </w:rPr>
      </w:pPr>
      <w:r>
        <w:rPr>
          <w:color w:val="00B0F0"/>
        </w:rPr>
        <w:t># Question 2:</w:t>
      </w:r>
    </w:p>
    <w:p>
      <w:pPr>
        <w:pStyle w:val="Normal"/>
        <w:tabs>
          <w:tab w:val="left" w:pos="720" w:leader="none"/>
        </w:tabs>
        <w:spacing w:lineRule="auto" w:line="240" w:before="0" w:after="0"/>
        <w:rPr>
          <w:color w:val="00B0F0"/>
        </w:rPr>
      </w:pPr>
      <w:r>
        <w:rPr>
          <w:color w:val="00B0F0"/>
        </w:rPr>
        <w:t># perform quality control by filtering cells that have unique feature counts over 2,500 or less than 200, and filtering cells that have &gt;5% mitochondrial counts. Plot violin plot showing “nFeature_RNA", "nCount_RNA", "percent.mt” after QC. Save the plot as file "Q2_Single_Sample_After_QC_QualityStatistics.png". Compare with pre-QC plots provided on the website. What’s the benefit of performing QC?</w:t>
      </w:r>
    </w:p>
    <w:p>
      <w:pPr>
        <w:pStyle w:val="Normal"/>
        <w:tabs>
          <w:tab w:val="left" w:pos="720" w:leader="none"/>
        </w:tabs>
        <w:spacing w:lineRule="auto" w:line="240" w:before="0" w:after="0"/>
        <w:rPr>
          <w:color w:val="00B0F0"/>
        </w:rPr>
      </w:pPr>
      <w:r>
        <w:rPr>
          <w:color w:val="00B0F0"/>
        </w:rPr>
      </w:r>
    </w:p>
    <w:p>
      <w:pPr>
        <w:pStyle w:val="Normal"/>
        <w:tabs>
          <w:tab w:val="left" w:pos="720" w:leader="none"/>
        </w:tabs>
        <w:spacing w:lineRule="auto" w:line="240" w:before="0" w:after="0"/>
        <w:rPr/>
      </w:pPr>
      <w:r>
        <w:rPr/>
        <w:t xml:space="preserve">Note: If you have more time, you can try the following QC cutoff and compare the clustering results to see what happens and why. </w:t>
      </w:r>
    </w:p>
    <w:p>
      <w:pPr>
        <w:pStyle w:val="Normal"/>
        <w:tabs>
          <w:tab w:val="left" w:pos="720" w:leader="none"/>
        </w:tabs>
        <w:spacing w:lineRule="auto" w:line="240" w:before="0" w:after="0"/>
        <w:rPr/>
      </w:pPr>
      <w:r>
        <w:rPr/>
        <w:t>filter cells with unique feature counts over 2,500 or less than 500, and filtering cells that have &gt;5% mitochondrial counts.</w:t>
      </w:r>
    </w:p>
    <w:p>
      <w:pPr>
        <w:pStyle w:val="Normal"/>
        <w:spacing w:lineRule="auto" w:line="240" w:before="0" w:after="0"/>
        <w:rPr/>
      </w:pPr>
      <w:r>
        <w:rPr/>
      </w:r>
    </w:p>
    <w:p>
      <w:pPr>
        <w:pStyle w:val="Normal"/>
        <w:spacing w:lineRule="auto" w:line="240" w:before="0" w:after="0"/>
        <w:rPr/>
      </w:pPr>
      <w:r>
        <w:rPr/>
        <w:t>Read the following sections “Normalizing the data”, “Identification of highly variable features (feature selection)”, and “Scaling the data”.  Follow the commands and explore the top selected variable genes.</w:t>
      </w:r>
    </w:p>
    <w:p>
      <w:pPr>
        <w:pStyle w:val="Normal"/>
        <w:spacing w:lineRule="auto" w:line="240" w:before="0" w:after="0"/>
        <w:rPr/>
      </w:pPr>
      <w:r>
        <w:rPr/>
      </w:r>
    </w:p>
    <w:p>
      <w:pPr>
        <w:pStyle w:val="Normal"/>
        <w:spacing w:lineRule="auto" w:line="240" w:before="0" w:after="0"/>
        <w:rPr/>
      </w:pPr>
      <w:r>
        <w:rPr/>
        <w:t xml:space="preserve">Note: Try scale the data and ‘regress out’ heterogeneity associated with mitochondrial contamination for all the features in the object </w:t>
      </w:r>
    </w:p>
    <w:p>
      <w:pPr>
        <w:pStyle w:val="Normal"/>
        <w:spacing w:lineRule="auto" w:line="240" w:before="0" w:after="0"/>
        <w:rPr>
          <w:color w:val="00B0F0"/>
        </w:rPr>
      </w:pPr>
      <w:r>
        <w:rPr>
          <w:color w:val="00B0F0"/>
        </w:rPr>
      </w:r>
    </w:p>
    <w:p>
      <w:pPr>
        <w:pStyle w:val="Normal"/>
        <w:spacing w:lineRule="auto" w:line="240" w:before="0" w:after="0"/>
        <w:rPr/>
      </w:pPr>
      <w:r>
        <w:rPr/>
        <w:t>Perform linear dimensional reduction and visualize both cells and features that define the PCA using VizDimReduction(), DimPlot(), and DimHeatmap(). Find our where PCA values were stored and try to understand the meaning of the visualization plots.</w:t>
      </w:r>
    </w:p>
    <w:p>
      <w:pPr>
        <w:pStyle w:val="Normal"/>
        <w:spacing w:lineRule="auto" w:line="240" w:before="0" w:after="0"/>
        <w:rPr/>
      </w:pPr>
      <w:r>
        <w:rPr/>
      </w:r>
    </w:p>
    <w:p>
      <w:pPr>
        <w:pStyle w:val="Normal"/>
        <w:spacing w:lineRule="auto" w:line="240" w:before="0" w:after="0"/>
        <w:rPr/>
      </w:pPr>
      <w:r>
        <w:rPr/>
        <w:t xml:space="preserve">Determine the ‘dimensionality’ of the dataset and Cluster the cells. </w:t>
      </w:r>
    </w:p>
    <w:p>
      <w:pPr>
        <w:pStyle w:val="Normal"/>
        <w:spacing w:lineRule="auto" w:line="240" w:before="0" w:after="0"/>
        <w:rPr/>
      </w:pPr>
      <w:r>
        <w:rPr/>
      </w:r>
    </w:p>
    <w:p>
      <w:pPr>
        <w:pStyle w:val="Normal"/>
        <w:spacing w:lineRule="auto" w:line="240" w:before="0" w:after="0"/>
        <w:rPr/>
      </w:pPr>
      <w:r>
        <w:rPr/>
        <w:t xml:space="preserve">Run non-linear dimensional reduction (UMAP/tSNE) and plot UMAP. </w:t>
      </w:r>
    </w:p>
    <w:p>
      <w:pPr>
        <w:pStyle w:val="Normal"/>
        <w:spacing w:lineRule="auto" w:line="240" w:before="0" w:after="0"/>
        <w:rPr/>
      </w:pPr>
      <w:r>
        <w:rPr/>
      </w:r>
    </w:p>
    <w:p>
      <w:pPr>
        <w:pStyle w:val="Normal"/>
        <w:spacing w:lineRule="auto" w:line="240" w:before="0" w:after="0"/>
        <w:rPr>
          <w:color w:val="00B0F0"/>
        </w:rPr>
      </w:pPr>
      <w:r>
        <w:rPr>
          <w:color w:val="00B0F0"/>
        </w:rPr>
        <w:t># Question 3:</w:t>
      </w:r>
    </w:p>
    <w:p>
      <w:pPr>
        <w:pStyle w:val="Normal"/>
        <w:spacing w:lineRule="auto" w:line="240" w:before="0" w:after="0"/>
        <w:rPr>
          <w:color w:val="00B0F0"/>
        </w:rPr>
      </w:pPr>
      <w:r>
        <w:rPr>
          <w:color w:val="00B0F0"/>
        </w:rPr>
        <w:t xml:space="preserve"># Plot violin plot showing “nFeature_RNA", "nCount_RNA", "percent.mt” for all the cell clusters. Save the plot as file " </w:t>
      </w:r>
      <w:bookmarkStart w:id="1" w:name="_Hlk189456181"/>
      <w:r>
        <w:rPr>
          <w:color w:val="00B0F0"/>
        </w:rPr>
        <w:t>Q3_Single_Sample_CellCluster_QualityStatistics</w:t>
      </w:r>
      <w:bookmarkEnd w:id="1"/>
      <w:r>
        <w:rPr>
          <w:color w:val="00B0F0"/>
        </w:rPr>
        <w:t>.png". Take a look at the plot and think about the differences from the previous QC plot. What does the nCount and nFeature from different cell clusters tell you? Is it biology or technical artifact?</w:t>
      </w:r>
    </w:p>
    <w:p>
      <w:pPr>
        <w:pStyle w:val="Normal"/>
        <w:spacing w:lineRule="auto" w:line="240" w:before="0" w:after="0"/>
        <w:rPr/>
      </w:pPr>
      <w:r>
        <w:rPr/>
      </w:r>
    </w:p>
    <w:p>
      <w:pPr>
        <w:pStyle w:val="Normal"/>
        <w:tabs>
          <w:tab w:val="left" w:pos="720" w:leader="none"/>
        </w:tabs>
        <w:spacing w:lineRule="auto" w:line="240" w:before="0" w:after="0"/>
        <w:rPr/>
      </w:pPr>
      <w:r>
        <w:rPr/>
        <w:t>Note: If you tried with the more stringent QC cutoff as noted above what had happened to the clusters? Is this biological meaningful?</w:t>
      </w:r>
    </w:p>
    <w:p>
      <w:pPr>
        <w:pStyle w:val="Normal"/>
        <w:spacing w:lineRule="auto" w:line="240" w:before="0" w:after="0"/>
        <w:rPr/>
      </w:pPr>
      <w:r>
        <w:rPr/>
      </w:r>
    </w:p>
    <w:p>
      <w:pPr>
        <w:pStyle w:val="Normal"/>
        <w:spacing w:lineRule="auto" w:line="240" w:before="0" w:after="0"/>
        <w:rPr/>
      </w:pPr>
      <w:r>
        <w:rPr/>
        <w:t>Finding differentially expressed features (cluster biomarkers) and plot unique marker gene violin plot.</w:t>
      </w:r>
    </w:p>
    <w:p>
      <w:pPr>
        <w:pStyle w:val="Normal"/>
        <w:spacing w:lineRule="auto" w:line="240" w:before="0" w:after="0"/>
        <w:rPr/>
      </w:pPr>
      <w:r>
        <w:rPr/>
        <w:t>Find markers for every cluster compared to all remaining cells, annotate cell clusters based on the known marker genes of respective cell types and rename clusters accordingly.</w:t>
      </w:r>
    </w:p>
    <w:p>
      <w:pPr>
        <w:pStyle w:val="Normal"/>
        <w:spacing w:lineRule="auto" w:line="240" w:before="0" w:after="0"/>
        <w:rPr>
          <w:color w:val="00B0F0"/>
        </w:rPr>
      </w:pPr>
      <w:r>
        <w:rPr>
          <w:color w:val="00B0F0"/>
        </w:rPr>
        <w:t># Question 4:</w:t>
      </w:r>
    </w:p>
    <w:p>
      <w:pPr>
        <w:pStyle w:val="Normal"/>
        <w:spacing w:lineRule="auto" w:line="240" w:before="0" w:after="0"/>
        <w:rPr>
          <w:color w:val="00B0F0"/>
        </w:rPr>
      </w:pPr>
      <w:r>
        <w:rPr>
          <w:color w:val="00B0F0"/>
        </w:rPr>
        <w:t xml:space="preserve"># Find unique markers for each cell clusters and select two unique marker genes for each cluster. Then plot the expression of the selected marker genes for all clusters using violin plot. Save the plot as file " Q4_Single_Sample_CellCluster_uniqueMarkers.png". </w:t>
      </w:r>
    </w:p>
    <w:p>
      <w:pPr>
        <w:pStyle w:val="Normal"/>
        <w:spacing w:lineRule="auto" w:line="240" w:before="0" w:after="0"/>
        <w:rPr/>
      </w:pPr>
      <w:r>
        <w:rPr/>
      </w:r>
    </w:p>
    <w:p>
      <w:pPr>
        <w:pStyle w:val="Normal"/>
        <w:spacing w:lineRule="auto" w:line="240" w:before="0" w:after="0"/>
        <w:rPr>
          <w:b/>
          <w:bCs/>
          <w:color w:val="C00000"/>
        </w:rPr>
      </w:pPr>
      <w:r>
        <w:rPr>
          <w:b/>
          <w:bCs/>
          <w:color w:val="C00000"/>
        </w:rPr>
        <w:t>Part 2 — Analyzing multiple scRNA-seq samples</w:t>
      </w:r>
    </w:p>
    <w:p>
      <w:pPr>
        <w:pStyle w:val="Normal"/>
        <w:spacing w:lineRule="auto" w:line="240" w:before="0" w:after="0"/>
        <w:rPr/>
      </w:pPr>
      <w:r>
        <w:rPr/>
        <w:t xml:space="preserve">When you have more than one samples generated for an experiment these samples could come from different donors or conditions. They could be processed by different technicians, using different batches of reagent, or by different research centers. These differences could introduce batch effects. In these situations, the cells could cluster by donor/condition/batch instead of by cell types which makes downstream analysis challenging. Integrative analysis can help to match shared cell types and states across datasets, which can boost statistical power, and most importantly, facilitate accurate comparative analysis across datasets. </w:t>
      </w:r>
    </w:p>
    <w:p>
      <w:pPr>
        <w:pStyle w:val="Normal"/>
        <w:spacing w:lineRule="auto" w:line="240" w:before="0" w:after="0"/>
        <w:rPr/>
      </w:pPr>
      <w:r>
        <w:rPr/>
        <w:t>Tutorial web page:</w:t>
      </w:r>
    </w:p>
    <w:p>
      <w:pPr>
        <w:pStyle w:val="Normal"/>
        <w:spacing w:lineRule="auto" w:line="240" w:before="0" w:after="0"/>
        <w:rPr>
          <w:rStyle w:val="Hyperlink"/>
        </w:rPr>
      </w:pPr>
      <w:hyperlink r:id="rId5">
        <w:r>
          <w:rPr>
            <w:rStyle w:val="Hyperlink"/>
          </w:rPr>
          <w:t>https://satijalab.org/seurat/articles/integration_introduction</w:t>
        </w:r>
      </w:hyperlink>
    </w:p>
    <w:p>
      <w:pPr>
        <w:pStyle w:val="Normal"/>
        <w:spacing w:lineRule="auto" w:line="240" w:before="0" w:after="0"/>
        <w:rPr/>
      </w:pPr>
      <w:r>
        <w:rPr/>
      </w:r>
    </w:p>
    <w:p>
      <w:pPr>
        <w:pStyle w:val="Normal"/>
        <w:spacing w:lineRule="auto" w:line="240" w:before="0" w:after="0"/>
        <w:rPr>
          <w:color w:val="C00000"/>
        </w:rPr>
      </w:pPr>
      <w:r>
        <w:rPr>
          <w:color w:val="C00000"/>
        </w:rPr>
        <w:t>Experimental data</w:t>
      </w:r>
    </w:p>
    <w:p>
      <w:pPr>
        <w:pStyle w:val="Normal"/>
        <w:spacing w:lineRule="auto" w:line="240" w:before="0" w:after="0"/>
        <w:rPr/>
      </w:pPr>
      <w:r>
        <w:rPr/>
        <w:t xml:space="preserve">We will use the human PBMC from two conditions, interferon-stimulated and control cells. This practice will perform data analysis with and without integration. By comparing the results, it should be clear why integrated analysis is better than analysis without integration. </w:t>
      </w:r>
    </w:p>
    <w:p>
      <w:pPr>
        <w:pStyle w:val="Normal"/>
        <w:spacing w:lineRule="auto" w:line="240" w:before="0" w:after="0"/>
        <w:rPr/>
      </w:pPr>
      <w:r>
        <w:rPr/>
      </w:r>
    </w:p>
    <w:p>
      <w:pPr>
        <w:pStyle w:val="Normal"/>
        <w:spacing w:lineRule="auto" w:line="240" w:before="0" w:after="0"/>
        <w:rPr/>
      </w:pPr>
      <w:r>
        <w:rPr/>
        <w:t>Read the “Integration goals” and “Setup the Seurat objects” sections to install and load the dataset.</w:t>
      </w:r>
    </w:p>
    <w:p>
      <w:pPr>
        <w:pStyle w:val="Normal"/>
        <w:spacing w:lineRule="auto" w:line="240" w:before="0" w:after="0"/>
        <w:rPr/>
      </w:pPr>
      <w:r>
        <w:rPr/>
      </w:r>
    </w:p>
    <w:p>
      <w:pPr>
        <w:pStyle w:val="Normal"/>
        <w:spacing w:lineRule="auto" w:line="240" w:before="0" w:after="0"/>
        <w:rPr>
          <w:color w:val="00B0F0"/>
        </w:rPr>
      </w:pPr>
      <w:r>
        <w:rPr>
          <w:color w:val="00B0F0"/>
        </w:rPr>
        <w:t xml:space="preserve"># Question 5: </w:t>
      </w:r>
    </w:p>
    <w:p>
      <w:pPr>
        <w:pStyle w:val="Normal"/>
        <w:spacing w:lineRule="auto" w:line="240" w:before="0" w:after="0"/>
        <w:rPr>
          <w:color w:val="00B0F0"/>
        </w:rPr>
      </w:pPr>
      <w:r>
        <w:rPr>
          <w:color w:val="00B0F0"/>
        </w:rPr>
        <w:t xml:space="preserve">Take a look of the metadata table to find out where is the information about stimulation status and cell type annotation was stored in the object. Show how many cells in each of the conditions and how many cells in each cell type. We will use the cell type information stored in the original object as the “gold standard” to evaluate the cell clustering results. </w:t>
      </w:r>
    </w:p>
    <w:p>
      <w:pPr>
        <w:pStyle w:val="Normal"/>
        <w:spacing w:lineRule="auto" w:line="240" w:before="0" w:after="0"/>
        <w:rPr/>
      </w:pPr>
      <w:r>
        <w:rPr/>
      </w:r>
    </w:p>
    <w:p>
      <w:pPr>
        <w:pStyle w:val="Normal"/>
        <w:spacing w:lineRule="auto" w:line="240" w:before="0" w:after="0"/>
        <w:rPr/>
      </w:pPr>
      <w:r>
        <w:rPr/>
        <w:t xml:space="preserve">Note: understand the data structure and know where values were stored. Take a look at the “RNA” assay before and after the following split function. What happened to the object and which part of the object changed? </w:t>
      </w:r>
    </w:p>
    <w:p>
      <w:pPr>
        <w:pStyle w:val="Normal"/>
        <w:spacing w:lineRule="auto" w:line="240" w:before="0" w:after="0"/>
        <w:rPr/>
      </w:pPr>
      <w:r>
        <w:rPr/>
      </w:r>
    </w:p>
    <w:p>
      <w:pPr>
        <w:pStyle w:val="Normal"/>
        <w:spacing w:lineRule="auto" w:line="240" w:before="0" w:after="0"/>
        <w:rPr/>
      </w:pPr>
      <w:r>
        <w:rPr/>
        <w:t># split the RNA measurements into two layers one for control cells, one for stimulated cells</w:t>
      </w:r>
    </w:p>
    <w:p>
      <w:pPr>
        <w:pStyle w:val="Normal"/>
        <w:spacing w:lineRule="auto" w:line="240" w:before="0" w:after="0"/>
        <w:rPr/>
      </w:pPr>
      <w:r>
        <w:rPr/>
        <w:t xml:space="preserve">ifnb[["RNA"]] &lt;- </w:t>
      </w:r>
      <w:hyperlink r:id="rId6">
        <w:r>
          <w:rPr>
            <w:rStyle w:val="Hyperlink"/>
            <w:color w:val="auto"/>
          </w:rPr>
          <w:t>split</w:t>
        </w:r>
      </w:hyperlink>
      <w:r>
        <w:rPr/>
        <w:t>(ifnb[["RNA"]], f = ifnb$stim)</w:t>
      </w:r>
    </w:p>
    <w:p>
      <w:pPr>
        <w:pStyle w:val="Normal"/>
        <w:spacing w:lineRule="auto" w:line="240" w:before="0" w:after="0"/>
        <w:rPr/>
      </w:pPr>
      <w:r>
        <w:rPr/>
        <w:t>ifnb</w:t>
      </w:r>
    </w:p>
    <w:p>
      <w:pPr>
        <w:pStyle w:val="Normal"/>
        <w:spacing w:lineRule="auto" w:line="240" w:before="0" w:after="0"/>
        <w:rPr>
          <w:color w:themeColor="text2" w:themeTint="80" w:val="4C94D8"/>
        </w:rPr>
      </w:pPr>
      <w:r>
        <w:rPr>
          <w:color w:themeColor="text2" w:themeTint="80" w:val="4C94D8"/>
        </w:rPr>
      </w:r>
    </w:p>
    <w:p>
      <w:pPr>
        <w:pStyle w:val="Normal"/>
        <w:spacing w:lineRule="auto" w:line="240" w:before="0" w:after="0"/>
        <w:rPr>
          <w:color w:val="C00000"/>
        </w:rPr>
      </w:pPr>
      <w:r>
        <w:rPr>
          <w:color w:val="C00000"/>
        </w:rPr>
        <w:t>Perform analysis without integration</w:t>
      </w:r>
    </w:p>
    <w:p>
      <w:pPr>
        <w:pStyle w:val="Normal"/>
        <w:spacing w:lineRule="auto" w:line="240" w:before="0" w:after="0"/>
        <w:rPr/>
      </w:pPr>
      <w:r>
        <w:rPr/>
        <w:t xml:space="preserve">Read this section in the tutorial.  Run through the example code and try to understand the code step by step. Take a look at the UMAP generated at the end of this analysis. </w:t>
      </w:r>
    </w:p>
    <w:p>
      <w:pPr>
        <w:pStyle w:val="Normal"/>
        <w:spacing w:lineRule="auto" w:line="240" w:before="0" w:after="0"/>
        <w:rPr>
          <w:color w:themeColor="text2" w:themeTint="80" w:val="4C94D8"/>
        </w:rPr>
      </w:pPr>
      <w:r>
        <w:rPr>
          <w:color w:themeColor="text2" w:themeTint="80" w:val="4C94D8"/>
        </w:rPr>
      </w:r>
    </w:p>
    <w:p>
      <w:pPr>
        <w:pStyle w:val="Normal"/>
        <w:spacing w:lineRule="auto" w:line="240" w:before="0" w:after="0"/>
        <w:rPr>
          <w:color w:val="00B0F0"/>
        </w:rPr>
      </w:pPr>
      <w:r>
        <w:rPr>
          <w:color w:val="00B0F0"/>
        </w:rPr>
        <w:t># Question 6:</w:t>
      </w:r>
    </w:p>
    <w:p>
      <w:pPr>
        <w:pStyle w:val="Normal"/>
        <w:spacing w:lineRule="auto" w:line="240" w:before="0" w:after="0"/>
        <w:rPr>
          <w:color w:val="00B0F0"/>
        </w:rPr>
      </w:pPr>
      <w:r>
        <w:rPr>
          <w:color w:val="00B0F0"/>
        </w:rPr>
        <w:t># run standard analysis workflow following the instruction on the website</w:t>
      </w:r>
    </w:p>
    <w:p>
      <w:pPr>
        <w:pStyle w:val="Normal"/>
        <w:spacing w:lineRule="auto" w:line="240" w:before="0" w:after="0"/>
        <w:rPr>
          <w:color w:val="00B0F0"/>
        </w:rPr>
      </w:pPr>
      <w:r>
        <w:rPr>
          <w:color w:val="00B0F0"/>
        </w:rPr>
        <w:t xml:space="preserve"># Provide comment for each line of code to explain what the command were trying to accomplish. Then generate two UMAP plots with cells grouped by stim condition and cluster respectively in a single file. Label the clusters with cluster IDs. Save the plot as file " Q6_Two_Samples_CellCluster_Without_Integration.png".  </w:t>
      </w:r>
    </w:p>
    <w:p>
      <w:pPr>
        <w:pStyle w:val="Normal"/>
        <w:spacing w:lineRule="auto" w:line="240" w:before="0" w:after="0"/>
        <w:rPr>
          <w:color w:val="00B0F0"/>
        </w:rPr>
      </w:pPr>
      <w:r>
        <w:rPr>
          <w:color w:val="00B0F0"/>
        </w:rPr>
      </w:r>
    </w:p>
    <w:p>
      <w:pPr>
        <w:pStyle w:val="Normal"/>
        <w:spacing w:lineRule="auto" w:line="240" w:before="0" w:after="0"/>
        <w:rPr>
          <w:color w:val="00B0F0"/>
        </w:rPr>
      </w:pPr>
      <w:r>
        <w:rPr>
          <w:color w:val="00B0F0"/>
        </w:rPr>
        <w:t># Question 7:</w:t>
      </w:r>
    </w:p>
    <w:p>
      <w:pPr>
        <w:pStyle w:val="Normal"/>
        <w:spacing w:lineRule="auto" w:line="240" w:before="0" w:after="0"/>
        <w:rPr>
          <w:color w:val="00B0F0"/>
        </w:rPr>
      </w:pPr>
      <w:r>
        <w:rPr>
          <w:color w:val="00B0F0"/>
        </w:rPr>
        <w:t xml:space="preserve"># Compare cluster ID with the cell type labels that are pre-loaded in the  “seurat_annotations” metadata column. Provide a table with rows being cell cluster ID and columns being the original cell annotation names. Save the table as file "Q7_Two_Samples_CellCluster_Without_Integration_CellAnnotation.csv".  </w:t>
      </w:r>
    </w:p>
    <w:p>
      <w:pPr>
        <w:pStyle w:val="Normal"/>
        <w:rPr>
          <w:color w:val="00B0F0"/>
        </w:rPr>
      </w:pPr>
      <w:r>
        <w:rPr>
          <w:color w:val="00B0F0"/>
        </w:rPr>
        <w:t>Which cluster(s) is “CD14 Mono”? Which cluster(s) is “CD16 Mono”? Which cluster(s) is “DC”?  What’s the problem with the current analysis?</w:t>
      </w:r>
    </w:p>
    <w:p>
      <w:pPr>
        <w:pStyle w:val="Normal"/>
        <w:spacing w:lineRule="auto" w:line="240" w:before="0" w:after="0"/>
        <w:rPr>
          <w:color w:val="C00000"/>
        </w:rPr>
      </w:pPr>
      <w:r>
        <w:rPr>
          <w:color w:val="C00000"/>
        </w:rPr>
        <w:t>Perform analysis with integration</w:t>
      </w:r>
    </w:p>
    <w:p>
      <w:pPr>
        <w:pStyle w:val="Normal"/>
        <w:spacing w:lineRule="auto" w:line="240" w:before="0" w:after="0"/>
        <w:rPr/>
      </w:pPr>
      <w:r>
        <w:rPr/>
        <w:t xml:space="preserve">Read this section in the tutorial.  Run through the example code and try to understand the code step by step. Take a look at the UMAP generated at the end of this analysis. </w:t>
      </w:r>
    </w:p>
    <w:p>
      <w:pPr>
        <w:pStyle w:val="Normal"/>
        <w:spacing w:lineRule="auto" w:line="240" w:before="0" w:after="0"/>
        <w:rPr/>
      </w:pPr>
      <w:r>
        <w:rPr/>
      </w:r>
    </w:p>
    <w:p>
      <w:pPr>
        <w:pStyle w:val="Normal"/>
        <w:spacing w:lineRule="auto" w:line="240" w:before="0" w:after="0"/>
        <w:rPr>
          <w:color w:val="00B0F0"/>
        </w:rPr>
      </w:pPr>
      <w:r>
        <w:rPr>
          <w:color w:val="00B0F0"/>
        </w:rPr>
        <w:t># Question 8:</w:t>
      </w:r>
    </w:p>
    <w:p>
      <w:pPr>
        <w:pStyle w:val="Normal"/>
        <w:spacing w:lineRule="auto" w:line="240" w:before="0" w:after="0"/>
        <w:rPr>
          <w:color w:val="00B0F0"/>
        </w:rPr>
      </w:pPr>
      <w:r>
        <w:rPr>
          <w:color w:val="00B0F0"/>
        </w:rPr>
        <w:t># run integrated analysis workflow following the instruction on the website</w:t>
      </w:r>
    </w:p>
    <w:p>
      <w:pPr>
        <w:pStyle w:val="Normal"/>
        <w:spacing w:lineRule="auto" w:line="240" w:before="0" w:after="0"/>
        <w:rPr>
          <w:color w:val="00B0F0"/>
        </w:rPr>
      </w:pPr>
      <w:r>
        <w:rPr>
          <w:color w:val="00B0F0"/>
        </w:rPr>
        <w:t># Provide comment for each line of code to explain what wase the command trying to accomplish. Then generate two UMAP plots with cells grouped by stim condition and cluster respectively in a single file. Label the clusters with cluster IDs. Save the plot as file " Q8_Two_Samples_CellCluster_With_Integration.png".</w:t>
      </w:r>
    </w:p>
    <w:p>
      <w:pPr>
        <w:pStyle w:val="Normal"/>
        <w:spacing w:lineRule="auto" w:line="240" w:before="0" w:after="0"/>
        <w:rPr/>
      </w:pPr>
      <w:r>
        <w:rPr/>
      </w:r>
    </w:p>
    <w:p>
      <w:pPr>
        <w:pStyle w:val="Normal"/>
        <w:spacing w:lineRule="auto" w:line="240" w:before="0" w:after="0"/>
        <w:rPr>
          <w:color w:val="00B0F0"/>
        </w:rPr>
      </w:pPr>
      <w:r>
        <w:rPr>
          <w:color w:val="00B0F0"/>
        </w:rPr>
        <w:t># Question 9:</w:t>
      </w:r>
    </w:p>
    <w:p>
      <w:pPr>
        <w:pStyle w:val="Normal"/>
        <w:spacing w:lineRule="auto" w:line="240" w:before="0" w:after="0"/>
        <w:rPr>
          <w:color w:val="00B0F0"/>
        </w:rPr>
      </w:pPr>
      <w:r>
        <w:rPr>
          <w:color w:val="00B0F0"/>
        </w:rPr>
        <w:t># Compare cluster ID with the cell type labels that are pre-loaded in  the “seurat_annotations” metadata column. Provide a table with rows being cell cluster ID and columns being the original cell annotation names. Save the table as file "Q9_Two_Samples_CellCluster_With_Integration_CellAnnotation.csv".  Which cluster(s) is “CD14 Mono”? Which cluster(s) is “CD16 Mono”? Which cluster(s) is “DC”?  Comparing to Question 8, what has changed?</w:t>
      </w:r>
      <w:r>
        <w:rPr/>
        <w:t xml:space="preserve"> </w:t>
      </w:r>
      <w:r>
        <w:rPr>
          <w:color w:val="00B0F0"/>
        </w:rPr>
        <w:t>Why this analysis is better than the analysis without integration.</w:t>
      </w:r>
    </w:p>
    <w:p>
      <w:pPr>
        <w:pStyle w:val="Normal"/>
        <w:spacing w:lineRule="auto" w:line="240" w:before="0" w:after="0"/>
        <w:rPr/>
      </w:pPr>
      <w:r>
        <w:rPr/>
      </w:r>
    </w:p>
    <w:p>
      <w:pPr>
        <w:pStyle w:val="Normal"/>
        <w:spacing w:lineRule="auto" w:line="240" w:before="0" w:after="0"/>
        <w:rPr/>
      </w:pPr>
      <w:r>
        <w:rPr/>
        <w:t>Identify conserved cell type markers and cell type annotations</w:t>
      </w:r>
    </w:p>
    <w:p>
      <w:pPr>
        <w:pStyle w:val="Normal"/>
        <w:spacing w:lineRule="auto" w:line="240" w:before="0" w:after="0"/>
        <w:rPr/>
      </w:pPr>
      <w:r>
        <w:rPr/>
        <w:t>Read the section “Identify conserved cell type markers “ and run the code provided by the tutorial. However, when you are analyzing a new dataset you don’t know which cluster is what. So you need to first identify conserved cell cluster markers by cluster IDs. Then you try to compare these conserved markers with known marker genes of potential cell types or use cell annotation tools to annotate the clusters.</w:t>
      </w:r>
    </w:p>
    <w:p>
      <w:pPr>
        <w:pStyle w:val="Normal"/>
        <w:spacing w:lineRule="auto" w:line="240" w:before="0" w:after="0"/>
        <w:rPr>
          <w:color w:val="00B0F0"/>
        </w:rPr>
      </w:pPr>
      <w:r>
        <w:rPr>
          <w:color w:val="00B0F0"/>
        </w:rPr>
        <w:t># Question 10:</w:t>
      </w:r>
    </w:p>
    <w:p>
      <w:pPr>
        <w:pStyle w:val="Normal"/>
        <w:spacing w:lineRule="auto" w:line="240" w:before="0" w:after="0"/>
        <w:rPr/>
      </w:pPr>
      <w:r>
        <w:rPr>
          <w:color w:val="00B0F0"/>
        </w:rPr>
        <w:t xml:space="preserve"># Find conserved markers for cell cluster 0. Find out what’s the default statistics test and significance cutoff was used. Provide the command and the rational for selected parameters. What was the cell type cluster 0 annotated as in the original object? Provide evidence and rationale why cluster 0 should be annotated as that cell type. </w:t>
      </w:r>
    </w:p>
    <w:p>
      <w:pPr>
        <w:pStyle w:val="Normal"/>
        <w:spacing w:lineRule="auto" w:line="240" w:before="0" w:after="0"/>
        <w:rPr/>
      </w:pPr>
      <w:r>
        <w:rPr/>
      </w:r>
    </w:p>
    <w:p>
      <w:pPr>
        <w:pStyle w:val="Normal"/>
        <w:spacing w:lineRule="auto" w:line="240" w:before="0" w:after="0"/>
        <w:rPr/>
      </w:pPr>
      <w:r>
        <w:rPr/>
        <w:t>Identify differential expressed genes across conditions</w:t>
      </w:r>
    </w:p>
    <w:p>
      <w:pPr>
        <w:pStyle w:val="Normal"/>
        <w:spacing w:lineRule="auto" w:line="240" w:before="0" w:after="0"/>
        <w:rPr/>
      </w:pPr>
      <w:r>
        <w:rPr/>
        <w:t xml:space="preserve">Read the section and run the code provided by the tutorial. Think about the limitation of the current data in the identification of differential expressed genes across conditions. </w:t>
      </w:r>
    </w:p>
    <w:p>
      <w:pPr>
        <w:pStyle w:val="Normal"/>
        <w:spacing w:lineRule="auto" w:line="240" w:before="0" w:after="0"/>
        <w:rPr>
          <w:color w:themeColor="text2" w:themeTint="80" w:val="4C94D8"/>
        </w:rPr>
      </w:pPr>
      <w:r>
        <w:rPr>
          <w:color w:themeColor="text2" w:themeTint="80" w:val="4C94D8"/>
        </w:rPr>
      </w:r>
    </w:p>
    <w:p>
      <w:pPr>
        <w:pStyle w:val="Normal"/>
        <w:spacing w:lineRule="auto" w:line="240" w:before="0" w:after="0"/>
        <w:rPr>
          <w:color w:val="C00000"/>
        </w:rPr>
      </w:pPr>
      <w:r>
        <w:rPr>
          <w:color w:val="C00000"/>
        </w:rPr>
        <w:t xml:space="preserve">What to turn in (*submission folder:  </w:t>
      </w:r>
    </w:p>
    <w:p>
      <w:pPr>
        <w:pStyle w:val="Normal"/>
        <w:spacing w:lineRule="auto" w:line="240" w:before="0" w:after="0"/>
        <w:rPr/>
      </w:pPr>
      <w:r>
        <w:rPr/>
        <w:t>/storage1/fs1/workshops/Active/BIO5488/SP202</w:t>
      </w:r>
      <w:r>
        <w:rPr/>
        <w:t>6</w:t>
      </w:r>
      <w:r>
        <w:rPr/>
        <w:t xml:space="preserve">.L41.BIOL.5488.01/Assignments/A06/Users/&lt;wustlkey&gt;)   </w:t>
      </w:r>
    </w:p>
    <w:p>
      <w:pPr>
        <w:pStyle w:val="ListParagraph"/>
        <w:numPr>
          <w:ilvl w:val="0"/>
          <w:numId w:val="1"/>
        </w:numPr>
        <w:spacing w:lineRule="auto" w:line="240" w:before="0" w:after="0"/>
        <w:contextualSpacing/>
        <w:rPr/>
      </w:pPr>
      <w:r>
        <w:rPr>
          <w:rFonts w:hint="eastAsia"/>
        </w:rPr>
        <w:t xml:space="preserve">Edited script: </w:t>
      </w:r>
      <w:r>
        <w:rPr/>
        <w:t>Bio5488_scRNAseq_Homework_Assignment.Rmd</w:t>
      </w:r>
    </w:p>
    <w:p>
      <w:pPr>
        <w:pStyle w:val="ListParagraph"/>
        <w:numPr>
          <w:ilvl w:val="0"/>
          <w:numId w:val="1"/>
        </w:numPr>
        <w:spacing w:lineRule="auto" w:line="240" w:before="0" w:after="0"/>
        <w:contextualSpacing/>
        <w:rPr/>
      </w:pPr>
      <w:r>
        <w:rPr>
          <w:rFonts w:hint="eastAsia"/>
        </w:rPr>
        <w:t>Output files</w:t>
      </w:r>
    </w:p>
    <w:p>
      <w:pPr>
        <w:pStyle w:val="ListParagraph"/>
        <w:numPr>
          <w:ilvl w:val="0"/>
          <w:numId w:val="2"/>
        </w:numPr>
        <w:spacing w:lineRule="auto" w:line="240" w:before="0" w:after="0"/>
        <w:contextualSpacing/>
        <w:rPr>
          <w:color w:val="00B0F0"/>
        </w:rPr>
      </w:pPr>
      <w:r>
        <w:rPr>
          <w:color w:val="00B0F0"/>
        </w:rPr>
        <w:t xml:space="preserve">Q2_Single_Sample_After_QC_QualityStatistics.png  </w:t>
      </w:r>
    </w:p>
    <w:p>
      <w:pPr>
        <w:pStyle w:val="ListParagraph"/>
        <w:numPr>
          <w:ilvl w:val="0"/>
          <w:numId w:val="2"/>
        </w:numPr>
        <w:spacing w:lineRule="auto" w:line="240" w:before="0" w:after="0"/>
        <w:contextualSpacing/>
        <w:rPr>
          <w:color w:val="00B0F0"/>
        </w:rPr>
      </w:pPr>
      <w:r>
        <w:rPr>
          <w:color w:val="00B0F0"/>
        </w:rPr>
        <w:t xml:space="preserve">Q3_Single_Sample_CellCluster_QualityStatistics.png  </w:t>
      </w:r>
    </w:p>
    <w:p>
      <w:pPr>
        <w:pStyle w:val="ListParagraph"/>
        <w:numPr>
          <w:ilvl w:val="0"/>
          <w:numId w:val="2"/>
        </w:numPr>
        <w:spacing w:lineRule="auto" w:line="240" w:before="0" w:after="0"/>
        <w:contextualSpacing/>
        <w:rPr>
          <w:color w:val="00B0F0"/>
        </w:rPr>
      </w:pPr>
      <w:r>
        <w:rPr>
          <w:color w:val="00B0F0"/>
        </w:rPr>
        <w:t>Q4_Single_Sample_CellCluster_uniqueMarkers.png</w:t>
      </w:r>
    </w:p>
    <w:p>
      <w:pPr>
        <w:pStyle w:val="ListParagraph"/>
        <w:numPr>
          <w:ilvl w:val="0"/>
          <w:numId w:val="2"/>
        </w:numPr>
        <w:spacing w:lineRule="auto" w:line="240" w:before="0" w:after="0"/>
        <w:contextualSpacing/>
        <w:rPr>
          <w:color w:val="00B0F0"/>
        </w:rPr>
      </w:pPr>
      <w:r>
        <w:rPr>
          <w:color w:val="00B0F0"/>
        </w:rPr>
        <w:t>Q6_Two_Samples_CellCluster_Without_Integration.png</w:t>
      </w:r>
    </w:p>
    <w:p>
      <w:pPr>
        <w:pStyle w:val="ListParagraph"/>
        <w:numPr>
          <w:ilvl w:val="0"/>
          <w:numId w:val="2"/>
        </w:numPr>
        <w:spacing w:lineRule="auto" w:line="240" w:before="0" w:after="0"/>
        <w:contextualSpacing/>
        <w:rPr>
          <w:color w:val="00B0F0"/>
        </w:rPr>
      </w:pPr>
      <w:r>
        <w:rPr>
          <w:color w:val="00B0F0"/>
        </w:rPr>
        <w:t>Q7_Two_Samples_CellCluster_Without_Integration_CellAnnotation.csv</w:t>
      </w:r>
    </w:p>
    <w:p>
      <w:pPr>
        <w:pStyle w:val="ListParagraph"/>
        <w:numPr>
          <w:ilvl w:val="0"/>
          <w:numId w:val="2"/>
        </w:numPr>
        <w:spacing w:lineRule="auto" w:line="240" w:before="0" w:after="0"/>
        <w:contextualSpacing/>
        <w:rPr>
          <w:color w:val="00B0F0"/>
        </w:rPr>
      </w:pPr>
      <w:r>
        <w:rPr>
          <w:color w:val="00B0F0"/>
        </w:rPr>
        <w:t>Q8_Two_Samples_CellCluster_With_Integration.png</w:t>
      </w:r>
    </w:p>
    <w:p>
      <w:pPr>
        <w:pStyle w:val="ListParagraph"/>
        <w:numPr>
          <w:ilvl w:val="0"/>
          <w:numId w:val="2"/>
        </w:numPr>
        <w:spacing w:lineRule="auto" w:line="240" w:before="0" w:after="0"/>
        <w:contextualSpacing/>
        <w:rPr>
          <w:color w:val="00B0F0"/>
        </w:rPr>
      </w:pPr>
      <w:r>
        <w:rPr>
          <w:color w:val="00B0F0"/>
        </w:rPr>
        <w:t>Q9_Two_Samples_CellCluster_With_Integration_CellAnnotation.csv</w:t>
      </w:r>
    </w:p>
    <w:p>
      <w:pPr>
        <w:pStyle w:val="Normal"/>
        <w:spacing w:lineRule="auto" w:line="240" w:before="0" w:after="0"/>
        <w:rPr/>
      </w:pPr>
      <w:r>
        <w:rPr/>
      </w:r>
    </w:p>
    <w:p>
      <w:pPr>
        <w:pStyle w:val="ListParagraph"/>
        <w:numPr>
          <w:ilvl w:val="0"/>
          <w:numId w:val="1"/>
        </w:numPr>
        <w:spacing w:lineRule="auto" w:line="240" w:before="0" w:after="0"/>
        <w:contextualSpacing/>
        <w:rPr/>
      </w:pPr>
      <w:r>
        <w:rPr>
          <w:rFonts w:hint="eastAsia"/>
        </w:rPr>
        <w:t>Your README.txt with the answers to the questions and the commands you used to answer the questions</w:t>
      </w:r>
    </w:p>
    <w:p>
      <w:pPr>
        <w:pStyle w:val="ListParagraph"/>
        <w:spacing w:lineRule="auto" w:line="240" w:before="0" w:after="0"/>
        <w:contextualSpacing/>
        <w:rPr/>
      </w:pPr>
      <w:r>
        <w:rPr/>
      </w:r>
    </w:p>
    <w:p>
      <w:pPr>
        <w:pStyle w:val="Normal"/>
        <w:spacing w:lineRule="auto" w:line="240" w:before="0" w:after="0"/>
        <w:rPr/>
      </w:pPr>
      <w:r>
        <w:rPr/>
      </w:r>
    </w:p>
    <w:p>
      <w:pPr>
        <w:pStyle w:val="Normal"/>
        <w:spacing w:lineRule="auto" w:line="240" w:before="0" w:after="0"/>
        <w:rPr>
          <w:color w:val="C00000"/>
        </w:rPr>
      </w:pPr>
      <w:r>
        <w:rPr>
          <w:color w:val="C00000"/>
        </w:rPr>
        <w:t xml:space="preserve">Note: </w:t>
      </w:r>
    </w:p>
    <w:p>
      <w:pPr>
        <w:pStyle w:val="Normal"/>
        <w:spacing w:lineRule="auto" w:line="240" w:before="0" w:after="0"/>
        <w:rPr/>
      </w:pPr>
      <w:r>
        <w:rPr/>
        <w:t>You can only cd or ls directly into your own submission and work directories with your wustlkey as students do not have access to the Users directory. Make sure you use the complete directory path. Also, we strongly encourage you to not change the names of your submission files so we can expedite the grading process.</w:t>
      </w:r>
    </w:p>
    <w:sectPr>
      <w:headerReference w:type="even" r:id="rId7"/>
      <w:headerReference w:type="default" r:id="rId8"/>
      <w:headerReference w:type="first" r:id="rId9"/>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8" w:before="0" w:after="160"/>
      <w:jc w:val="left"/>
      <w:rPr/>
    </w:pPr>
    <w:r>
      <w:rPr/>
      <w:t xml:space="preserve">Bio5488, Spring 2025 </w:t>
      <w:tab/>
      <w:tab/>
      <w:tab/>
      <w:t xml:space="preserve">Assignment 7 single cell/nucleus RNA-seq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8" w:before="0" w:after="160"/>
      <w:jc w:val="left"/>
      <w:rPr/>
    </w:pPr>
    <w:r>
      <w:rPr/>
      <w:t xml:space="preserve">Bio5488, Spring 2025 </w:t>
      <w:tab/>
      <w:tab/>
      <w:tab/>
      <w:t xml:space="preserve">Assignment 7 single cell/nucleus RNA-seq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080" w:hanging="72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等线" w:cs=""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0b1a48"/>
    <w:pPr>
      <w:keepNext w:val="true"/>
      <w:keepLines/>
      <w:spacing w:before="360" w:after="80"/>
      <w:outlineLvl w:val="0"/>
    </w:pPr>
    <w:rPr>
      <w:rFonts w:ascii="Aptos Display" w:hAnsi="Aptos Display" w:eastAsia="等线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b1a48"/>
    <w:pPr>
      <w:keepNext w:val="true"/>
      <w:keepLines/>
      <w:spacing w:before="160" w:after="80"/>
      <w:outlineLvl w:val="1"/>
    </w:pPr>
    <w:rPr>
      <w:rFonts w:ascii="Aptos Display" w:hAnsi="Aptos Display" w:eastAsia="等线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b1a48"/>
    <w:pPr>
      <w:keepNext w:val="true"/>
      <w:keepLines/>
      <w:spacing w:before="160" w:after="80"/>
      <w:outlineLvl w:val="2"/>
    </w:pPr>
    <w:rPr>
      <w:rFonts w:eastAsia="等线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b1a48"/>
    <w:pPr>
      <w:keepNext w:val="true"/>
      <w:keepLines/>
      <w:spacing w:before="80" w:after="40"/>
      <w:outlineLvl w:val="3"/>
    </w:pPr>
    <w:rPr>
      <w:rFonts w:eastAsia="等线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b1a48"/>
    <w:pPr>
      <w:keepNext w:val="true"/>
      <w:keepLines/>
      <w:spacing w:before="80" w:after="40"/>
      <w:outlineLvl w:val="4"/>
    </w:pPr>
    <w:rPr>
      <w:rFonts w:eastAsia="等线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b1a48"/>
    <w:pPr>
      <w:keepNext w:val="true"/>
      <w:keepLines/>
      <w:spacing w:before="40" w:after="0"/>
      <w:outlineLvl w:val="5"/>
    </w:pPr>
    <w:rPr>
      <w:rFonts w:eastAsia="等线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b1a48"/>
    <w:pPr>
      <w:keepNext w:val="true"/>
      <w:keepLines/>
      <w:spacing w:before="40" w:after="0"/>
      <w:outlineLvl w:val="6"/>
    </w:pPr>
    <w:rPr>
      <w:rFonts w:eastAsia="等线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b1a48"/>
    <w:pPr>
      <w:keepNext w:val="true"/>
      <w:keepLines/>
      <w:spacing w:before="0" w:after="0"/>
      <w:outlineLvl w:val="7"/>
    </w:pPr>
    <w:rPr>
      <w:rFonts w:eastAsia="等线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b1a48"/>
    <w:pPr>
      <w:keepNext w:val="true"/>
      <w:keepLines/>
      <w:spacing w:before="0" w:after="0"/>
      <w:outlineLvl w:val="8"/>
    </w:pPr>
    <w:rPr>
      <w:rFonts w:eastAsia="等线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b1a48"/>
    <w:rPr>
      <w:rFonts w:ascii="Aptos Display" w:hAnsi="Aptos Display" w:eastAsia="等线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0b1a48"/>
    <w:rPr>
      <w:rFonts w:ascii="Aptos Display" w:hAnsi="Aptos Display" w:eastAsia="等线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b1a48"/>
    <w:rPr>
      <w:rFonts w:eastAsia="等线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b1a48"/>
    <w:rPr>
      <w:rFonts w:eastAsia="等线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b1a48"/>
    <w:rPr>
      <w:rFonts w:eastAsia="等线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b1a48"/>
    <w:rPr>
      <w:rFonts w:eastAsia="等线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b1a48"/>
    <w:rPr>
      <w:rFonts w:eastAsia="等线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b1a48"/>
    <w:rPr>
      <w:rFonts w:eastAsia="等线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b1a48"/>
    <w:rPr>
      <w:rFonts w:eastAsia="等线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0b1a48"/>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b1a48"/>
    <w:rPr>
      <w:rFonts w:eastAsia="等线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b1a48"/>
    <w:rPr>
      <w:i/>
      <w:iCs/>
      <w:color w:themeColor="text1" w:themeTint="bf" w:val="404040"/>
    </w:rPr>
  </w:style>
  <w:style w:type="character" w:styleId="IntenseEmphasis">
    <w:name w:val="Intense Emphasis"/>
    <w:basedOn w:val="DefaultParagraphFont"/>
    <w:uiPriority w:val="21"/>
    <w:qFormat/>
    <w:rsid w:val="000b1a48"/>
    <w:rPr>
      <w:i/>
      <w:iCs/>
      <w:color w:themeColor="accent1" w:themeShade="bf" w:val="0F4761"/>
    </w:rPr>
  </w:style>
  <w:style w:type="character" w:styleId="IntenseQuoteChar" w:customStyle="1">
    <w:name w:val="Intense Quote Char"/>
    <w:basedOn w:val="DefaultParagraphFont"/>
    <w:link w:val="IntenseQuote"/>
    <w:uiPriority w:val="30"/>
    <w:qFormat/>
    <w:rsid w:val="000b1a48"/>
    <w:rPr>
      <w:i/>
      <w:iCs/>
      <w:color w:themeColor="accent1" w:themeShade="bf" w:val="0F4761"/>
    </w:rPr>
  </w:style>
  <w:style w:type="character" w:styleId="IntenseReference">
    <w:name w:val="Intense Reference"/>
    <w:basedOn w:val="DefaultParagraphFont"/>
    <w:uiPriority w:val="32"/>
    <w:qFormat/>
    <w:rsid w:val="000b1a48"/>
    <w:rPr>
      <w:b/>
      <w:bCs/>
      <w:smallCaps/>
      <w:color w:themeColor="accent1" w:themeShade="bf" w:val="0F4761"/>
      <w:spacing w:val="5"/>
    </w:rPr>
  </w:style>
  <w:style w:type="character" w:styleId="HeaderChar" w:customStyle="1">
    <w:name w:val="Header Char"/>
    <w:basedOn w:val="DefaultParagraphFont"/>
    <w:link w:val="Header"/>
    <w:uiPriority w:val="99"/>
    <w:qFormat/>
    <w:rsid w:val="00084d22"/>
    <w:rPr/>
  </w:style>
  <w:style w:type="character" w:styleId="FooterChar" w:customStyle="1">
    <w:name w:val="Footer Char"/>
    <w:basedOn w:val="DefaultParagraphFont"/>
    <w:link w:val="Footer"/>
    <w:uiPriority w:val="99"/>
    <w:qFormat/>
    <w:rsid w:val="00084d22"/>
    <w:rPr/>
  </w:style>
  <w:style w:type="character" w:styleId="Hyperlink">
    <w:name w:val="Hyperlink"/>
    <w:basedOn w:val="DefaultParagraphFont"/>
    <w:uiPriority w:val="99"/>
    <w:unhideWhenUsed/>
    <w:rsid w:val="00b606cd"/>
    <w:rPr>
      <w:color w:themeColor="hyperlink" w:val="467886"/>
      <w:u w:val="single"/>
    </w:rPr>
  </w:style>
  <w:style w:type="character" w:styleId="UnresolvedMention">
    <w:name w:val="Unresolved Mention"/>
    <w:basedOn w:val="DefaultParagraphFont"/>
    <w:uiPriority w:val="99"/>
    <w:semiHidden/>
    <w:unhideWhenUsed/>
    <w:qFormat/>
    <w:rsid w:val="00b606cd"/>
    <w:rPr>
      <w:color w:val="605E5C"/>
      <w:shd w:fill="E1DFDD" w:val="clear"/>
    </w:rPr>
  </w:style>
  <w:style w:type="character" w:styleId="FollowedHyperlink">
    <w:name w:val="FollowedHyperlink"/>
    <w:basedOn w:val="DefaultParagraphFont"/>
    <w:uiPriority w:val="99"/>
    <w:semiHidden/>
    <w:unhideWhenUsed/>
    <w:rsid w:val="00d6488a"/>
    <w:rPr>
      <w:color w:themeColor="followedHyperlink" w:val="96607D"/>
      <w:u w:val="single"/>
    </w:rPr>
  </w:style>
  <w:style w:type="character" w:styleId="HTMLPreformattedChar" w:customStyle="1">
    <w:name w:val="HTML Preformatted Char"/>
    <w:basedOn w:val="DefaultParagraphFont"/>
    <w:link w:val="HTMLPreformatted"/>
    <w:uiPriority w:val="99"/>
    <w:semiHidden/>
    <w:qFormat/>
    <w:rsid w:val="001d1846"/>
    <w:rPr>
      <w:rFonts w:ascii="Consolas" w:hAnsi="Consola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b1a48"/>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b1a48"/>
    <w:pPr/>
    <w:rPr>
      <w:rFonts w:eastAsia="等线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b1a48"/>
    <w:pPr>
      <w:spacing w:before="160" w:after="160"/>
      <w:jc w:val="center"/>
    </w:pPr>
    <w:rPr>
      <w:i/>
      <w:iCs/>
      <w:color w:themeColor="text1" w:themeTint="bf" w:val="404040"/>
    </w:rPr>
  </w:style>
  <w:style w:type="paragraph" w:styleId="ListParagraph">
    <w:name w:val="List Paragraph"/>
    <w:basedOn w:val="Normal"/>
    <w:uiPriority w:val="34"/>
    <w:qFormat/>
    <w:rsid w:val="000b1a48"/>
    <w:pPr>
      <w:spacing w:before="0" w:after="160"/>
      <w:ind w:left="720"/>
      <w:contextualSpacing/>
    </w:pPr>
    <w:rPr/>
  </w:style>
  <w:style w:type="paragraph" w:styleId="IntenseQuote">
    <w:name w:val="Intense Quote"/>
    <w:basedOn w:val="Normal"/>
    <w:next w:val="Normal"/>
    <w:link w:val="IntenseQuoteChar"/>
    <w:uiPriority w:val="30"/>
    <w:qFormat/>
    <w:rsid w:val="000b1a48"/>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084d2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84d22"/>
    <w:pPr>
      <w:tabs>
        <w:tab w:val="clear" w:pos="720"/>
        <w:tab w:val="center" w:pos="4680" w:leader="none"/>
        <w:tab w:val="right" w:pos="9360" w:leader="none"/>
      </w:tabs>
      <w:spacing w:lineRule="auto" w:line="240" w:before="0" w:after="0"/>
    </w:pPr>
    <w:rPr/>
  </w:style>
  <w:style w:type="paragraph" w:styleId="HTMLPreformatted">
    <w:name w:val="HTML Preformatted"/>
    <w:basedOn w:val="Normal"/>
    <w:link w:val="HTMLPreformattedChar"/>
    <w:uiPriority w:val="99"/>
    <w:semiHidden/>
    <w:unhideWhenUsed/>
    <w:qFormat/>
    <w:rsid w:val="001d1846"/>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atijalab.org/seurat/articles/pbmc3k_tutorial" TargetMode="External"/><Relationship Id="rId3" Type="http://schemas.openxmlformats.org/officeDocument/2006/relationships/hyperlink" Target="https://satijalab.org/seurat/articles/integration_introduction" TargetMode="External"/><Relationship Id="rId4" Type="http://schemas.openxmlformats.org/officeDocument/2006/relationships/hyperlink" Target="https://satijalab.org/seurat/articles/pbmc3k_tutorial" TargetMode="External"/><Relationship Id="rId5" Type="http://schemas.openxmlformats.org/officeDocument/2006/relationships/hyperlink" Target="https://satijalab.org/seurat/articles/integration_introduction" TargetMode="External"/><Relationship Id="rId6" Type="http://schemas.openxmlformats.org/officeDocument/2006/relationships/hyperlink" Target="https://rdrr.io/r/base/split.html"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C0169-604C-46CA-A0F7-8BBB8CB28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3750</TotalTime>
  <Application>LibreOffice/25.8.4.2$Linux_X86_64 LibreOffice_project/580$Build-2</Application>
  <AppVersion>15.0000</AppVersion>
  <Pages>7</Pages>
  <Words>1702</Words>
  <Characters>10241</Characters>
  <CharactersWithSpaces>11901</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2025-01-16T01:48:00Z</dcterms:created>
  <dc:creator>Zhao, Guoyan</dc:creator>
  <dc:description/>
  <dc:language>en-US</dc:language>
  <cp:lastModifiedBy/>
  <dcterms:modified xsi:type="dcterms:W3CDTF">2026-02-25T11:13:20Z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