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F3C899" w14:textId="77777777" w:rsidR="005529F4" w:rsidRDefault="00000000">
      <w:pPr>
        <w:pStyle w:val="1"/>
        <w:rPr>
          <w:rFonts w:hint="default"/>
        </w:rPr>
      </w:pPr>
      <w:r>
        <w:t>把</w:t>
      </w:r>
      <w:r>
        <w:t>AI</w:t>
      </w:r>
      <w:r>
        <w:t>智能体培养成研究生：</w:t>
      </w:r>
      <w:r>
        <w:br/>
      </w:r>
      <w:r>
        <w:t>面向核物理研究的五层个人知识架构</w:t>
      </w:r>
    </w:p>
    <w:p w14:paraId="236333DB" w14:textId="77777777" w:rsidR="005529F4" w:rsidRDefault="00000000">
      <w:pPr>
        <w:pStyle w:val="a2"/>
        <w:rPr>
          <w:rFonts w:hint="default"/>
        </w:rPr>
      </w:pPr>
      <w:r>
        <w:t>金</w:t>
      </w:r>
      <w:r>
        <w:t xml:space="preserve">  </w:t>
      </w:r>
      <w:r>
        <w:t>磊</w:t>
      </w:r>
      <w:r>
        <w:rPr>
          <w:vertAlign w:val="superscript"/>
        </w:rPr>
        <w:t>1,2</w:t>
      </w:r>
    </w:p>
    <w:p w14:paraId="2FC91AB9" w14:textId="77777777" w:rsidR="005529F4" w:rsidRDefault="00000000">
      <w:pPr>
        <w:pStyle w:val="a3"/>
      </w:pPr>
      <w:r>
        <w:t>1</w:t>
      </w:r>
      <w:r>
        <w:t>（同济大学物理科学与工程学院</w:t>
      </w:r>
      <w:r>
        <w:t xml:space="preserve">  </w:t>
      </w:r>
      <w:r>
        <w:t>上海</w:t>
      </w:r>
      <w:r>
        <w:t xml:space="preserve"> 200092</w:t>
      </w:r>
      <w:r>
        <w:t>）</w:t>
      </w:r>
      <w:r>
        <w:br/>
        <w:t>2</w:t>
      </w:r>
      <w:r>
        <w:t>（中国科学院近代物理研究所南方核科学理论研究中心</w:t>
      </w:r>
      <w:r>
        <w:t xml:space="preserve">  </w:t>
      </w:r>
      <w:r>
        <w:t>广东惠州</w:t>
      </w:r>
      <w:r>
        <w:t xml:space="preserve"> 516000</w:t>
      </w:r>
      <w:r>
        <w:t>）</w:t>
      </w:r>
    </w:p>
    <w:p w14:paraId="5112F918" w14:textId="77777777" w:rsidR="005529F4" w:rsidRDefault="00000000">
      <w:pPr>
        <w:pStyle w:val="a4"/>
        <w:rPr>
          <w:rFonts w:hint="default"/>
        </w:rPr>
      </w:pPr>
      <w:r>
        <w:rPr>
          <w:rFonts w:eastAsia="SimHei"/>
          <w:b/>
        </w:rPr>
        <w:t>摘要</w:t>
      </w:r>
      <w:r>
        <w:rPr>
          <w:rFonts w:eastAsia="SimHei"/>
          <w:b/>
        </w:rPr>
        <w:t xml:space="preserve">  </w:t>
      </w:r>
      <w:r>
        <w:t>核物理研究会长期积累已读文献、代码约束、失败路线和验证标准。</w:t>
      </w:r>
      <w:r>
        <w:t>AI</w:t>
      </w:r>
      <w:r>
        <w:t>智能体即使在一次会话中完成复杂任务，换到新会话后也无法自动继承这些信息。为此，本文把会话外的研究记录分为五层。纯文本文件和版本控制工具保存证据，每次会话先读取一份简短研究档案，再按需查找带有统一词表的概念笔记。操作和验证方法写成可复用技能，已经纠正的错误另存为反馈记忆。新资料通过入库、查询和体检写回这些文件。按照预注册方案清点历史记录，共找到</w:t>
      </w:r>
      <w:r>
        <w:t>22</w:t>
      </w:r>
      <w:r>
        <w:t>次跨模型检查，其中</w:t>
      </w:r>
      <w:r>
        <w:t>8</w:t>
      </w:r>
      <w:r>
        <w:t>次留下可以独立核对的修正证据。只计算研究产物本身的缺陷时，检出数为</w:t>
      </w:r>
      <w:r>
        <w:t>5</w:t>
      </w:r>
      <w:r>
        <w:t>次。在这</w:t>
      </w:r>
      <w:r>
        <w:t>22</w:t>
      </w:r>
      <w:r>
        <w:t>次记录中，没有第二个模型通过阅读源代码发现程序错误。由于许多日常检查没有记录，这些数目只能看作下界，不能解释为检出率。现有记录支持的结论很有限：跨模型检查适合发现文字声明、引文和数值叙述的问题；科研代码是否正确，仍要与参考程序、解析极限或已发表基准独立比对。</w:t>
      </w:r>
    </w:p>
    <w:p w14:paraId="5FEAF3A8" w14:textId="77777777" w:rsidR="005529F4" w:rsidRDefault="00000000">
      <w:pPr>
        <w:pStyle w:val="a4"/>
        <w:rPr>
          <w:rFonts w:hint="default"/>
        </w:rPr>
      </w:pPr>
      <w:r>
        <w:rPr>
          <w:rFonts w:eastAsia="SimHei"/>
          <w:b/>
        </w:rPr>
        <w:t>关键词</w:t>
      </w:r>
      <w:r>
        <w:rPr>
          <w:rFonts w:eastAsia="SimHei"/>
          <w:b/>
        </w:rPr>
        <w:t xml:space="preserve">  </w:t>
      </w:r>
      <w:r>
        <w:t>AI</w:t>
      </w:r>
      <w:r>
        <w:t>智能体；</w:t>
      </w:r>
      <w:r>
        <w:t>vibe coding</w:t>
      </w:r>
      <w:r>
        <w:t>；个人知识库；核物理科研工作流；可复现研究</w:t>
      </w:r>
    </w:p>
    <w:p w14:paraId="539265C6" w14:textId="77777777" w:rsidR="005529F4" w:rsidRDefault="00000000">
      <w:pPr>
        <w:pStyle w:val="a4"/>
        <w:rPr>
          <w:rFonts w:hint="default"/>
        </w:rPr>
      </w:pPr>
      <w:r>
        <w:rPr>
          <w:rFonts w:eastAsia="SimHei"/>
          <w:b/>
        </w:rPr>
        <w:t>中图分类号</w:t>
      </w:r>
      <w:r>
        <w:rPr>
          <w:rFonts w:eastAsia="SimHei"/>
          <w:b/>
        </w:rPr>
        <w:t xml:space="preserve">  </w:t>
      </w:r>
      <w:r>
        <w:t>TL99</w:t>
      </w:r>
      <w:r>
        <w:t>；</w:t>
      </w:r>
      <w:r>
        <w:t>TP18</w:t>
      </w:r>
    </w:p>
    <w:p w14:paraId="32572C6E" w14:textId="77777777" w:rsidR="005529F4" w:rsidRDefault="00000000">
      <w:pPr>
        <w:pStyle w:val="a5"/>
      </w:pPr>
      <w:r>
        <w:t>Training an AI Agent as a Graduate Student: A Five-Layer Personal Knowledge Architecture for Nuclear-Physics Research</w:t>
      </w:r>
    </w:p>
    <w:p w14:paraId="55504716" w14:textId="77777777" w:rsidR="005529F4" w:rsidRDefault="00000000">
      <w:pPr>
        <w:pStyle w:val="a6"/>
      </w:pPr>
      <w:r>
        <w:t>JIN Lei</w:t>
      </w:r>
      <w:r>
        <w:rPr>
          <w:vertAlign w:val="superscript"/>
        </w:rPr>
        <w:t>1,2</w:t>
      </w:r>
    </w:p>
    <w:p w14:paraId="03C3E9A4" w14:textId="77777777" w:rsidR="005529F4" w:rsidRDefault="00000000">
      <w:pPr>
        <w:pStyle w:val="a7"/>
      </w:pPr>
      <w:r>
        <w:t>1(School of Physics Science and Engineering, Tongji University, Shanghai 200092, China)</w:t>
      </w:r>
      <w:r>
        <w:br/>
        <w:t>2(Southern Center for Nuclear-Science Theory (SCNT), Institute of Modern Physics, Chinese Academy of Sciences, Huizhou 516000, Guangdong Province, China)</w:t>
      </w:r>
    </w:p>
    <w:p w14:paraId="0DE6F978" w14:textId="77777777" w:rsidR="005529F4" w:rsidRDefault="00000000">
      <w:pPr>
        <w:pStyle w:val="a4"/>
        <w:spacing w:line="230" w:lineRule="exact"/>
        <w:rPr>
          <w:rFonts w:hint="default"/>
        </w:rPr>
      </w:pPr>
      <w:proofErr w:type="gramStart"/>
      <w:r>
        <w:rPr>
          <w:rFonts w:eastAsia="Times New Roman"/>
          <w:b/>
          <w:sz w:val="17"/>
        </w:rPr>
        <w:t xml:space="preserve">Abstract  </w:t>
      </w:r>
      <w:r>
        <w:rPr>
          <w:rFonts w:eastAsia="Times New Roman"/>
          <w:sz w:val="17"/>
        </w:rPr>
        <w:t>[</w:t>
      </w:r>
      <w:proofErr w:type="gramEnd"/>
      <w:r>
        <w:rPr>
          <w:rFonts w:eastAsia="Times New Roman"/>
          <w:sz w:val="17"/>
        </w:rPr>
        <w:t xml:space="preserve">Background]: A session-based AI agent loses the literature, code constraints, failed approaches, and validation standards that nuclear-physics research accumulates over time. [Purpose]: This work asks how such context can persist across sessions while remaining traceable and under the researcher's control. [Methods]: The proposed architecture has five layers: plain text and version control, an always-loaded researcher profile, a concept wiki with a controlled vocabulary, reusable skills, and feedback memory. Three operations, ingest, query, and lint, maintain the </w:t>
      </w:r>
      <w:proofErr w:type="spellStart"/>
      <w:r>
        <w:rPr>
          <w:rFonts w:eastAsia="Times New Roman"/>
          <w:sz w:val="17"/>
        </w:rPr>
        <w:t>read</w:t>
      </w:r>
      <w:proofErr w:type="spellEnd"/>
      <w:r>
        <w:rPr>
          <w:rFonts w:eastAsia="Times New Roman"/>
          <w:sz w:val="17"/>
        </w:rPr>
        <w:t>-and-write cycle. [Results]: A preregistered audit found 22 recorded cross-model checks. Eight left independently verifiable correction anchors; five remained when the count was restricted to defects in research artifacts rather than agent-written records. No check found a code defect. [Conclusions]: The counts are lower bounds, not rates. Cross-model audits can test textual claims, citations, and numerical consistency, but generated research code still requires independent numerical validation against reference implementations, analytic limits, or published benchmarks.</w:t>
      </w:r>
    </w:p>
    <w:p w14:paraId="70FD2F9B" w14:textId="77777777" w:rsidR="005529F4" w:rsidRDefault="00000000">
      <w:pPr>
        <w:pStyle w:val="a4"/>
        <w:rPr>
          <w:rFonts w:hint="default"/>
        </w:rPr>
      </w:pPr>
      <w:r>
        <w:rPr>
          <w:rFonts w:eastAsia="Times New Roman"/>
          <w:b/>
          <w:sz w:val="17"/>
        </w:rPr>
        <w:t xml:space="preserve">Key </w:t>
      </w:r>
      <w:proofErr w:type="gramStart"/>
      <w:r>
        <w:rPr>
          <w:rFonts w:eastAsia="Times New Roman"/>
          <w:b/>
          <w:sz w:val="17"/>
        </w:rPr>
        <w:t xml:space="preserve">words  </w:t>
      </w:r>
      <w:r>
        <w:rPr>
          <w:rFonts w:eastAsia="Times New Roman"/>
          <w:sz w:val="17"/>
        </w:rPr>
        <w:t>AI</w:t>
      </w:r>
      <w:proofErr w:type="gramEnd"/>
      <w:r>
        <w:rPr>
          <w:rFonts w:eastAsia="Times New Roman"/>
          <w:sz w:val="17"/>
        </w:rPr>
        <w:t xml:space="preserve"> agent; Vibe coding; Personal knowledge base; Nuclear physics research workflow; Reproducible research</w:t>
      </w:r>
    </w:p>
    <w:p w14:paraId="3C18444C" w14:textId="77777777" w:rsidR="005529F4" w:rsidRDefault="005529F4">
      <w:pPr>
        <w:sectPr w:rsidR="005529F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247" w:right="907" w:bottom="1644" w:left="1304" w:header="595" w:footer="680" w:gutter="0"/>
          <w:pgNumType w:start="1"/>
          <w:cols w:space="720"/>
        </w:sectPr>
      </w:pPr>
    </w:p>
    <w:p w14:paraId="0A00DC2C" w14:textId="77777777" w:rsidR="005529F4" w:rsidRDefault="00000000">
      <w:pPr>
        <w:pStyle w:val="a"/>
      </w:pPr>
      <w:r>
        <w:lastRenderedPageBreak/>
        <w:t>以大语言模型（</w:t>
      </w:r>
      <w:r>
        <w:t>large language model</w:t>
      </w:r>
      <w:r>
        <w:t>，</w:t>
      </w:r>
      <w:r>
        <w:t>LLM</w:t>
      </w:r>
      <w:r>
        <w:t>）为核心的人工智能（</w:t>
      </w:r>
      <w:r>
        <w:t>artificial intelligence</w:t>
      </w:r>
      <w:r>
        <w:t>，</w:t>
      </w:r>
      <w:r>
        <w:t>AI</w:t>
      </w:r>
      <w:r>
        <w:t>）智能体不只生成文本，也会检索资料、调用工具和操作代码仓库。检索增强生成（</w:t>
      </w:r>
      <w:r>
        <w:t>retrieval-augmented generation</w:t>
      </w:r>
      <w:r>
        <w:t>，</w:t>
      </w:r>
      <w:r>
        <w:t>RAG</w:t>
      </w:r>
      <w:r>
        <w:t>）让模型在回答前先从外部文档寻找依据，减轻知识过期和来源不明的问题</w:t>
      </w:r>
      <w:r>
        <w:t>[1]</w:t>
      </w:r>
      <w:r>
        <w:t>。</w:t>
      </w:r>
    </w:p>
    <w:p w14:paraId="5E0B3F2D" w14:textId="77777777" w:rsidR="005529F4" w:rsidRDefault="00000000">
      <w:pPr>
        <w:pStyle w:val="a"/>
      </w:pPr>
      <w:proofErr w:type="spellStart"/>
      <w:r>
        <w:t>ReAct</w:t>
      </w:r>
      <w:proofErr w:type="spellEnd"/>
      <w:r>
        <w:t>让推理与行动交替进行。模型先判断下一步需要什么信息，再调用数据库、文献搜索或代码工具，并根据返回结果继续判断</w:t>
      </w:r>
      <w:r>
        <w:t>[2]</w:t>
      </w:r>
      <w:r>
        <w:t>。</w:t>
      </w:r>
    </w:p>
    <w:p w14:paraId="70838E37" w14:textId="77777777" w:rsidR="005529F4" w:rsidRDefault="00000000">
      <w:pPr>
        <w:pStyle w:val="a"/>
      </w:pPr>
      <w:r>
        <w:t>这些工具可以完成眼前的步骤，长期任务还需要保留先前经验。生成式智能体会保存观察、计划和反思。</w:t>
      </w:r>
      <w:proofErr w:type="spellStart"/>
      <w:r>
        <w:t>Reflexion</w:t>
      </w:r>
      <w:proofErr w:type="spellEnd"/>
      <w:r>
        <w:t>则把一次尝试中的错误与改进意见写进外部记忆，供后续尝试读取</w:t>
      </w:r>
      <w:r>
        <w:t>[3-4]</w:t>
      </w:r>
      <w:r>
        <w:t>。这两种做法都不重新训练模型，改变的是模型下一次工作时能够看到的上下文。</w:t>
      </w:r>
    </w:p>
    <w:p w14:paraId="01F3D144" w14:textId="77777777" w:rsidR="005529F4" w:rsidRDefault="00000000">
      <w:pPr>
        <w:pStyle w:val="a"/>
      </w:pPr>
      <w:r>
        <w:t>这些方法已经进入科研场景。</w:t>
      </w:r>
      <w:proofErr w:type="spellStart"/>
      <w:r>
        <w:t>ChemCrow</w:t>
      </w:r>
      <w:proofErr w:type="spellEnd"/>
      <w:r>
        <w:t>给</w:t>
      </w:r>
      <w:r>
        <w:t>LLM</w:t>
      </w:r>
      <w:r>
        <w:t>配备化学检索、性质计算和反应规划工具</w:t>
      </w:r>
      <w:r>
        <w:t>[5]</w:t>
      </w:r>
      <w:r>
        <w:t>。</w:t>
      </w:r>
      <w:proofErr w:type="spellStart"/>
      <w:r>
        <w:t>Coscientist</w:t>
      </w:r>
      <w:proofErr w:type="spellEnd"/>
      <w:r>
        <w:t>把文献检索、代码执行、实验设计和自动化设备接在一起，让模型参与真实的实验流程</w:t>
      </w:r>
      <w:r>
        <w:t>[6]</w:t>
      </w:r>
      <w:r>
        <w:t>。</w:t>
      </w:r>
    </w:p>
    <w:p w14:paraId="01AFC5CB" w14:textId="77777777" w:rsidR="005529F4" w:rsidRDefault="00000000">
      <w:pPr>
        <w:pStyle w:val="a"/>
      </w:pPr>
      <w:r>
        <w:t>AI Scientist</w:t>
      </w:r>
      <w:r>
        <w:t>面向计算研究，尝试用一套工作流程串起选题、编码、实验、论文写作和模拟评审</w:t>
      </w:r>
      <w:r>
        <w:t>[7]</w:t>
      </w:r>
      <w:r>
        <w:t>。这些系统采用了相近的分工：</w:t>
      </w:r>
      <w:r>
        <w:t>LLM</w:t>
      </w:r>
      <w:r>
        <w:t>理解任务并选择下一步，外部工具负责检索、计算或实验。</w:t>
      </w:r>
    </w:p>
    <w:p w14:paraId="4F43B70B" w14:textId="77777777" w:rsidR="005529F4" w:rsidRDefault="00000000">
      <w:pPr>
        <w:pStyle w:val="a"/>
      </w:pPr>
      <w:r>
        <w:t>2025</w:t>
      </w:r>
      <w:r>
        <w:t>年，</w:t>
      </w:r>
      <w:r>
        <w:t>Andrej Karpathy</w:t>
      </w:r>
      <w:r>
        <w:t>用</w:t>
      </w:r>
      <w:r>
        <w:t>vibe coding</w:t>
      </w:r>
      <w:r>
        <w:t>描述一种高度依赖自然语言交互的编程方式：用户说出需求，接受模型生成的改动，运行程序，再把报错交回模型继续修改，过程中很少逐行阅读代码</w:t>
      </w:r>
      <w:r>
        <w:t>[8]</w:t>
      </w:r>
      <w:r>
        <w:t>。这样的工作方式降低了写程序的门槛，在数据处理、可视化和原型探索中很实用。</w:t>
      </w:r>
    </w:p>
    <w:p w14:paraId="73D1F79B" w14:textId="77777777" w:rsidR="005529F4" w:rsidRDefault="00000000">
      <w:pPr>
        <w:pStyle w:val="a"/>
      </w:pPr>
      <w:r>
        <w:t>科研代码还要回答</w:t>
      </w:r>
      <w:r>
        <w:t>“</w:t>
      </w:r>
      <w:r>
        <w:t>能否运行</w:t>
      </w:r>
      <w:r>
        <w:t>”</w:t>
      </w:r>
      <w:r>
        <w:t>以外的问题。输入来自哪里？结果与哪个基准一致？误差是否收敛？一次修改影响了哪些旧结果？某条路线又为什么被放弃？这些信息大多不在代码本身，而在代码周围的研究记录里。</w:t>
      </w:r>
    </w:p>
    <w:p w14:paraId="5914ECF8" w14:textId="77777777" w:rsidR="005529F4" w:rsidRDefault="00000000">
      <w:pPr>
        <w:pStyle w:val="a"/>
      </w:pPr>
      <w:r>
        <w:t>真正难保存的是研究上下文。一个模型在当前会话里可能表现很好，换到新会话后却不知道研究方向、已读文献、现有代码、否决过的想法和验证标准。每次从原始文件重新检索，会重复消耗已经完成的整理工作。保存全部聊天记录也不合适，因为临时尝试、过期假设和未经核验的判断会一起留下。</w:t>
      </w:r>
    </w:p>
    <w:p w14:paraId="12D3C315" w14:textId="77777777" w:rsidR="005529F4" w:rsidRDefault="00000000">
      <w:pPr>
        <w:pStyle w:val="a"/>
      </w:pPr>
      <w:r>
        <w:t>核物理计算对上下文尤其敏感。反应体系、近似层级、势参数、边界条件或收敛标准一变，原本正确的回答就可能失去物理意义。</w:t>
      </w:r>
    </w:p>
    <w:p w14:paraId="60EFC010" w14:textId="77777777" w:rsidR="005529F4" w:rsidRDefault="00000000">
      <w:pPr>
        <w:pStyle w:val="a"/>
      </w:pPr>
      <w:r>
        <w:t>本文给出一套保存在会话之外的研究记录方法。新材料可以继续加入，每次修改都有记录，更换模型或平台后也能继续使用。本文用</w:t>
      </w:r>
      <w:r>
        <w:t>“</w:t>
      </w:r>
      <w:r>
        <w:t>把</w:t>
      </w:r>
      <w:r>
        <w:t>AI</w:t>
      </w:r>
      <w:r>
        <w:t>智能体培养成研究生</w:t>
      </w:r>
      <w:r>
        <w:t>”</w:t>
      </w:r>
      <w:r>
        <w:t>概括这种工作方式，借用导师培养中的五个动作：读文献、给方向、教方法、纠错误、记过程。每个动作对应一层记录，任务结束后还要把新知识和新规则写回文件。</w:t>
      </w:r>
    </w:p>
    <w:p w14:paraId="68A811EF" w14:textId="77777777" w:rsidR="005529F4" w:rsidRDefault="00000000">
      <w:pPr>
        <w:pStyle w:val="a"/>
      </w:pPr>
      <w:r>
        <w:t>为了检查这套方法是否真的发挥过作用，本文还清点了已有的跨模型检查记录。清点方案事先注册，用来区分一般检查与留下可复核修改的缺陷检出。</w:t>
      </w:r>
    </w:p>
    <w:p w14:paraId="12C4DBCA" w14:textId="77777777" w:rsidR="005529F4" w:rsidRDefault="00000000">
      <w:pPr>
        <w:pStyle w:val="2"/>
        <w:rPr>
          <w:rFonts w:hint="default"/>
        </w:rPr>
      </w:pPr>
      <w:r>
        <w:t xml:space="preserve">1 </w:t>
      </w:r>
      <w:r>
        <w:t>设计目标与总体思路</w:t>
      </w:r>
    </w:p>
    <w:p w14:paraId="25307F52" w14:textId="77777777" w:rsidR="005529F4" w:rsidRDefault="00000000">
      <w:pPr>
        <w:pStyle w:val="a"/>
      </w:pPr>
      <w:r>
        <w:t>要让智能体长期参与科研，关键信息不能只留在当前对话里。研究方向、文献依据、代码约束和验证标准都应保存在会话之外。下一次工作才能接着上一次继续。</w:t>
      </w:r>
    </w:p>
    <w:p w14:paraId="50912356" w14:textId="77777777" w:rsidR="005529F4" w:rsidRDefault="00000000">
      <w:pPr>
        <w:pStyle w:val="a"/>
      </w:pPr>
      <w:r>
        <w:t>记录还要能指回依据。会影响研究结论或后续操作的判断，应当注明它来自哪篇论文、哪段代码、哪份数据，或研究者提出的哪条要求。任务结束后，新结果、订正和失败原因也要写回。否则下一次会话仍然要从头开始。</w:t>
      </w:r>
    </w:p>
    <w:p w14:paraId="6B057D12" w14:textId="77777777" w:rsidR="005529F4" w:rsidRDefault="00000000">
      <w:pPr>
        <w:pStyle w:val="a"/>
      </w:pPr>
      <w:r>
        <w:t>这些记录还应使用不依赖某个模型或平台的格式。更换模型、软件或服务后，原有资料仍能继续读取。智能体可以整理材料、调用工具并提出建议，但物理解释是否成立、哪些材料可以交给外部服务、结果能否公开，仍由研究者判断并负责。</w:t>
      </w:r>
    </w:p>
    <w:p w14:paraId="4C9C0BC8" w14:textId="77777777" w:rsidR="005529F4" w:rsidRDefault="00000000">
      <w:pPr>
        <w:pStyle w:val="a"/>
      </w:pPr>
      <w:r>
        <w:t>表</w:t>
      </w:r>
      <w:r>
        <w:t>1</w:t>
      </w:r>
      <w:r>
        <w:t>借用研究生培养中的五个常见动作，说明这套系统怎样工作。这里的</w:t>
      </w:r>
      <w:r>
        <w:t>“</w:t>
      </w:r>
      <w:r>
        <w:t>培养</w:t>
      </w:r>
      <w:r>
        <w:t>”</w:t>
      </w:r>
      <w:r>
        <w:t>并不修改模型参数。真正变化的是每次会话提供给模型的材料：读过的文献、正在推进的项目、已经排除的路线和形成的工作规范都会保留下来。以后即使更换模型，这些材料仍能继续使用。</w:t>
      </w:r>
    </w:p>
    <w:p w14:paraId="197CD53F" w14:textId="77777777" w:rsidR="005529F4" w:rsidRDefault="00000000">
      <w:pPr>
        <w:pStyle w:val="aa"/>
        <w:keepNext/>
      </w:pPr>
      <w:r>
        <w:rPr>
          <w:rFonts w:eastAsia="SimHei"/>
          <w:b/>
        </w:rPr>
        <w:t>表</w:t>
      </w:r>
      <w:r>
        <w:rPr>
          <w:rFonts w:eastAsia="SimHei"/>
          <w:b/>
        </w:rPr>
        <w:t xml:space="preserve">1  </w:t>
      </w:r>
      <w:r>
        <w:rPr>
          <w:rFonts w:eastAsia="SimHei"/>
          <w:b/>
        </w:rPr>
        <w:t>研究生培养动作与智能体知识架构的对应关系</w:t>
      </w:r>
      <w:r>
        <w:rPr>
          <w:rFonts w:eastAsia="SimHei"/>
          <w:b/>
        </w:rPr>
        <w:br/>
      </w:r>
      <w:r>
        <w:rPr>
          <w:rFonts w:eastAsia="Times New Roman"/>
        </w:rPr>
        <w:lastRenderedPageBreak/>
        <w:t>Table 1  Mapping from graduate-student training to the agent knowledge architecture</w:t>
      </w:r>
    </w:p>
    <w:tbl>
      <w:tblPr>
        <w:tblW w:w="9695" w:type="dxa"/>
        <w:tblInd w:w="12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  <w:tblLook w:val="04A0" w:firstRow="1" w:lastRow="0" w:firstColumn="1" w:lastColumn="0" w:noHBand="0" w:noVBand="1"/>
      </w:tblPr>
      <w:tblGrid>
        <w:gridCol w:w="2424"/>
        <w:gridCol w:w="3296"/>
        <w:gridCol w:w="3975"/>
      </w:tblGrid>
      <w:tr w:rsidR="005529F4" w14:paraId="4A4F80D5" w14:textId="77777777">
        <w:trPr>
          <w:tblHeader/>
        </w:trPr>
        <w:tc>
          <w:tcPr>
            <w:tcW w:w="2424" w:type="dxa"/>
            <w:tcBorders>
              <w:bottom w:val="single" w:sz="6" w:space="0" w:color="000000"/>
            </w:tcBorders>
            <w:vAlign w:val="center"/>
          </w:tcPr>
          <w:p w14:paraId="650D8057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b/>
                <w:sz w:val="17"/>
              </w:rPr>
              <w:t>培养动作</w:t>
            </w:r>
            <w:proofErr w:type="spellEnd"/>
          </w:p>
        </w:tc>
        <w:tc>
          <w:tcPr>
            <w:tcW w:w="3296" w:type="dxa"/>
            <w:tcBorders>
              <w:bottom w:val="single" w:sz="6" w:space="0" w:color="000000"/>
            </w:tcBorders>
            <w:vAlign w:val="center"/>
          </w:tcPr>
          <w:p w14:paraId="52017B1F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b/>
                <w:sz w:val="17"/>
              </w:rPr>
              <w:t>系统实现</w:t>
            </w:r>
            <w:proofErr w:type="spellEnd"/>
          </w:p>
        </w:tc>
        <w:tc>
          <w:tcPr>
            <w:tcW w:w="3975" w:type="dxa"/>
            <w:tcBorders>
              <w:bottom w:val="single" w:sz="6" w:space="0" w:color="000000"/>
            </w:tcBorders>
            <w:vAlign w:val="center"/>
          </w:tcPr>
          <w:p w14:paraId="1DDD3539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b/>
                <w:sz w:val="17"/>
              </w:rPr>
              <w:t>主要科研收益</w:t>
            </w:r>
            <w:proofErr w:type="spellEnd"/>
          </w:p>
        </w:tc>
      </w:tr>
      <w:tr w:rsidR="005529F4" w14:paraId="3E998F30" w14:textId="77777777">
        <w:tc>
          <w:tcPr>
            <w:tcW w:w="2424" w:type="dxa"/>
            <w:vAlign w:val="center"/>
          </w:tcPr>
          <w:p w14:paraId="670E3CE6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读文献，建立领域全景</w:t>
            </w:r>
          </w:p>
        </w:tc>
        <w:tc>
          <w:tcPr>
            <w:tcW w:w="3296" w:type="dxa"/>
            <w:vAlign w:val="center"/>
          </w:tcPr>
          <w:p w14:paraId="2843355F" w14:textId="77777777" w:rsidR="005529F4" w:rsidRDefault="00000000">
            <w:pPr>
              <w:spacing w:line="210" w:lineRule="exact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文献页、概念页、统一词表</w:t>
            </w:r>
          </w:p>
        </w:tc>
        <w:tc>
          <w:tcPr>
            <w:tcW w:w="3975" w:type="dxa"/>
            <w:vAlign w:val="center"/>
          </w:tcPr>
          <w:p w14:paraId="356353FB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综述随阅读积累，减少重复检索</w:t>
            </w:r>
          </w:p>
        </w:tc>
      </w:tr>
      <w:tr w:rsidR="005529F4" w14:paraId="3DAC2889" w14:textId="77777777">
        <w:tc>
          <w:tcPr>
            <w:tcW w:w="2424" w:type="dxa"/>
            <w:vAlign w:val="center"/>
          </w:tcPr>
          <w:p w14:paraId="2416F776" w14:textId="77777777" w:rsidR="005529F4" w:rsidRDefault="00000000">
            <w:pPr>
              <w:spacing w:line="210" w:lineRule="exact"/>
            </w:pPr>
            <w:proofErr w:type="spellStart"/>
            <w:r>
              <w:rPr>
                <w:sz w:val="17"/>
              </w:rPr>
              <w:t>说明方向和评价标准</w:t>
            </w:r>
            <w:proofErr w:type="spellEnd"/>
          </w:p>
        </w:tc>
        <w:tc>
          <w:tcPr>
            <w:tcW w:w="3296" w:type="dxa"/>
            <w:vAlign w:val="center"/>
          </w:tcPr>
          <w:p w14:paraId="2020273C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sz w:val="17"/>
              </w:rPr>
              <w:t>常驻个人档案</w:t>
            </w:r>
            <w:proofErr w:type="spellEnd"/>
          </w:p>
        </w:tc>
        <w:tc>
          <w:tcPr>
            <w:tcW w:w="3975" w:type="dxa"/>
            <w:vAlign w:val="center"/>
          </w:tcPr>
          <w:p w14:paraId="0C8DF993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新会话直接进入当前工作</w:t>
            </w:r>
          </w:p>
        </w:tc>
      </w:tr>
      <w:tr w:rsidR="005529F4" w14:paraId="3C387A3A" w14:textId="77777777">
        <w:tc>
          <w:tcPr>
            <w:tcW w:w="2424" w:type="dxa"/>
            <w:vAlign w:val="center"/>
          </w:tcPr>
          <w:p w14:paraId="109BE916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教方法，形成标准流程</w:t>
            </w:r>
          </w:p>
        </w:tc>
        <w:tc>
          <w:tcPr>
            <w:tcW w:w="3296" w:type="dxa"/>
            <w:vAlign w:val="center"/>
          </w:tcPr>
          <w:p w14:paraId="4849B840" w14:textId="77777777" w:rsidR="005529F4" w:rsidRDefault="00000000">
            <w:pPr>
              <w:spacing w:line="210" w:lineRule="exact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可复用技能与检查清单</w:t>
            </w:r>
          </w:p>
        </w:tc>
        <w:tc>
          <w:tcPr>
            <w:tcW w:w="3975" w:type="dxa"/>
            <w:vAlign w:val="center"/>
          </w:tcPr>
          <w:p w14:paraId="4F2E3F1F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同类任务按同一标准执行</w:t>
            </w:r>
          </w:p>
        </w:tc>
      </w:tr>
      <w:tr w:rsidR="005529F4" w14:paraId="1063C0BF" w14:textId="77777777">
        <w:tc>
          <w:tcPr>
            <w:tcW w:w="2424" w:type="dxa"/>
            <w:vAlign w:val="center"/>
          </w:tcPr>
          <w:p w14:paraId="5DB5E779" w14:textId="77777777" w:rsidR="005529F4" w:rsidRDefault="00000000">
            <w:pPr>
              <w:spacing w:line="210" w:lineRule="exact"/>
            </w:pPr>
            <w:proofErr w:type="spellStart"/>
            <w:r>
              <w:rPr>
                <w:sz w:val="17"/>
              </w:rPr>
              <w:t>及时纠错并要求记住</w:t>
            </w:r>
            <w:proofErr w:type="spellEnd"/>
          </w:p>
        </w:tc>
        <w:tc>
          <w:tcPr>
            <w:tcW w:w="3296" w:type="dxa"/>
            <w:vAlign w:val="center"/>
          </w:tcPr>
          <w:p w14:paraId="267DF615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sz w:val="17"/>
              </w:rPr>
              <w:t>反馈记忆</w:t>
            </w:r>
            <w:proofErr w:type="spellEnd"/>
          </w:p>
        </w:tc>
        <w:tc>
          <w:tcPr>
            <w:tcW w:w="3975" w:type="dxa"/>
            <w:vAlign w:val="center"/>
          </w:tcPr>
          <w:p w14:paraId="49565766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已纠正的错误不反复出现</w:t>
            </w:r>
          </w:p>
        </w:tc>
      </w:tr>
      <w:tr w:rsidR="005529F4" w14:paraId="462971AD" w14:textId="77777777">
        <w:tc>
          <w:tcPr>
            <w:tcW w:w="2424" w:type="dxa"/>
            <w:vAlign w:val="center"/>
          </w:tcPr>
          <w:p w14:paraId="5DE606F3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记录失败、想法和节点</w:t>
            </w:r>
          </w:p>
        </w:tc>
        <w:tc>
          <w:tcPr>
            <w:tcW w:w="3296" w:type="dxa"/>
            <w:vAlign w:val="center"/>
          </w:tcPr>
          <w:p w14:paraId="5CA56E85" w14:textId="77777777" w:rsidR="005529F4" w:rsidRDefault="00000000">
            <w:pPr>
              <w:spacing w:line="210" w:lineRule="exact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失败库、想法库、时间线</w:t>
            </w:r>
          </w:p>
        </w:tc>
        <w:tc>
          <w:tcPr>
            <w:tcW w:w="3975" w:type="dxa"/>
            <w:vAlign w:val="center"/>
          </w:tcPr>
          <w:p w14:paraId="518DC0C7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新项目保留完整历史判断</w:t>
            </w:r>
          </w:p>
        </w:tc>
      </w:tr>
    </w:tbl>
    <w:p w14:paraId="3EFADC74" w14:textId="77777777" w:rsidR="005529F4" w:rsidRDefault="005529F4">
      <w:pPr>
        <w:pStyle w:val="a"/>
        <w:ind w:firstLine="0"/>
      </w:pPr>
    </w:p>
    <w:p w14:paraId="38E8297B" w14:textId="77777777" w:rsidR="005529F4" w:rsidRDefault="00000000">
      <w:pPr>
        <w:pStyle w:val="2"/>
        <w:rPr>
          <w:rFonts w:hint="default"/>
        </w:rPr>
      </w:pPr>
      <w:r>
        <w:t xml:space="preserve">2 </w:t>
      </w:r>
      <w:r>
        <w:t>五层个人知识架构</w:t>
      </w:r>
    </w:p>
    <w:p w14:paraId="3D8C1745" w14:textId="77777777" w:rsidR="005529F4" w:rsidRDefault="00000000">
      <w:pPr>
        <w:pStyle w:val="a"/>
      </w:pPr>
      <w:r>
        <w:t>LLM Wiki</w:t>
      </w:r>
      <w:r>
        <w:t>提出了一种个人知识库的组织方式：原始资料单独保存，</w:t>
      </w:r>
      <w:r>
        <w:t>LLM</w:t>
      </w:r>
      <w:r>
        <w:t>整理出的互联笔记组成</w:t>
      </w:r>
      <w:r>
        <w:t>Wiki</w:t>
      </w:r>
      <w:r>
        <w:t>知识库，维护规则也另行记录</w:t>
      </w:r>
      <w:r>
        <w:t>[9]</w:t>
      </w:r>
      <w:r>
        <w:t>。这里的</w:t>
      </w:r>
      <w:r>
        <w:t>Wiki</w:t>
      </w:r>
      <w:r>
        <w:t>知识库由一组相互链接的本地笔记组成，不对外公开。</w:t>
      </w:r>
    </w:p>
    <w:p w14:paraId="426585C3" w14:textId="77777777" w:rsidR="005529F4" w:rsidRDefault="00000000">
      <w:pPr>
        <w:pStyle w:val="a"/>
      </w:pPr>
      <w:r>
        <w:t>本文在此基础上加入研究档案、操作规范和纠错记录，形成图</w:t>
      </w:r>
      <w:r>
        <w:t>1</w:t>
      </w:r>
      <w:r>
        <w:t>所示的五层结构。智能体按照规则读写文件并调用工具。研究者决定哪些资料可以使用、哪些内容可以修改，以及哪些信息必须保密。</w:t>
      </w:r>
    </w:p>
    <w:p w14:paraId="4BC95F8F" w14:textId="77777777" w:rsidR="005529F4" w:rsidRDefault="00000000">
      <w:pPr>
        <w:keepNext/>
        <w:spacing w:before="60" w:after="20" w:line="240" w:lineRule="auto"/>
        <w:jc w:val="center"/>
      </w:pPr>
      <w:r>
        <w:rPr>
          <w:noProof/>
        </w:rPr>
        <w:drawing>
          <wp:inline distT="0" distB="0" distL="0" distR="0" wp14:anchorId="425CC1F3" wp14:editId="7B896828">
            <wp:extent cx="5760000" cy="3088411"/>
            <wp:effectExtent l="0" t="0" r="0" b="0"/>
            <wp:docPr id="1" name="Picture 1" descr="Five-layer architecture and compounding loop for a research AI agent, with a human control pla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C300" w14:textId="77777777" w:rsidR="005529F4" w:rsidRDefault="00000000">
      <w:pPr>
        <w:pStyle w:val="a9"/>
        <w:keepLines/>
        <w:spacing w:after="60"/>
        <w:rPr>
          <w:rFonts w:hint="default"/>
        </w:rPr>
      </w:pPr>
      <w:r>
        <w:rPr>
          <w:rFonts w:eastAsia="SimHei"/>
          <w:b/>
        </w:rPr>
        <w:t>图</w:t>
      </w:r>
      <w:r>
        <w:rPr>
          <w:rFonts w:eastAsia="SimHei"/>
          <w:b/>
        </w:rPr>
        <w:t xml:space="preserve">1  </w:t>
      </w:r>
      <w:r>
        <w:rPr>
          <w:rFonts w:eastAsia="SimHei"/>
          <w:b/>
        </w:rPr>
        <w:t>面向核物理研究的五层</w:t>
      </w:r>
      <w:r>
        <w:rPr>
          <w:rFonts w:eastAsia="SimHei"/>
          <w:b/>
        </w:rPr>
        <w:t>AI</w:t>
      </w:r>
      <w:r>
        <w:rPr>
          <w:rFonts w:eastAsia="SimHei"/>
          <w:b/>
        </w:rPr>
        <w:t>智能体知识架构与写回循环。图形结构在</w:t>
      </w:r>
      <w:r>
        <w:rPr>
          <w:rFonts w:eastAsia="SimHei"/>
          <w:b/>
        </w:rPr>
        <w:t>AI</w:t>
      </w:r>
      <w:r>
        <w:rPr>
          <w:rFonts w:eastAsia="SimHei"/>
          <w:b/>
        </w:rPr>
        <w:t>辅助下起草，作者用</w:t>
      </w:r>
      <w:r>
        <w:rPr>
          <w:rFonts w:eastAsia="SimHei"/>
          <w:b/>
        </w:rPr>
        <w:t>Python</w:t>
      </w:r>
      <w:r>
        <w:rPr>
          <w:rFonts w:eastAsia="SimHei"/>
          <w:b/>
        </w:rPr>
        <w:t>脚本生成图件，并逐项核对</w:t>
      </w:r>
      <w:r>
        <w:rPr>
          <w:rFonts w:eastAsia="SimHei"/>
          <w:b/>
        </w:rPr>
        <w:br/>
      </w:r>
      <w:r>
        <w:rPr>
          <w:rFonts w:eastAsia="Times New Roman"/>
          <w:sz w:val="17"/>
        </w:rPr>
        <w:t>Fig.1  Five-layer knowledge architecture and write-back loop for a nuclear-physics research agent. The layout was drafted with AI assistance, generated with a Python script, and verified by the author</w:t>
      </w:r>
    </w:p>
    <w:p w14:paraId="193C8682" w14:textId="77777777" w:rsidR="005529F4" w:rsidRDefault="00000000">
      <w:pPr>
        <w:pStyle w:val="a"/>
      </w:pPr>
      <w:r>
        <w:t>L1</w:t>
      </w:r>
      <w:r>
        <w:t>保存原始材料和每次修改的痕迹。笔记统一保存为</w:t>
      </w:r>
      <w:r>
        <w:t>Markdown</w:t>
      </w:r>
      <w:r>
        <w:t>格式，这是一种人和程序都能直接读取的纯文本格式。文件放在普通目录中，研究者可以用</w:t>
      </w:r>
      <w:r>
        <w:t>Obsidian</w:t>
      </w:r>
      <w:r>
        <w:t>等笔记软件浏览链接，智能体也可以直接搜索和修改。</w:t>
      </w:r>
    </w:p>
    <w:p w14:paraId="4200E2D9" w14:textId="77777777" w:rsidR="005529F4" w:rsidRDefault="00000000">
      <w:pPr>
        <w:pStyle w:val="a"/>
      </w:pPr>
      <w:r>
        <w:t>Git</w:t>
      </w:r>
      <w:r>
        <w:t>版本控制工具记录每次变更。某条结论或规则后来发生变化时，可以比较前后版本，也可以恢复旧版本。原始</w:t>
      </w:r>
      <w:r>
        <w:t>PDF</w:t>
      </w:r>
      <w:r>
        <w:t>文件、代码、数据和评审材料则放在只读或受控目录中，整理出来的笔记不能覆盖这些原始证据。</w:t>
      </w:r>
    </w:p>
    <w:p w14:paraId="370B6C75" w14:textId="77777777" w:rsidR="005529F4" w:rsidRDefault="00000000">
      <w:pPr>
        <w:pStyle w:val="a"/>
      </w:pPr>
      <w:r>
        <w:t>版本记录还能说明一次检查发生在什么时候，随后改了什么。本文对历史跨模型检查的清点，就是根据这些时间戳和修改内容完成的。没有版本记录，只能依赖作者回忆，第三方也无法复核。</w:t>
      </w:r>
    </w:p>
    <w:p w14:paraId="4C4CA53C" w14:textId="77777777" w:rsidR="005529F4" w:rsidRDefault="00000000">
      <w:pPr>
        <w:pStyle w:val="a"/>
      </w:pPr>
      <w:r>
        <w:t>L2</w:t>
      </w:r>
      <w:r>
        <w:t>是一份在每次会话开始时加载的简短研究档案。它只保存经常要用的稳定信息，例如研究方向、正在推进的论文、常用代码、可用计算资源、合作者关系和工作规则。整套知识库不必全部交给模型，只有与大多数任务都相关的内容才进入这份档案。</w:t>
      </w:r>
    </w:p>
    <w:p w14:paraId="336BDBBE" w14:textId="77777777" w:rsidR="005529F4" w:rsidRDefault="00000000">
      <w:pPr>
        <w:pStyle w:val="a"/>
      </w:pPr>
      <w:r>
        <w:lastRenderedPageBreak/>
        <w:t>这份档案很像课题组的新生手册。智能体接到任务时，已经知道当前在做什么、怎样才算完成，以及哪些操作不能做。</w:t>
      </w:r>
    </w:p>
    <w:p w14:paraId="4BD9E5E8" w14:textId="77777777" w:rsidR="005529F4" w:rsidRDefault="00000000">
      <w:pPr>
        <w:pStyle w:val="a"/>
      </w:pPr>
      <w:r>
        <w:t>常驻档案不能只写</w:t>
      </w:r>
      <w:r>
        <w:t>“</w:t>
      </w:r>
      <w:r>
        <w:t>保证计算可靠</w:t>
      </w:r>
      <w:r>
        <w:t>”</w:t>
      </w:r>
      <w:r>
        <w:t>这样的笼统要求。以核物理计算为例，曲线与实验数据接近，并不一定说明采用的物理图像正确。反应通道、边界条件或单位设置有误时，程序仍可能给出看似合理的结果。档案里需要写清楚代码运行前要经过哪些检查，哪些耗时计算要放到远程服务器。</w:t>
      </w:r>
    </w:p>
    <w:p w14:paraId="0155E5FA" w14:textId="77777777" w:rsidR="005529F4" w:rsidRDefault="00000000">
      <w:pPr>
        <w:pStyle w:val="a"/>
      </w:pPr>
      <w:r>
        <w:t>数值验证也要留下明确的标准。可以与解析极限比较，也可以与参考程序或已经发表的基准比较。记录中还要说明两者一致到几位有效数字。这样，更换模型后仍能沿用同一套标准，不必由研究者从头解释。</w:t>
      </w:r>
    </w:p>
    <w:p w14:paraId="5764627D" w14:textId="77777777" w:rsidR="005529F4" w:rsidRDefault="00000000">
      <w:pPr>
        <w:pStyle w:val="a"/>
      </w:pPr>
      <w:r>
        <w:t>L3</w:t>
      </w:r>
      <w:r>
        <w:t>保存已经读懂并整理过的文献知识。每篇精读论文先形成一页带出处的笔记，再按照计算方法、反应体系、可观测量、研究者和代码等类别，链接到相应的概念页。概念页不能只有标签列表，还要写成一篇会随新文献不断修订的小型综述。</w:t>
      </w:r>
    </w:p>
    <w:p w14:paraId="412337DE" w14:textId="77777777" w:rsidR="005529F4" w:rsidRDefault="00000000">
      <w:pPr>
        <w:pStyle w:val="a"/>
      </w:pPr>
      <w:r>
        <w:t>同一概念常有多种写法，统一词表负责把它们合在一起。例如，缩写</w:t>
      </w:r>
      <w:r>
        <w:t>“CDCC”</w:t>
      </w:r>
      <w:r>
        <w:t>、英文全称</w:t>
      </w:r>
      <w:r>
        <w:t>“continuum-discretized coupled channels”</w:t>
      </w:r>
      <w:r>
        <w:t>和中文名称</w:t>
      </w:r>
      <w:r>
        <w:t>“</w:t>
      </w:r>
      <w:r>
        <w:t>连续态离散耦合道方法</w:t>
      </w:r>
      <w:r>
        <w:t>”</w:t>
      </w:r>
      <w:r>
        <w:t>都应指向同一个页面。这样就不会形成三套彼此分开的记录。</w:t>
      </w:r>
    </w:p>
    <w:p w14:paraId="7F231883" w14:textId="77777777" w:rsidR="005529F4" w:rsidRDefault="00000000">
      <w:pPr>
        <w:pStyle w:val="a"/>
      </w:pPr>
      <w:r>
        <w:t>这一层与</w:t>
      </w:r>
      <w:r>
        <w:t>RAG</w:t>
      </w:r>
      <w:r>
        <w:t>承担的任务不同。</w:t>
      </w:r>
      <w:r>
        <w:t>RAG</w:t>
      </w:r>
      <w:r>
        <w:t>在大量原始文档中临时寻找相关段落</w:t>
      </w:r>
      <w:r>
        <w:t>[1]</w:t>
      </w:r>
      <w:r>
        <w:t>，回答</w:t>
      </w:r>
      <w:r>
        <w:t>“</w:t>
      </w:r>
      <w:r>
        <w:t>哪些原文可能与问题有关</w:t>
      </w:r>
      <w:r>
        <w:t>”</w:t>
      </w:r>
      <w:r>
        <w:t>。概念笔记库保存研究者已经完成的跨文献整理，回答</w:t>
      </w:r>
      <w:r>
        <w:t>“</w:t>
      </w:r>
      <w:r>
        <w:t>读过的论文共同支持什么，分歧又在哪里</w:t>
      </w:r>
      <w:r>
        <w:t>”</w:t>
      </w:r>
      <w:r>
        <w:t>。</w:t>
      </w:r>
    </w:p>
    <w:p w14:paraId="007043C4" w14:textId="77777777" w:rsidR="005529F4" w:rsidRDefault="00000000">
      <w:pPr>
        <w:pStyle w:val="a"/>
      </w:pPr>
      <w:r>
        <w:t>尚未精读的全文可以放入本地搜索库，用来发现候选论文。但搜索没有命中，只能说明当前语料没有找到，不能据此声称</w:t>
      </w:r>
      <w:r>
        <w:t>“</w:t>
      </w:r>
      <w:r>
        <w:t>尚无人研究</w:t>
      </w:r>
      <w:r>
        <w:t>”</w:t>
      </w:r>
      <w:r>
        <w:t>。</w:t>
      </w:r>
    </w:p>
    <w:p w14:paraId="6DE47883" w14:textId="77777777" w:rsidR="005529F4" w:rsidRDefault="00000000">
      <w:pPr>
        <w:pStyle w:val="a"/>
      </w:pPr>
      <w:r>
        <w:t>L4</w:t>
      </w:r>
      <w:r>
        <w:t>把一类任务的做法写成可以反复使用的操作说明，本文把这种说明称为</w:t>
      </w:r>
      <w:r>
        <w:t>“</w:t>
      </w:r>
      <w:r>
        <w:t>技能</w:t>
      </w:r>
      <w:r>
        <w:t>”</w:t>
      </w:r>
      <w:r>
        <w:t>。不同任务需要不同的技能。文献入库技能会写明怎样核对作者、题目和数字对象标识符（</w:t>
      </w:r>
      <w:r>
        <w:t>digital object identifier</w:t>
      </w:r>
      <w:r>
        <w:t>，</w:t>
      </w:r>
      <w:r>
        <w:t>DOI</w:t>
      </w:r>
      <w:r>
        <w:t>），怎样摘录关键数字，以及需要更新哪些概念页。</w:t>
      </w:r>
    </w:p>
    <w:p w14:paraId="70F03046" w14:textId="77777777" w:rsidR="005529F4" w:rsidRDefault="00000000">
      <w:pPr>
        <w:pStyle w:val="a"/>
      </w:pPr>
      <w:r>
        <w:t>论文写作技能规定怎样检查论证和引文。数值调试技能则要求先检查哈密顿量、单位、反应通道和边界条件，再查看优化器或拟合指标。</w:t>
      </w:r>
    </w:p>
    <w:p w14:paraId="4978EE62" w14:textId="77777777" w:rsidR="005529F4" w:rsidRDefault="00000000">
      <w:pPr>
        <w:pStyle w:val="a"/>
      </w:pPr>
      <w:r>
        <w:t>技能文件也由</w:t>
      </w:r>
      <w:r>
        <w:t>Git</w:t>
      </w:r>
      <w:r>
        <w:t>版本控制工具记录。实际任务中发现新的问题后，相应规则可以继续修订。公开实现能够提供一个起点</w:t>
      </w:r>
      <w:r>
        <w:t>[10]</w:t>
      </w:r>
      <w:r>
        <w:t>，具体采用哪些页面字段、命名方式和审批规则，仍要根据研究方向与课题组要求确定。</w:t>
      </w:r>
    </w:p>
    <w:p w14:paraId="3F5DF04E" w14:textId="77777777" w:rsidR="005529F4" w:rsidRDefault="00000000">
      <w:pPr>
        <w:pStyle w:val="a"/>
      </w:pPr>
      <w:r>
        <w:t>vibe coding</w:t>
      </w:r>
      <w:r>
        <w:t>也要遵守这一层的规则。技能需要指定参考程序或解析极限，并规定数值比较要达到什么精度。它还要说明代码满足什么条件后才能上机，以及结果和差异保存在哪里。代码生成得快，验证标准不能随之降低。</w:t>
      </w:r>
    </w:p>
    <w:p w14:paraId="11D8BDD9" w14:textId="77777777" w:rsidR="005529F4" w:rsidRDefault="00000000">
      <w:pPr>
        <w:pStyle w:val="a"/>
      </w:pPr>
      <w:r>
        <w:t>L5</w:t>
      </w:r>
      <w:r>
        <w:t>保存研究者明确指出过的错误，以及以后应当怎样避免。它不备份整段聊天记录，只收录在同类任务中仍然有用的规则。例如，</w:t>
      </w:r>
      <w:r>
        <w:t>“</w:t>
      </w:r>
      <w:r>
        <w:t>修改一个报告时不得自动同步其他报告目录</w:t>
      </w:r>
      <w:r>
        <w:t>”</w:t>
      </w:r>
      <w:r>
        <w:t>会直接改变后续操作；</w:t>
      </w:r>
      <w:r>
        <w:t>“</w:t>
      </w:r>
      <w:r>
        <w:t>今天讨论得很好</w:t>
      </w:r>
      <w:r>
        <w:t>”</w:t>
      </w:r>
      <w:r>
        <w:t>则没有长期用途。</w:t>
      </w:r>
    </w:p>
    <w:p w14:paraId="42F7FBAF" w14:textId="77777777" w:rsidR="005529F4" w:rsidRDefault="00000000">
      <w:pPr>
        <w:pStyle w:val="a"/>
      </w:pPr>
      <w:r>
        <w:t>与前述</w:t>
      </w:r>
      <w:proofErr w:type="spellStart"/>
      <w:r>
        <w:t>Reflexion</w:t>
      </w:r>
      <w:proofErr w:type="spellEnd"/>
      <w:r>
        <w:t>相似，这一层也让语言反馈影响后续尝试</w:t>
      </w:r>
      <w:r>
        <w:t>[4]</w:t>
      </w:r>
      <w:r>
        <w:t>。这里的每条反馈都要写进可以检查的本地文件，并注明它来自哪次任务。</w:t>
      </w:r>
    </w:p>
    <w:p w14:paraId="3E7F37D9" w14:textId="77777777" w:rsidR="005529F4" w:rsidRDefault="00000000">
      <w:pPr>
        <w:pStyle w:val="a"/>
      </w:pPr>
      <w:r>
        <w:t>只有把任务结果写回文件，五层记录才会真正积累。读完的新论文要进入文献页和概念页，验证有效的方法要补进技能，研究者的纠正要写入反馈记忆。走不通的路线和重要项目节点也要留下记录。下一次会话可以从这些文件继续，而不必重新接待一个</w:t>
      </w:r>
      <w:r>
        <w:t>“</w:t>
      </w:r>
      <w:r>
        <w:t>失忆的新生</w:t>
      </w:r>
      <w:r>
        <w:t>”</w:t>
      </w:r>
      <w:r>
        <w:t>。</w:t>
      </w:r>
    </w:p>
    <w:p w14:paraId="318E606A" w14:textId="77777777" w:rsidR="005529F4" w:rsidRDefault="00000000">
      <w:pPr>
        <w:pStyle w:val="2"/>
        <w:rPr>
          <w:rFonts w:hint="default"/>
        </w:rPr>
      </w:pPr>
      <w:r>
        <w:t xml:space="preserve">3 </w:t>
      </w:r>
      <w:r>
        <w:t>日常维护与文献证据层次</w:t>
      </w:r>
    </w:p>
    <w:p w14:paraId="3E15A184" w14:textId="77777777" w:rsidR="005529F4" w:rsidRDefault="00000000">
      <w:pPr>
        <w:pStyle w:val="a"/>
      </w:pPr>
      <w:r>
        <w:t>知识库平时做三件事：把新资料写进库里，带着问题从库里找答案，定期检查记录中的错误。本文分别称为入库（</w:t>
      </w:r>
      <w:r>
        <w:t>ingest</w:t>
      </w:r>
      <w:r>
        <w:t>）、查询（</w:t>
      </w:r>
      <w:r>
        <w:t>query</w:t>
      </w:r>
      <w:r>
        <w:t>）和体检（</w:t>
      </w:r>
      <w:r>
        <w:t>lint</w:t>
      </w:r>
      <w:r>
        <w:t>）。每次操作都要留下研究者可以检查的结果，见表</w:t>
      </w:r>
      <w:r>
        <w:t>2</w:t>
      </w:r>
      <w:r>
        <w:t>。</w:t>
      </w:r>
    </w:p>
    <w:p w14:paraId="5EE22B14" w14:textId="77777777" w:rsidR="005529F4" w:rsidRDefault="00000000">
      <w:pPr>
        <w:pStyle w:val="aa"/>
        <w:keepNext/>
      </w:pPr>
      <w:r>
        <w:rPr>
          <w:rFonts w:eastAsia="SimHei"/>
          <w:b/>
        </w:rPr>
        <w:t>表</w:t>
      </w:r>
      <w:r>
        <w:rPr>
          <w:rFonts w:eastAsia="SimHei"/>
          <w:b/>
        </w:rPr>
        <w:t xml:space="preserve">2  </w:t>
      </w:r>
      <w:r>
        <w:rPr>
          <w:rFonts w:eastAsia="SimHei"/>
          <w:b/>
        </w:rPr>
        <w:t>知识库三类操作及其审查关口</w:t>
      </w:r>
      <w:r>
        <w:rPr>
          <w:rFonts w:eastAsia="SimHei"/>
          <w:b/>
        </w:rPr>
        <w:br/>
      </w:r>
      <w:r>
        <w:rPr>
          <w:rFonts w:eastAsia="Times New Roman"/>
        </w:rPr>
        <w:lastRenderedPageBreak/>
        <w:t>Table 2  Three knowledge-</w:t>
      </w:r>
      <w:proofErr w:type="spellStart"/>
      <w:r>
        <w:rPr>
          <w:rFonts w:eastAsia="Times New Roman"/>
        </w:rPr>
        <w:t>base</w:t>
      </w:r>
      <w:proofErr w:type="spellEnd"/>
      <w:r>
        <w:rPr>
          <w:rFonts w:eastAsia="Times New Roman"/>
        </w:rPr>
        <w:t xml:space="preserve"> operations and their review gates</w:t>
      </w:r>
    </w:p>
    <w:tbl>
      <w:tblPr>
        <w:tblW w:w="9695" w:type="dxa"/>
        <w:tblInd w:w="12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75" w:type="dxa"/>
          <w:left w:w="120" w:type="dxa"/>
          <w:bottom w:w="75" w:type="dxa"/>
          <w:right w:w="120" w:type="dxa"/>
        </w:tblCellMar>
        <w:tblLook w:val="04A0" w:firstRow="1" w:lastRow="0" w:firstColumn="1" w:lastColumn="0" w:noHBand="0" w:noVBand="1"/>
      </w:tblPr>
      <w:tblGrid>
        <w:gridCol w:w="1551"/>
        <w:gridCol w:w="2230"/>
        <w:gridCol w:w="3296"/>
        <w:gridCol w:w="2618"/>
      </w:tblGrid>
      <w:tr w:rsidR="005529F4" w14:paraId="1DCC6799" w14:textId="77777777">
        <w:trPr>
          <w:tblHeader/>
        </w:trPr>
        <w:tc>
          <w:tcPr>
            <w:tcW w:w="1551" w:type="dxa"/>
            <w:tcBorders>
              <w:bottom w:val="single" w:sz="6" w:space="0" w:color="000000"/>
            </w:tcBorders>
            <w:vAlign w:val="center"/>
          </w:tcPr>
          <w:p w14:paraId="259B8E36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b/>
                <w:sz w:val="17"/>
              </w:rPr>
              <w:t>操作</w:t>
            </w:r>
            <w:proofErr w:type="spellEnd"/>
          </w:p>
        </w:tc>
        <w:tc>
          <w:tcPr>
            <w:tcW w:w="2230" w:type="dxa"/>
            <w:tcBorders>
              <w:bottom w:val="single" w:sz="6" w:space="0" w:color="000000"/>
            </w:tcBorders>
            <w:vAlign w:val="center"/>
          </w:tcPr>
          <w:p w14:paraId="5BAB6F54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b/>
                <w:sz w:val="17"/>
              </w:rPr>
              <w:t>主要输入</w:t>
            </w:r>
            <w:proofErr w:type="spellEnd"/>
          </w:p>
        </w:tc>
        <w:tc>
          <w:tcPr>
            <w:tcW w:w="3296" w:type="dxa"/>
            <w:tcBorders>
              <w:bottom w:val="single" w:sz="6" w:space="0" w:color="000000"/>
            </w:tcBorders>
            <w:vAlign w:val="center"/>
          </w:tcPr>
          <w:p w14:paraId="5ADACED1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b/>
                <w:sz w:val="17"/>
              </w:rPr>
              <w:t>写回产物</w:t>
            </w:r>
            <w:proofErr w:type="spellEnd"/>
          </w:p>
        </w:tc>
        <w:tc>
          <w:tcPr>
            <w:tcW w:w="2618" w:type="dxa"/>
            <w:tcBorders>
              <w:bottom w:val="single" w:sz="6" w:space="0" w:color="000000"/>
            </w:tcBorders>
            <w:vAlign w:val="center"/>
          </w:tcPr>
          <w:p w14:paraId="173D17F2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b/>
                <w:sz w:val="17"/>
              </w:rPr>
              <w:t>人工审查关口</w:t>
            </w:r>
            <w:proofErr w:type="spellEnd"/>
          </w:p>
        </w:tc>
      </w:tr>
      <w:tr w:rsidR="005529F4" w14:paraId="6D09A21A" w14:textId="77777777">
        <w:tc>
          <w:tcPr>
            <w:tcW w:w="1551" w:type="dxa"/>
            <w:vAlign w:val="center"/>
          </w:tcPr>
          <w:p w14:paraId="45AF1367" w14:textId="77777777" w:rsidR="005529F4" w:rsidRDefault="00000000">
            <w:pPr>
              <w:spacing w:line="210" w:lineRule="exact"/>
            </w:pPr>
            <w:proofErr w:type="spellStart"/>
            <w:r>
              <w:rPr>
                <w:sz w:val="17"/>
              </w:rPr>
              <w:t>入库（</w:t>
            </w:r>
            <w:r>
              <w:rPr>
                <w:sz w:val="17"/>
              </w:rPr>
              <w:t>ingest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2230" w:type="dxa"/>
            <w:vAlign w:val="center"/>
          </w:tcPr>
          <w:p w14:paraId="68882072" w14:textId="77777777" w:rsidR="005529F4" w:rsidRDefault="00000000">
            <w:pPr>
              <w:spacing w:line="210" w:lineRule="exact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PDF</w:t>
            </w:r>
            <w:r>
              <w:rPr>
                <w:sz w:val="17"/>
                <w:lang w:eastAsia="zh-CN"/>
              </w:rPr>
              <w:t>文件、预印本、报告、代码说明</w:t>
            </w:r>
          </w:p>
        </w:tc>
        <w:tc>
          <w:tcPr>
            <w:tcW w:w="3296" w:type="dxa"/>
            <w:vAlign w:val="center"/>
          </w:tcPr>
          <w:p w14:paraId="4951A0F0" w14:textId="77777777" w:rsidR="005529F4" w:rsidRDefault="00000000">
            <w:pPr>
              <w:spacing w:line="210" w:lineRule="exact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文献页、概念页、索引、日志</w:t>
            </w:r>
          </w:p>
        </w:tc>
        <w:tc>
          <w:tcPr>
            <w:tcW w:w="2618" w:type="dxa"/>
            <w:vAlign w:val="center"/>
          </w:tcPr>
          <w:p w14:paraId="5B97E3C3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核对关键公式、数字和文献信息</w:t>
            </w:r>
          </w:p>
        </w:tc>
      </w:tr>
      <w:tr w:rsidR="005529F4" w14:paraId="44C96697" w14:textId="77777777">
        <w:tc>
          <w:tcPr>
            <w:tcW w:w="1551" w:type="dxa"/>
            <w:vAlign w:val="center"/>
          </w:tcPr>
          <w:p w14:paraId="259CBFB9" w14:textId="77777777" w:rsidR="005529F4" w:rsidRDefault="00000000">
            <w:pPr>
              <w:spacing w:line="210" w:lineRule="exact"/>
            </w:pPr>
            <w:proofErr w:type="spellStart"/>
            <w:r>
              <w:rPr>
                <w:sz w:val="17"/>
              </w:rPr>
              <w:t>查询（</w:t>
            </w:r>
            <w:r>
              <w:rPr>
                <w:sz w:val="17"/>
              </w:rPr>
              <w:t>query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2230" w:type="dxa"/>
            <w:vAlign w:val="center"/>
          </w:tcPr>
          <w:p w14:paraId="0973F4DA" w14:textId="77777777" w:rsidR="005529F4" w:rsidRDefault="00000000">
            <w:pPr>
              <w:spacing w:line="210" w:lineRule="exact"/>
              <w:jc w:val="center"/>
            </w:pPr>
            <w:proofErr w:type="spellStart"/>
            <w:r>
              <w:rPr>
                <w:sz w:val="17"/>
              </w:rPr>
              <w:t>研究问题与限定条件</w:t>
            </w:r>
            <w:proofErr w:type="spellEnd"/>
          </w:p>
        </w:tc>
        <w:tc>
          <w:tcPr>
            <w:tcW w:w="3296" w:type="dxa"/>
            <w:vAlign w:val="center"/>
          </w:tcPr>
          <w:p w14:paraId="4084FE1A" w14:textId="77777777" w:rsidR="005529F4" w:rsidRDefault="00000000">
            <w:pPr>
              <w:spacing w:line="210" w:lineRule="exact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带来源的回答、比较表或综合页</w:t>
            </w:r>
          </w:p>
        </w:tc>
        <w:tc>
          <w:tcPr>
            <w:tcW w:w="2618" w:type="dxa"/>
            <w:vAlign w:val="center"/>
          </w:tcPr>
          <w:p w14:paraId="4914FA0B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判断物理解释和适用范围</w:t>
            </w:r>
          </w:p>
        </w:tc>
      </w:tr>
      <w:tr w:rsidR="005529F4" w14:paraId="2FF04536" w14:textId="77777777">
        <w:tc>
          <w:tcPr>
            <w:tcW w:w="1551" w:type="dxa"/>
            <w:vAlign w:val="center"/>
          </w:tcPr>
          <w:p w14:paraId="7D718C96" w14:textId="77777777" w:rsidR="005529F4" w:rsidRDefault="00000000">
            <w:pPr>
              <w:spacing w:line="210" w:lineRule="exact"/>
            </w:pPr>
            <w:proofErr w:type="spellStart"/>
            <w:r>
              <w:rPr>
                <w:sz w:val="17"/>
              </w:rPr>
              <w:t>体检（</w:t>
            </w:r>
            <w:r>
              <w:rPr>
                <w:sz w:val="17"/>
              </w:rPr>
              <w:t>lint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2230" w:type="dxa"/>
            <w:vAlign w:val="center"/>
          </w:tcPr>
          <w:p w14:paraId="082B5F9D" w14:textId="77777777" w:rsidR="005529F4" w:rsidRDefault="00000000">
            <w:pPr>
              <w:spacing w:line="210" w:lineRule="exact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页面字段、链接与时间线</w:t>
            </w:r>
          </w:p>
        </w:tc>
        <w:tc>
          <w:tcPr>
            <w:tcW w:w="3296" w:type="dxa"/>
            <w:vAlign w:val="center"/>
          </w:tcPr>
          <w:p w14:paraId="02FFCCF3" w14:textId="77777777" w:rsidR="005529F4" w:rsidRDefault="00000000">
            <w:pPr>
              <w:spacing w:line="210" w:lineRule="exact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矛盾、孤页、断链、陈旧说法清单</w:t>
            </w:r>
          </w:p>
        </w:tc>
        <w:tc>
          <w:tcPr>
            <w:tcW w:w="2618" w:type="dxa"/>
            <w:vAlign w:val="center"/>
          </w:tcPr>
          <w:p w14:paraId="2A66419F" w14:textId="77777777" w:rsidR="005529F4" w:rsidRDefault="00000000">
            <w:pPr>
              <w:spacing w:line="210" w:lineRule="exact"/>
              <w:rPr>
                <w:lang w:eastAsia="zh-CN"/>
              </w:rPr>
            </w:pPr>
            <w:r>
              <w:rPr>
                <w:sz w:val="17"/>
                <w:lang w:eastAsia="zh-CN"/>
              </w:rPr>
              <w:t>决定修复、合并或保留分歧</w:t>
            </w:r>
          </w:p>
        </w:tc>
      </w:tr>
    </w:tbl>
    <w:p w14:paraId="2F9BE7EF" w14:textId="77777777" w:rsidR="005529F4" w:rsidRDefault="005529F4">
      <w:pPr>
        <w:pStyle w:val="a"/>
        <w:ind w:firstLine="0"/>
      </w:pPr>
    </w:p>
    <w:p w14:paraId="0B1D81F6" w14:textId="77777777" w:rsidR="005529F4" w:rsidRDefault="00000000">
      <w:pPr>
        <w:pStyle w:val="a"/>
      </w:pPr>
      <w:r>
        <w:t>文献工作也分成三个层次。发现层使用</w:t>
      </w:r>
      <w:r>
        <w:t>INSPIRE</w:t>
      </w:r>
      <w:r>
        <w:t>、</w:t>
      </w:r>
      <w:proofErr w:type="spellStart"/>
      <w:r>
        <w:t>arXiv</w:t>
      </w:r>
      <w:proofErr w:type="spellEnd"/>
      <w:r>
        <w:t>和</w:t>
      </w:r>
      <w:proofErr w:type="spellStart"/>
      <w:r>
        <w:t>Crossref</w:t>
      </w:r>
      <w:proofErr w:type="spellEnd"/>
      <w:r>
        <w:t>等在线数据库查找论文，并核对作者、题目、期刊和</w:t>
      </w:r>
      <w:r>
        <w:t>DOI</w:t>
      </w:r>
      <w:r>
        <w:t>。全文层保存可以批量搜索的本地论文，用于投稿前检查可能漏引的方法、关键词和反应体系。综合层只收录研究者为精读论文整理的文献笔记，这些笔记必须带有来源和链接。</w:t>
      </w:r>
    </w:p>
    <w:p w14:paraId="060F6E72" w14:textId="77777777" w:rsidR="005529F4" w:rsidRDefault="00000000">
      <w:pPr>
        <w:pStyle w:val="a"/>
      </w:pPr>
      <w:r>
        <w:t>这三个层次不能互相代替。在线搜索找到一篇论文，不等于已经读过它。本地全文没有搜到某个词，也不能证明相关工作从未发表。知识库中的摘要只负责帮助定位，涉及公式、表格和关键数字时仍要回到原文。</w:t>
      </w:r>
    </w:p>
    <w:p w14:paraId="190CC81C" w14:textId="77777777" w:rsidR="005529F4" w:rsidRDefault="00000000">
      <w:pPr>
        <w:pStyle w:val="a"/>
      </w:pPr>
      <w:r>
        <w:t>每条准备写进论文的引文，还要附一份查验记录。记录应说明论文从哪里找到，作者、题目和</w:t>
      </w:r>
      <w:r>
        <w:t>DOI</w:t>
      </w:r>
      <w:r>
        <w:t>由哪个权威数据库核对，研究者是否已经精读。它还要指出，原文哪一页或哪一段支持当前说法。</w:t>
      </w:r>
    </w:p>
    <w:p w14:paraId="1A659298" w14:textId="77777777" w:rsidR="005529F4" w:rsidRDefault="00000000">
      <w:pPr>
        <w:pStyle w:val="a"/>
      </w:pPr>
      <w:r>
        <w:t>会直接影响论文结论的说法，可以再交给第二个模型检查，前提是输入材料符合保密要求。两个模型给出相同意见，也不代表结论自动成立。最终仍要回到原始资料、独立数值基准和研究者判断。后面的清点会具体说明，跨模型检查实际找到了哪些问题，又没有找到哪些问题。</w:t>
      </w:r>
    </w:p>
    <w:p w14:paraId="45B5A271" w14:textId="77777777" w:rsidR="005529F4" w:rsidRDefault="00000000">
      <w:pPr>
        <w:pStyle w:val="a"/>
      </w:pPr>
      <w:r>
        <w:t>起步时不需要搭建复杂平台。一个原始资料目录、一套</w:t>
      </w:r>
      <w:r>
        <w:t>Markdown</w:t>
      </w:r>
      <w:r>
        <w:t>格式的笔记、一个能够读写文件的智能体，再加一份页面字段和命名规则，已经足够。</w:t>
      </w:r>
    </w:p>
    <w:p w14:paraId="64259EFE" w14:textId="77777777" w:rsidR="005529F4" w:rsidRDefault="00000000">
      <w:pPr>
        <w:pStyle w:val="a"/>
      </w:pPr>
      <w:r>
        <w:t>文献逐渐增多后，可以再加入统一词表、自动索引、定期体检、本地全文搜索和跨模型检查。从当天读完的一篇论文开始，更容易看清哪些功能确实需要。</w:t>
      </w:r>
    </w:p>
    <w:p w14:paraId="12515D3A" w14:textId="77777777" w:rsidR="005529F4" w:rsidRDefault="00000000">
      <w:pPr>
        <w:pStyle w:val="2"/>
        <w:rPr>
          <w:rFonts w:hint="default"/>
        </w:rPr>
      </w:pPr>
      <w:r>
        <w:t xml:space="preserve">4 </w:t>
      </w:r>
      <w:r>
        <w:t>实际使用与一次预注册清点</w:t>
      </w:r>
    </w:p>
    <w:p w14:paraId="56724393" w14:textId="77777777" w:rsidR="005529F4" w:rsidRDefault="00000000">
      <w:pPr>
        <w:pStyle w:val="a"/>
      </w:pPr>
      <w:r>
        <w:t>这套架构已用于核反应理论、光学势统计推断、散射模拟器和论文项目管理。实际系统包括两个本地知识库。文献知识库保存读过的论文和跨文献整理，本地全文库负责寻找可能相关但尚未精读的论文。研究档案库保存项目状态、工作方法、失败记录和时间线。</w:t>
      </w:r>
    </w:p>
    <w:p w14:paraId="78973F82" w14:textId="77777777" w:rsidR="005529F4" w:rsidRDefault="00000000">
      <w:pPr>
        <w:pStyle w:val="a"/>
      </w:pPr>
      <w:r>
        <w:t>第一个案例是一项带出处的研究查询。实际问题是：</w:t>
      </w:r>
      <w:r>
        <w:t>“</w:t>
      </w:r>
      <w:r>
        <w:t>我读过的文献里，谁的结果与</w:t>
      </w:r>
      <w:r>
        <w:t>Koning-Delaroche</w:t>
      </w:r>
      <w:r>
        <w:t>全局光学势不一致？</w:t>
      </w:r>
      <w:r>
        <w:t>”</w:t>
      </w:r>
      <w:r>
        <w:t>普通模型可以介绍这个全局光学势，却不知道</w:t>
      </w:r>
      <w:r>
        <w:t>“</w:t>
      </w:r>
      <w:r>
        <w:t>我读过的</w:t>
      </w:r>
      <w:r>
        <w:t>”</w:t>
      </w:r>
      <w:r>
        <w:t>具体包括哪些论文。</w:t>
      </w:r>
    </w:p>
    <w:p w14:paraId="5D6C47A6" w14:textId="77777777" w:rsidR="005529F4" w:rsidRDefault="00000000">
      <w:pPr>
        <w:pStyle w:val="a"/>
      </w:pPr>
      <w:r>
        <w:t>接入知识库后，智能体先查光学势概念页，再找到一项利用实验数据更新模型参数概率分布的贝叶斯校准工作。该工作研究</w:t>
      </w:r>
      <w:r>
        <w:t>20 MeV</w:t>
      </w:r>
      <w:r>
        <w:t>下的</w:t>
      </w:r>
      <w:r>
        <w:t>d+58Ni</w:t>
      </w:r>
      <w:r>
        <w:t>弹性散射，同时校准</w:t>
      </w:r>
      <w:r>
        <w:t>18</w:t>
      </w:r>
      <w:r>
        <w:t>个光学势参数。更新后的参数分布表明，氘核表面吸收强度比</w:t>
      </w:r>
      <w:r>
        <w:t>Koning-Delaroche</w:t>
      </w:r>
      <w:r>
        <w:t>值高约</w:t>
      </w:r>
      <w:r>
        <w:t>36%[11]</w:t>
      </w:r>
      <w:r>
        <w:t>。</w:t>
      </w:r>
    </w:p>
    <w:p w14:paraId="1E059B06" w14:textId="77777777" w:rsidR="005529F4" w:rsidRDefault="00000000">
      <w:pPr>
        <w:pStyle w:val="a"/>
      </w:pPr>
      <w:r>
        <w:t>回答同时附上文献页和原始预印本。研究者可以据此核对反应体系与模型假设。</w:t>
      </w:r>
    </w:p>
    <w:p w14:paraId="58190859" w14:textId="77777777" w:rsidR="005529F4" w:rsidRDefault="00000000">
      <w:pPr>
        <w:pStyle w:val="a"/>
      </w:pPr>
      <w:r>
        <w:t>知识库在这里限定了回答的证据范围。库内已有的结论要连同出处返回；临时从库外找到的内容则要单独标明。模型说得流畅，并不能补上缺失的证据。</w:t>
      </w:r>
    </w:p>
    <w:p w14:paraId="53622FFF" w14:textId="77777777" w:rsidR="005529F4" w:rsidRDefault="00000000">
      <w:pPr>
        <w:pStyle w:val="a"/>
      </w:pPr>
      <w:r>
        <w:t>第二个案例是一篇三体核反应综述初稿。智能体先从文献知识库中提取已经形成的论证和已读引用，再到外部数据库寻找补充文献并核对文献信息。</w:t>
      </w:r>
    </w:p>
    <w:p w14:paraId="78D83887" w14:textId="77777777" w:rsidR="005529F4" w:rsidRDefault="00000000">
      <w:pPr>
        <w:pStyle w:val="a"/>
      </w:pPr>
      <w:r>
        <w:t>初稿中的引用分成两类。一类已经收录进精读文献库，另一类是本次写作中新发现、仍需阅读的候选。系统为每条引用生成查验记录，把长期阅读所得与临时补入的材料分开。物理判断、公式和文字仍由作者检查。</w:t>
      </w:r>
    </w:p>
    <w:p w14:paraId="19FD8CA7" w14:textId="77777777" w:rsidR="005529F4" w:rsidRDefault="00000000">
      <w:pPr>
        <w:pStyle w:val="a"/>
      </w:pPr>
      <w:r>
        <w:t>评价这类初稿，页数和引用总数没有多大意义。更有用的是检查来源能否追溯，以及新发现但尚未精读的论文有没有明确标出。还要确认同一版知识库能否重建文稿，作者能否找到支撑某条说法的原文位置。</w:t>
      </w:r>
    </w:p>
    <w:p w14:paraId="2F09B504" w14:textId="77777777" w:rsidR="005529F4" w:rsidRDefault="00000000">
      <w:pPr>
        <w:pStyle w:val="a"/>
      </w:pPr>
      <w:r>
        <w:lastRenderedPageBreak/>
        <w:t>这两个案例只能说明系统怎样使用，不能证明跨模型检查真的有效。本文为此做了一次预注册清点。</w:t>
      </w:r>
      <w:r>
        <w:t>“</w:t>
      </w:r>
      <w:r>
        <w:t>预注册</w:t>
      </w:r>
      <w:r>
        <w:t>”</w:t>
      </w:r>
      <w:r>
        <w:t>是指，在查看历史记录之前，先写下哪些事件可以计入、怎样判断发现了缺陷，以及什么结果算作失败。</w:t>
      </w:r>
    </w:p>
    <w:p w14:paraId="227225D5" w14:textId="77777777" w:rsidR="005529F4" w:rsidRDefault="00000000">
      <w:pPr>
        <w:pStyle w:val="a"/>
      </w:pPr>
      <w:r>
        <w:t>判据冻结后，再按预注册方案清点两个知识库中的历史记录。后续新增内容不进入本轮统计，而在下一轮清点时按同一判据处理。先定规则再看结果，可以减少只挑有利案例的空间。</w:t>
      </w:r>
    </w:p>
    <w:p w14:paraId="10222BE2" w14:textId="77777777" w:rsidR="005529F4" w:rsidRDefault="00000000">
      <w:pPr>
        <w:pStyle w:val="a"/>
      </w:pPr>
      <w:r>
        <w:t>先说明什么算一次跨模型检查。第二个模型必须检查一项具体的研究产物，例如手稿、代码、数值结果或引文，而且检查结果必须留有记录。结果可以是发现问题，也可以是确认没有问题；作者没有采纳的建议同样计入检查总数。</w:t>
      </w:r>
    </w:p>
    <w:p w14:paraId="09FA25DE" w14:textId="77777777" w:rsidR="005529F4" w:rsidRDefault="00000000">
      <w:pPr>
        <w:pStyle w:val="a"/>
      </w:pPr>
      <w:r>
        <w:t>“</w:t>
      </w:r>
      <w:r>
        <w:t>发现了可核查缺陷</w:t>
      </w:r>
      <w:r>
        <w:t>”</w:t>
      </w:r>
      <w:r>
        <w:t>的要求更严格。第二个模型需要指出具体问题，而且这个问题必须引起一处能够独立核对的修改。证据可以是</w:t>
      </w:r>
      <w:r>
        <w:t>Git</w:t>
      </w:r>
      <w:r>
        <w:t>提交记录、数据文件、修改前后的数值、文献信息核验结果或公开基准。只有意见而没有这类证据，仍算做过一次检查，但不算检出缺陷。</w:t>
      </w:r>
    </w:p>
    <w:p w14:paraId="5C8B61EE" w14:textId="77777777" w:rsidR="005529F4" w:rsidRDefault="00000000">
      <w:pPr>
        <w:pStyle w:val="a"/>
      </w:pPr>
      <w:r>
        <w:t>预注册还设了一道门槛。如果符合要求的检出少于</w:t>
      </w:r>
      <w:r>
        <w:t>3</w:t>
      </w:r>
      <w:r>
        <w:t>次，就不能把跨模型检查写成已有成效，只能把它作为一条工作规则。审稿材料、编辑材料、私有文件和自动体检结果在清点前已经排除。</w:t>
      </w:r>
    </w:p>
    <w:p w14:paraId="6A38CEB6" w14:textId="77777777" w:rsidR="005529F4" w:rsidRDefault="00000000">
      <w:pPr>
        <w:pStyle w:val="a"/>
      </w:pPr>
      <w:r>
        <w:t>清点共找到</w:t>
      </w:r>
      <w:r>
        <w:t>22</w:t>
      </w:r>
      <w:r>
        <w:t>次有记录的检查，其中</w:t>
      </w:r>
      <w:r>
        <w:t>8</w:t>
      </w:r>
      <w:r>
        <w:t>次留下了可以独立核对的修正证据。一部分问题出在智能体生成的知识库记录中。排除这些记录，只计算研究产物本身的缺陷，检出数降为</w:t>
      </w:r>
      <w:r>
        <w:t>5</w:t>
      </w:r>
      <w:r>
        <w:t>次。</w:t>
      </w:r>
    </w:p>
    <w:p w14:paraId="205F017F" w14:textId="77777777" w:rsidR="005529F4" w:rsidRDefault="00000000">
      <w:pPr>
        <w:pStyle w:val="a"/>
      </w:pPr>
      <w:r>
        <w:t>发现的问题包括引文信息错误、数值没有充分收敛、精度表述不准确，以及文字结论超出了计算实际支持的范围。</w:t>
      </w:r>
      <w:r>
        <w:t>5</w:t>
      </w:r>
      <w:r>
        <w:t>次检出超过了预先设定的</w:t>
      </w:r>
      <w:r>
        <w:t>3</w:t>
      </w:r>
      <w:r>
        <w:t>次门槛。</w:t>
      </w:r>
    </w:p>
    <w:p w14:paraId="77C935C2" w14:textId="77777777" w:rsidR="005529F4" w:rsidRDefault="00000000">
      <w:pPr>
        <w:pStyle w:val="a"/>
      </w:pPr>
      <w:r>
        <w:t>只有两个实例适合公开描述，其余事件涉及未发表手稿，只进入汇总计数。第一个实例来自一套在图形处理器（</w:t>
      </w:r>
      <w:r>
        <w:t>graphics processing unit</w:t>
      </w:r>
      <w:r>
        <w:t>，</w:t>
      </w:r>
      <w:r>
        <w:t>GPU</w:t>
      </w:r>
      <w:r>
        <w:t>）上运行的线性代数程序。论文原稿把总显存估算写成</w:t>
      </w:r>
      <w:r>
        <w:t>26 N²</w:t>
      </w:r>
      <w:r>
        <w:t>字节，另一个修订版本又写成</w:t>
      </w:r>
      <w:r>
        <w:t>48 N²</w:t>
      </w:r>
      <w:r>
        <w:t>字节，其中</w:t>
      </w:r>
      <w:r>
        <w:t>N</w:t>
      </w:r>
      <w:r>
        <w:t>是矩阵维数。</w:t>
      </w:r>
    </w:p>
    <w:p w14:paraId="7D203E65" w14:textId="77777777" w:rsidR="005529F4" w:rsidRDefault="00000000">
      <w:pPr>
        <w:pStyle w:val="a"/>
      </w:pPr>
      <w:r>
        <w:t>第二个模型没有继续估算，而是要求调用英伟达（</w:t>
      </w:r>
      <w:r>
        <w:t>NVIDIA</w:t>
      </w:r>
      <w:r>
        <w:t>）提供的</w:t>
      </w:r>
      <w:r>
        <w:t>GPU</w:t>
      </w:r>
      <w:r>
        <w:t>线性代数库</w:t>
      </w:r>
      <w:proofErr w:type="spellStart"/>
      <w:r>
        <w:t>cuSOLVER</w:t>
      </w:r>
      <w:proofErr w:type="spellEnd"/>
      <w:r>
        <w:t>，直接查询求解时需要的临时工作区。</w:t>
      </w:r>
      <w:r>
        <w:t>N=25600</w:t>
      </w:r>
      <w:r>
        <w:t>时，程序返回</w:t>
      </w:r>
      <w:r>
        <w:t>655364512</w:t>
      </w:r>
      <w:r>
        <w:t>个单精度复数元素，约等于</w:t>
      </w:r>
      <w:r>
        <w:t>N²</w:t>
      </w:r>
      <w:r>
        <w:t>。这部分工作区本身约占</w:t>
      </w:r>
      <w:r>
        <w:t>8 N²</w:t>
      </w:r>
      <w:r>
        <w:t>字节。</w:t>
      </w:r>
    </w:p>
    <w:p w14:paraId="5906B0AF" w14:textId="77777777" w:rsidR="005529F4" w:rsidRDefault="00000000">
      <w:pPr>
        <w:pStyle w:val="a"/>
      </w:pPr>
      <w:r>
        <w:t>结合其余数组后，总显存公式应为</w:t>
      </w:r>
      <w:r>
        <w:t>32 N²</w:t>
      </w:r>
      <w:r>
        <w:t>字节</w:t>
      </w:r>
      <w:r>
        <w:t>[12]</w:t>
      </w:r>
      <w:r>
        <w:t>。修改前后的公式和实测结果都有记录，也可以在同型号显卡上重新查询。</w:t>
      </w:r>
    </w:p>
    <w:p w14:paraId="70B51D7C" w14:textId="77777777" w:rsidR="005529F4" w:rsidRDefault="00000000">
      <w:pPr>
        <w:pStyle w:val="a"/>
      </w:pPr>
      <w:r>
        <w:t>第二个实例发生在神经网络散射波函数项目的记录整理中。第一个模型根据一个未经核对的比值写出了项目的中心结论。第二个模型要求回到实际评测文件，并据此否定了这条结论</w:t>
      </w:r>
      <w:r>
        <w:t>[13]</w:t>
      </w:r>
      <w:r>
        <w:t>。错误判断和订正都保留在版本历史中。</w:t>
      </w:r>
    </w:p>
    <w:p w14:paraId="6F391E2C" w14:textId="77777777" w:rsidR="005529F4" w:rsidRDefault="00000000">
      <w:pPr>
        <w:pStyle w:val="a"/>
      </w:pPr>
      <w:r>
        <w:t>清点还有一个明确的阴性结果。在这</w:t>
      </w:r>
      <w:r>
        <w:t>22</w:t>
      </w:r>
      <w:r>
        <w:t>次记录中，没有一次是第二个模型通过阅读源代码发现了程序错误。这并不说明代码没有缺陷，只说明现有记录没有提供</w:t>
      </w:r>
      <w:r>
        <w:t>“</w:t>
      </w:r>
      <w:r>
        <w:t>第二个模型能找出代码错误</w:t>
      </w:r>
      <w:r>
        <w:t>”</w:t>
      </w:r>
      <w:r>
        <w:t>的证据。</w:t>
      </w:r>
    </w:p>
    <w:p w14:paraId="7D476F0C" w14:textId="77777777" w:rsidR="005529F4" w:rsidRDefault="00000000">
      <w:pPr>
        <w:pStyle w:val="a"/>
      </w:pPr>
      <w:r>
        <w:t>跨模型检查主要发现了文字声明、引文和数值叙述的问题。这样的检查不能证明程序正确，</w:t>
      </w:r>
      <w:r>
        <w:t>vibe coding</w:t>
      </w:r>
      <w:r>
        <w:t>生成的科研代码仍需单独验证。</w:t>
      </w:r>
    </w:p>
    <w:p w14:paraId="387C234F" w14:textId="77777777" w:rsidR="005529F4" w:rsidRDefault="00000000">
      <w:pPr>
        <w:pStyle w:val="a"/>
      </w:pPr>
      <w:r>
        <w:t>本次清点记录了</w:t>
      </w:r>
      <w:r>
        <w:t>22</w:t>
      </w:r>
      <w:r>
        <w:t>次跨模型检查，其中</w:t>
      </w:r>
      <w:r>
        <w:t>8</w:t>
      </w:r>
      <w:r>
        <w:t>次留下了可以核查的修正证据。虽然</w:t>
      </w:r>
      <w:r>
        <w:t>8/22</w:t>
      </w:r>
      <w:r>
        <w:t>约为</w:t>
      </w:r>
      <w:r>
        <w:t>36%</w:t>
      </w:r>
      <w:r>
        <w:t>，这个比例不能解释为跨模型检查的缺陷检出率。只有当天写进知识库的检查才会进入清点，很多日常检查并没有专门归档。其中很可能包括更多</w:t>
      </w:r>
      <w:r>
        <w:t>“</w:t>
      </w:r>
      <w:r>
        <w:t>没有发现问题</w:t>
      </w:r>
      <w:r>
        <w:t>”</w:t>
      </w:r>
      <w:r>
        <w:t>或只提出小修改的情况。</w:t>
      </w:r>
    </w:p>
    <w:p w14:paraId="0D636299" w14:textId="77777777" w:rsidR="005529F4" w:rsidRDefault="00000000">
      <w:pPr>
        <w:pStyle w:val="a"/>
      </w:pPr>
      <w:r>
        <w:t>真实的检查总数已经无法重建。因此，</w:t>
      </w:r>
      <w:r>
        <w:t>22</w:t>
      </w:r>
      <w:r>
        <w:t>次检查和</w:t>
      </w:r>
      <w:r>
        <w:t>8</w:t>
      </w:r>
      <w:r>
        <w:t>次有修正证据的记录，都只能看作已归档事件的下界，不能用来估计缺陷检出频率。</w:t>
      </w:r>
    </w:p>
    <w:p w14:paraId="38CA3357" w14:textId="77777777" w:rsidR="005529F4" w:rsidRDefault="00000000">
      <w:pPr>
        <w:pStyle w:val="a"/>
      </w:pPr>
      <w:r>
        <w:t>实际清点偏离了预注册方案的一项规定。原方案写明：</w:t>
      </w:r>
      <w:r>
        <w:t>“</w:t>
      </w:r>
      <w:r>
        <w:t>若无法可靠重建总体，本测量作废。</w:t>
      </w:r>
      <w:r>
        <w:t>”</w:t>
      </w:r>
      <w:r>
        <w:t>清点后，本文放弃报告检出率，只保留能够确认的计数下界。报告已经找到多少条记录，并不要求总体完整。</w:t>
      </w:r>
    </w:p>
    <w:p w14:paraId="40206D71" w14:textId="77777777" w:rsidR="005529F4" w:rsidRDefault="00000000">
      <w:pPr>
        <w:pStyle w:val="a"/>
      </w:pPr>
      <w:r>
        <w:t>这个处理是在判据冻结之后作出的，所以必须公开说明，不能回头修改原方案。扫描第二个知识库时，还补齐了第一轮某个事件缺少的证据。由于这份证据也是在判据冻结后找到的，原来的分类没有升级。</w:t>
      </w:r>
    </w:p>
    <w:p w14:paraId="371363EA" w14:textId="77777777" w:rsidR="005529F4" w:rsidRDefault="00000000">
      <w:pPr>
        <w:pStyle w:val="2"/>
        <w:rPr>
          <w:rFonts w:hint="default"/>
        </w:rPr>
      </w:pPr>
      <w:r>
        <w:lastRenderedPageBreak/>
        <w:t xml:space="preserve">5 </w:t>
      </w:r>
      <w:r>
        <w:t>可复现性、失效模式与科研治理</w:t>
      </w:r>
    </w:p>
    <w:p w14:paraId="7DECD601" w14:textId="77777777" w:rsidR="005529F4" w:rsidRDefault="00000000">
      <w:pPr>
        <w:pStyle w:val="a"/>
      </w:pPr>
      <w:r>
        <w:t>vibe coding</w:t>
      </w:r>
      <w:r>
        <w:t>容易让人把</w:t>
      </w:r>
      <w:r>
        <w:t>“</w:t>
      </w:r>
      <w:r>
        <w:t>程序能运行</w:t>
      </w:r>
      <w:r>
        <w:t>”</w:t>
      </w:r>
      <w:r>
        <w:t>误认为</w:t>
      </w:r>
      <w:r>
        <w:t>“</w:t>
      </w:r>
      <w:r>
        <w:t>结果可信</w:t>
      </w:r>
      <w:r>
        <w:t>”</w:t>
      </w:r>
      <w:r>
        <w:t>。一段脚本可以顺利执行，也能画出看似合理的曲线，但它仍可能使用错误单位、漏掉通道耦合、采用尚未收敛的分波数，或者读取了与论文正文不同的参数。这些错误通常不会让程序崩溃。</w:t>
      </w:r>
    </w:p>
    <w:p w14:paraId="01DAE7F1" w14:textId="77777777" w:rsidR="005529F4" w:rsidRDefault="00000000">
      <w:pPr>
        <w:pStyle w:val="a"/>
      </w:pPr>
      <w:r>
        <w:t>研究者过去可以逐行阅读自己写的代码。模型在短时间内生成大量代码后，只靠逐行审查已经很难覆盖全部修改。</w:t>
      </w:r>
    </w:p>
    <w:p w14:paraId="4600BA87" w14:textId="77777777" w:rsidR="005529F4" w:rsidRDefault="00000000">
      <w:pPr>
        <w:pStyle w:val="a"/>
      </w:pPr>
      <w:r>
        <w:t>前面的清点给出了一个直接的阴性结果：</w:t>
      </w:r>
      <w:r>
        <w:t>22</w:t>
      </w:r>
      <w:r>
        <w:t>次记录中，没有第二个模型通过阅读源码找出程序错误。让另一个模型再看一遍代码，不能当作科研代码已经通过验证。</w:t>
      </w:r>
    </w:p>
    <w:p w14:paraId="2500ACCE" w14:textId="77777777" w:rsidR="005529F4" w:rsidRDefault="00000000">
      <w:pPr>
        <w:pStyle w:val="a"/>
      </w:pPr>
      <w:r>
        <w:t>更可靠的证据来自数值比较。新程序应与参考程序、解析极限或已发表基准对照，并写明结果一致到几位有效数字。第二个模型适合核对文字声明、引文和数值叙述，程序正确性仍要另外证明。</w:t>
      </w:r>
    </w:p>
    <w:p w14:paraId="25F22A90" w14:textId="77777777" w:rsidR="005529F4" w:rsidRDefault="00000000">
      <w:pPr>
        <w:pStyle w:val="a"/>
      </w:pPr>
      <w:r>
        <w:t>这些验证要求不能只靠研究者临时提醒，而要写进</w:t>
      </w:r>
      <w:r>
        <w:t>L4</w:t>
      </w:r>
      <w:r>
        <w:t>的技能文件。每类计算都要指定比较对象和允许误差，还要说明代码满足什么条件后才能上机。计算结果和差异也要保存。</w:t>
      </w:r>
    </w:p>
    <w:p w14:paraId="565793FA" w14:textId="77777777" w:rsidR="005529F4" w:rsidRDefault="00000000">
      <w:pPr>
        <w:pStyle w:val="a"/>
      </w:pPr>
      <w:r>
        <w:t>各层记录承担不同的任务。</w:t>
      </w:r>
      <w:r>
        <w:t>L1</w:t>
      </w:r>
      <w:r>
        <w:t>记录代码怎样修改，</w:t>
      </w:r>
      <w:r>
        <w:t>L5</w:t>
      </w:r>
      <w:r>
        <w:t>记录已经纠正过哪些错误。智能体可以加快代码生成，但仍要遵守原有的验证标准。</w:t>
      </w:r>
    </w:p>
    <w:p w14:paraId="78D4CA77" w14:textId="77777777" w:rsidR="005529F4" w:rsidRDefault="00000000">
      <w:pPr>
        <w:pStyle w:val="a"/>
      </w:pPr>
      <w:r>
        <w:t>人与智能体的分工也要写清楚。智能体可以生成代码、修改重复性样板、运行参数扫描并整理结果。研究者负责选择物理模型、参考基准和收敛判据。把这条边界写进技能文件，比每次依靠口头提醒更可靠。</w:t>
      </w:r>
    </w:p>
    <w:p w14:paraId="16681F9C" w14:textId="77777777" w:rsidR="005529F4" w:rsidRDefault="00000000">
      <w:pPr>
        <w:pStyle w:val="a"/>
      </w:pPr>
      <w:r>
        <w:t>第一种常见问题出现在文献摘要中。把一篇论文压缩成几段笔记时，很容易丢掉推导细节、适用条件和没有得到预期结果的部分。</w:t>
      </w:r>
    </w:p>
    <w:p w14:paraId="33915833" w14:textId="77777777" w:rsidR="005529F4" w:rsidRDefault="00000000">
      <w:pPr>
        <w:pStyle w:val="a"/>
      </w:pPr>
      <w:r>
        <w:t>笔记可以按文献的重要程度保留不同细节。对只会偶尔引用的论文，基本信息和简短摘要已经够用。对直接影响当前研究的论文，则要标明关键内容位于哪一节、哪张表，并保留重要数字。</w:t>
      </w:r>
    </w:p>
    <w:p w14:paraId="69F15CAA" w14:textId="77777777" w:rsidR="005529F4" w:rsidRDefault="00000000">
      <w:pPr>
        <w:pStyle w:val="a"/>
      </w:pPr>
      <w:r>
        <w:t>凡是会影响正文物理结论的公式、表格或图中数值，都必须回到原文核对。知识库中的摘要只负责帮助定位，不能代替原文。</w:t>
      </w:r>
    </w:p>
    <w:p w14:paraId="6B7CD22D" w14:textId="77777777" w:rsidR="005529F4" w:rsidRDefault="00000000">
      <w:pPr>
        <w:pStyle w:val="a"/>
      </w:pPr>
      <w:r>
        <w:t>第二种问题是同一概念被拆成多个页面，或者旧的综合长期没有更新。统一词表可以合并常见别名，却不能预先覆盖所有写法。</w:t>
      </w:r>
    </w:p>
    <w:p w14:paraId="2E98022F" w14:textId="77777777" w:rsidR="005529F4" w:rsidRDefault="00000000">
      <w:pPr>
        <w:pStyle w:val="a"/>
      </w:pPr>
      <w:r>
        <w:t>定期体检要寻找重复页面、没有任何链接的孤立页面、已经失效的链接，以及彼此矛盾的绝对说法。程序自动生成的索引还要与研究者写的综合分开保存。否则重建索引时，程序可能覆盖人工判断。</w:t>
      </w:r>
    </w:p>
    <w:p w14:paraId="189885E4" w14:textId="77777777" w:rsidR="005529F4" w:rsidRDefault="00000000">
      <w:pPr>
        <w:pStyle w:val="a"/>
      </w:pPr>
      <w:r>
        <w:t>第三种问题更隐蔽。智能体可能把一次错误概括写进知识库，后续任务又把这段话当作已有结论反复引用。</w:t>
      </w:r>
    </w:p>
    <w:p w14:paraId="2E5533E0" w14:textId="77777777" w:rsidR="005529F4" w:rsidRDefault="00000000">
      <w:pPr>
        <w:pStyle w:val="a"/>
      </w:pPr>
      <w:r>
        <w:t>前面的神经网络案例就出现了这种情况。第一个模型根据不完整信息写出中心判断，第二个模型回到评测文件后否定了它</w:t>
      </w:r>
      <w:r>
        <w:t>[13]</w:t>
      </w:r>
      <w:r>
        <w:t>。如果没有这次检查，错误概括就会留在知识库中，并影响以后的回答。</w:t>
      </w:r>
    </w:p>
    <w:p w14:paraId="15B3ED1F" w14:textId="77777777" w:rsidR="005529F4" w:rsidRDefault="00000000">
      <w:pPr>
        <w:pStyle w:val="a"/>
      </w:pPr>
      <w:r>
        <w:t>知识库应注明一条重要结论只经过单个模型处理，还是已经由第二个模型检查。文献信息和数值结果还需要不同的核验方法。作者、题目、期刊和</w:t>
      </w:r>
      <w:r>
        <w:t>DOI</w:t>
      </w:r>
      <w:r>
        <w:t>要从权威数据库重新核对；数值结果要与独立程序、解析极限或公开基准比较。</w:t>
      </w:r>
    </w:p>
    <w:p w14:paraId="329C8273" w14:textId="77777777" w:rsidR="005529F4" w:rsidRDefault="00000000">
      <w:pPr>
        <w:pStyle w:val="a"/>
      </w:pPr>
      <w:r>
        <w:t>两个模型意见一致，只能减少某些由单个模型引入的错误，仍不能代替物理验证。前面的清点没有发现代码缺陷，也说明了这条边界。</w:t>
      </w:r>
    </w:p>
    <w:p w14:paraId="3945347E" w14:textId="77777777" w:rsidR="005529F4" w:rsidRDefault="00000000">
      <w:pPr>
        <w:pStyle w:val="a"/>
      </w:pPr>
      <w:r>
        <w:t>维护知识库本身也要花时间。新文献入库、检查重复页面、合并概念和定期体检，都离不开人工判断。</w:t>
      </w:r>
    </w:p>
    <w:p w14:paraId="2EFBA0E3" w14:textId="77777777" w:rsidR="005529F4" w:rsidRDefault="00000000">
      <w:pPr>
        <w:pStyle w:val="a"/>
      </w:pPr>
      <w:r>
        <w:t>多个智能体同时修改同一份档案时，后保存的版本还可能悄悄覆盖先前修改。较稳妥的做法是缩小每个任务可以写入的范围，通过版本控制工具隔离不同智能体的修改，合并前再统一审查。公共索引则由一个指定流程写入。增加更多自动化步骤，并不能解决</w:t>
      </w:r>
      <w:r>
        <w:t>“</w:t>
      </w:r>
      <w:r>
        <w:t>谁有权写这个文件</w:t>
      </w:r>
      <w:r>
        <w:t>”</w:t>
      </w:r>
      <w:r>
        <w:t>的问题。</w:t>
      </w:r>
    </w:p>
    <w:p w14:paraId="0657F983" w14:textId="77777777" w:rsidR="005529F4" w:rsidRDefault="00000000">
      <w:pPr>
        <w:pStyle w:val="a"/>
      </w:pPr>
      <w:r>
        <w:t>隐私与保密决定了哪些工具可以使用。未发表论文、审稿材料、合作者邮件和内部数据不能与公开资料混放，应当使用不同的目录、仓库或访问权限。核心知识库可以优先保存在本地。</w:t>
      </w:r>
    </w:p>
    <w:p w14:paraId="780BD048" w14:textId="77777777" w:rsidR="005529F4" w:rsidRDefault="00000000">
      <w:pPr>
        <w:pStyle w:val="a"/>
      </w:pPr>
      <w:r>
        <w:lastRenderedPageBreak/>
        <w:t>把材料交给外部模型之前，还要检查服务商是否会保存输入，或者用输入训练模型。审稿和编辑材料不得上传到数据使用边界不清的服务。</w:t>
      </w:r>
    </w:p>
    <w:p w14:paraId="7842551C" w14:textId="77777777" w:rsidR="005529F4" w:rsidRDefault="00000000">
      <w:pPr>
        <w:pStyle w:val="a"/>
      </w:pPr>
      <w:r>
        <w:t>有些保密材料只能在受控环境中交给一个模型处理，无法再送给第二个外部模型检查。这时更需要可以独立复核的解析论证。本文只描述已经公开的研究实例，也遵守这一边界。</w:t>
      </w:r>
    </w:p>
    <w:p w14:paraId="23C81639" w14:textId="77777777" w:rsidR="005529F4" w:rsidRDefault="00000000">
      <w:pPr>
        <w:pStyle w:val="a"/>
      </w:pPr>
      <w:r>
        <w:t>评价科研智能体时，任务有没有完成只是最基本的一项。关键说法还要能够指回原始资料，同一版代码和知识库也应当能够重建结果。已经纠正的错误不能在新会话中反复出现。</w:t>
      </w:r>
    </w:p>
    <w:p w14:paraId="4E0956B5" w14:textId="77777777" w:rsidR="005529F4" w:rsidRDefault="00000000">
      <w:pPr>
        <w:pStyle w:val="a"/>
      </w:pPr>
      <w:r>
        <w:t>数值、单位、近似和物理图像要通过独立基准检查。知识库本身也不能带来过重的维护负担。每次入库和体检花费的时间，应当与它减少的重复劳动一起计算。</w:t>
      </w:r>
    </w:p>
    <w:p w14:paraId="57503AF7" w14:textId="77777777" w:rsidR="005529F4" w:rsidRDefault="00000000">
      <w:pPr>
        <w:pStyle w:val="a"/>
      </w:pPr>
      <w:r>
        <w:t>清点数字也要谨慎报告。判断标准应当在清点之前确定。得到结果后，还要分清</w:t>
      </w:r>
      <w:r>
        <w:t>“</w:t>
      </w:r>
      <w:r>
        <w:t>至少找到了多少次</w:t>
      </w:r>
      <w:r>
        <w:t>”</w:t>
      </w:r>
      <w:r>
        <w:t>和</w:t>
      </w:r>
      <w:r>
        <w:t>“</w:t>
      </w:r>
      <w:r>
        <w:t>每次检查有多大概率发现问题</w:t>
      </w:r>
      <w:r>
        <w:t>”</w:t>
      </w:r>
      <w:r>
        <w:t>。如果实际做法偏离了预注册方案，也要明确写出。无法重建检查总数时，给出一个看似精确的比率反而更容易误导。</w:t>
      </w:r>
    </w:p>
    <w:p w14:paraId="3BF2EE12" w14:textId="77777777" w:rsidR="005529F4" w:rsidRDefault="00000000">
      <w:pPr>
        <w:pStyle w:val="a"/>
      </w:pPr>
      <w:r>
        <w:t>论文还要说明</w:t>
      </w:r>
      <w:r>
        <w:t>AI</w:t>
      </w:r>
      <w:r>
        <w:t>工具具体参与了什么。美国物理学会</w:t>
      </w:r>
      <w:r>
        <w:t>2026</w:t>
      </w:r>
      <w:r>
        <w:t>年更新的期刊政策允许在研究和写作中使用</w:t>
      </w:r>
      <w:r>
        <w:t>AI</w:t>
      </w:r>
      <w:r>
        <w:t>，但判断和责任仍由人承担</w:t>
      </w:r>
      <w:r>
        <w:t>[14]</w:t>
      </w:r>
      <w:r>
        <w:t>。如果</w:t>
      </w:r>
      <w:r>
        <w:t>AI</w:t>
      </w:r>
      <w:r>
        <w:t>对研究或论文有实质影响，作者应写明工具名称与版本、它完成了哪些工作，以及结果怎样核验。</w:t>
      </w:r>
    </w:p>
    <w:p w14:paraId="71A4084B" w14:textId="77777777" w:rsidR="005529F4" w:rsidRDefault="00000000">
      <w:pPr>
        <w:pStyle w:val="a"/>
      </w:pPr>
      <w:r>
        <w:t>保密评审材料不能上传到不受控的外部工具。核物理中文期刊也可以采用同样原则：</w:t>
      </w:r>
      <w:r>
        <w:t>AI</w:t>
      </w:r>
      <w:r>
        <w:t>不能署名，作者必须检查全部科学内容，并按实际使用范围在方法、图注或致谢中披露。</w:t>
      </w:r>
    </w:p>
    <w:p w14:paraId="3CDF2AB2" w14:textId="77777777" w:rsidR="005529F4" w:rsidRDefault="00000000">
      <w:pPr>
        <w:pStyle w:val="a"/>
      </w:pPr>
      <w:r>
        <w:t>课题组还需要把这些规则写进固定说明。规则要讲清楚哪些数据可以交给哪些工具，耗时计算由谁批准，引文和图像怎样检查，以及谁对最终结果签字。</w:t>
      </w:r>
    </w:p>
    <w:p w14:paraId="5875B578" w14:textId="77777777" w:rsidR="005529F4" w:rsidRDefault="00000000">
      <w:pPr>
        <w:pStyle w:val="a"/>
      </w:pPr>
      <w:r>
        <w:t>跨模型检查可以放在其中，但不能取代数值验证。</w:t>
      </w:r>
      <w:r>
        <w:t>vibe coding</w:t>
      </w:r>
      <w:r>
        <w:t>可以加快开发，代码是否可复现仍取决于这些具体的审查步骤。</w:t>
      </w:r>
    </w:p>
    <w:p w14:paraId="36BFAF63" w14:textId="77777777" w:rsidR="005529F4" w:rsidRDefault="00000000">
      <w:pPr>
        <w:pStyle w:val="2"/>
        <w:rPr>
          <w:rFonts w:hint="default"/>
        </w:rPr>
      </w:pPr>
      <w:r>
        <w:t xml:space="preserve">6 </w:t>
      </w:r>
      <w:r>
        <w:t>结论</w:t>
      </w:r>
    </w:p>
    <w:p w14:paraId="72B826EE" w14:textId="77777777" w:rsidR="005529F4" w:rsidRDefault="00000000">
      <w:pPr>
        <w:pStyle w:val="a"/>
      </w:pPr>
      <w:r>
        <w:t>这项工作的结论很有限。评价一个长期参与科研的智能体，不能只看它在当前会话中回答了多少问题，还要看下一次会话能否沿用已经积累的文献、规则和失败记录。</w:t>
      </w:r>
    </w:p>
    <w:p w14:paraId="1DBA5A9F" w14:textId="77777777" w:rsidR="005529F4" w:rsidRDefault="00000000">
      <w:pPr>
        <w:pStyle w:val="a"/>
      </w:pPr>
      <w:r>
        <w:t>五层架构提供了一种具体的保存方式。本文的预注册清点只检查其中一条规则，即第二个模型能否发现并留下可核查的修正。</w:t>
      </w:r>
    </w:p>
    <w:p w14:paraId="1133374B" w14:textId="77777777" w:rsidR="005529F4" w:rsidRDefault="00000000">
      <w:pPr>
        <w:pStyle w:val="a"/>
      </w:pPr>
      <w:r>
        <w:t>22</w:t>
      </w:r>
      <w:r>
        <w:t>次有记录的检查中，</w:t>
      </w:r>
      <w:r>
        <w:t>8</w:t>
      </w:r>
      <w:r>
        <w:t>次留下了可以独立核对的修正证据。只计算研究产物本身的缺陷时，检出数为</w:t>
      </w:r>
      <w:r>
        <w:t>5</w:t>
      </w:r>
      <w:r>
        <w:t>次。没有一次是第二个模型通过阅读源代码发现程序错误。这些数字都只是已有记录给出的下界。</w:t>
      </w:r>
    </w:p>
    <w:p w14:paraId="74DCEE31" w14:textId="77777777" w:rsidR="005529F4" w:rsidRDefault="00000000">
      <w:pPr>
        <w:pStyle w:val="a"/>
      </w:pPr>
      <w:r>
        <w:t>“</w:t>
      </w:r>
      <w:r>
        <w:t>把智能体培养成研究生</w:t>
      </w:r>
      <w:r>
        <w:t>”</w:t>
      </w:r>
      <w:r>
        <w:t>描述的是怎样管理研究过程，无意让模型替代学生或作者。模型可以更换，研究责任不能交给模型。</w:t>
      </w:r>
    </w:p>
    <w:p w14:paraId="5AAAC59C" w14:textId="77777777" w:rsidR="005529F4" w:rsidRDefault="00000000">
      <w:pPr>
        <w:pStyle w:val="a"/>
      </w:pPr>
      <w:r>
        <w:t>第二个模型可以帮助核对文字声明、引文和数值叙述。科研代码仍要与参考程序、解析极限或已发表基准比较。记录如果不能指回原始来源，不能重建数值，也没有留下失败原因，那么保存再多内容仍然只是另一种聊天记录。</w:t>
      </w:r>
    </w:p>
    <w:p w14:paraId="646BDC98" w14:textId="2FB09615" w:rsidR="005529F4" w:rsidRDefault="00000000">
      <w:pPr>
        <w:pStyle w:val="a"/>
        <w:ind w:firstLine="0"/>
      </w:pPr>
      <w:r>
        <w:rPr>
          <w:rFonts w:eastAsia="SimHei"/>
          <w:b/>
        </w:rPr>
        <w:t>致谢</w:t>
      </w:r>
      <w:r>
        <w:rPr>
          <w:rFonts w:eastAsia="SimHei"/>
          <w:b/>
        </w:rPr>
        <w:t xml:space="preserve">  </w:t>
      </w:r>
      <w:r>
        <w:t>作者在论文结构整理、初稿生成、后续修订、参考文献格式核查、图形脚本起草和</w:t>
      </w:r>
      <w:r>
        <w:t>Word</w:t>
      </w:r>
      <w:r>
        <w:t>排版中使用</w:t>
      </w:r>
      <w:r>
        <w:t>Anthropic Claude</w:t>
      </w:r>
      <w:r>
        <w:t>与</w:t>
      </w:r>
      <w:r>
        <w:t>OpenAI Codex</w:t>
      </w:r>
      <w:r>
        <w:t>。预注册清点由智能体按照事先冻结的判据执行。作者复核了全部计数和修正证据，确认保密材料已经排除，并对清点中说明的方案偏离负责。作者依据原始记录和权威数据库逐段核对文本、数据、图件和文献，并对全部科学判断和最终内容承担责任。</w:t>
      </w:r>
    </w:p>
    <w:p w14:paraId="18FA94C7" w14:textId="77777777" w:rsidR="005529F4" w:rsidRDefault="00000000">
      <w:pPr>
        <w:pStyle w:val="ac"/>
        <w:keepNext/>
      </w:pPr>
      <w:r>
        <w:t>参考文献</w:t>
      </w:r>
    </w:p>
    <w:p w14:paraId="602A5CCD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>[1] LEWIS P, PEREZ E, PIKTUS A, et al. Retrieval-Augmented Generation for Knowledge-Intensive NLP Tasks[C]//Advances in Neural Information Processing Systems 33. 2020. https://proceedings.neurips.cc/paper/2020/hash/6b493230205f780e1bc26945df7481e5-Abstract.html.</w:t>
      </w:r>
    </w:p>
    <w:p w14:paraId="5436FB63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 xml:space="preserve">[2] YAO S, ZHAO J, YU D, et al. </w:t>
      </w:r>
      <w:proofErr w:type="spellStart"/>
      <w:r>
        <w:rPr>
          <w:sz w:val="17"/>
        </w:rPr>
        <w:t>ReAct</w:t>
      </w:r>
      <w:proofErr w:type="spellEnd"/>
      <w:r>
        <w:rPr>
          <w:sz w:val="17"/>
        </w:rPr>
        <w:t>: Synergizing Reasoning and Acting in Language Models[C]//The Eleventh International Conference on Learning Representations. 2023. https://openreview.net/forum?id=WE_vluYUL-X.</w:t>
      </w:r>
    </w:p>
    <w:p w14:paraId="5C56F9C7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>[3] PARK J S, O'BRIEN J C, CAI C J, et al. Generative Agents: Interactive Simulacra of Human Behavior[C]//Proceedings of the 36th Annual ACM Symposium on User Interface Software and Technology. New York: ACM, 2023: 1-22. DOI: 10.1145/3586183.3606763.</w:t>
      </w:r>
    </w:p>
    <w:p w14:paraId="0FB927F4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lastRenderedPageBreak/>
        <w:t xml:space="preserve">[4] SHINN N, CASSANO F, GOPINATH A, et al. </w:t>
      </w:r>
      <w:proofErr w:type="spellStart"/>
      <w:r>
        <w:rPr>
          <w:sz w:val="17"/>
        </w:rPr>
        <w:t>Reflexion</w:t>
      </w:r>
      <w:proofErr w:type="spellEnd"/>
      <w:r>
        <w:rPr>
          <w:sz w:val="17"/>
        </w:rPr>
        <w:t>: Language Agents with Verbal Reinforcement Learning[C]//Advances in Neural Information Processing Systems 36. 2023. https://proceedings.neurips.cc/paper_files/paper/2023/hash/1b44b878bb782e6954cd888628510e90-Abstract-Conference.html.</w:t>
      </w:r>
    </w:p>
    <w:p w14:paraId="4D3E7B41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>[5] BRAN A M, COX S, SCHILTER O, et al. Augmenting large language models with chemistry tools[J]. Nature Machine Intelligence, 2024, 6: 525-535. DOI: 10.1038/s42256-024-00832-8.</w:t>
      </w:r>
    </w:p>
    <w:p w14:paraId="710B4E9E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>[6] BOIKO D A, MACKNIGHT R, KLINE B, et al. Autonomous chemical research with large language models[J]. Nature, 2023, 624: 570-578. DOI: 10.1038/s41586-023-06792-0.</w:t>
      </w:r>
    </w:p>
    <w:p w14:paraId="59D3F3B7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 xml:space="preserve">[7] LU C, LU C, LANGE R T, et al. The AI Scientist: Towards Fully Automated Open-Ended Scientific </w:t>
      </w:r>
      <w:proofErr w:type="gramStart"/>
      <w:r>
        <w:rPr>
          <w:sz w:val="17"/>
        </w:rPr>
        <w:t>Discovery[</w:t>
      </w:r>
      <w:proofErr w:type="gramEnd"/>
      <w:r>
        <w:rPr>
          <w:sz w:val="17"/>
        </w:rPr>
        <w:t>EB/OL]. arXiv:2408.06292, 2024[2026-07-17]. https://arxiv.org/abs/2408.06292.</w:t>
      </w:r>
    </w:p>
    <w:p w14:paraId="3339981C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>[8] KARPATHY A. There's a new kind of coding I call "vibe coding"[EB/OL]. 2025-02-02[2026-08-05]. https://x.com/karpathy/status/1886192184808149383.</w:t>
      </w:r>
    </w:p>
    <w:p w14:paraId="438D41D7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 xml:space="preserve">[9] KARPATHY A. LLM Wiki: A Pattern for Building Personal Knowledge Bases Using </w:t>
      </w:r>
      <w:proofErr w:type="gramStart"/>
      <w:r>
        <w:rPr>
          <w:sz w:val="17"/>
        </w:rPr>
        <w:t>LLMs[</w:t>
      </w:r>
      <w:proofErr w:type="gramEnd"/>
      <w:r>
        <w:rPr>
          <w:sz w:val="17"/>
        </w:rPr>
        <w:t>EB/OL]. 2026-04-04[2026-07-17]. https://gist.github.com/karpathy/442a6bf555914893e9891c11519de94f.</w:t>
      </w:r>
    </w:p>
    <w:p w14:paraId="1D239C84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 xml:space="preserve">[10] LEI J. </w:t>
      </w:r>
      <w:proofErr w:type="spellStart"/>
      <w:r>
        <w:rPr>
          <w:sz w:val="17"/>
        </w:rPr>
        <w:t>research_LLM_wiki</w:t>
      </w:r>
      <w:proofErr w:type="spellEnd"/>
      <w:r>
        <w:rPr>
          <w:sz w:val="17"/>
        </w:rPr>
        <w:t xml:space="preserve">: Cross-harness agent skills for maintaining a personal literature wiki and research </w:t>
      </w:r>
      <w:proofErr w:type="gramStart"/>
      <w:r>
        <w:rPr>
          <w:sz w:val="17"/>
        </w:rPr>
        <w:t>portfolio[</w:t>
      </w:r>
      <w:proofErr w:type="gramEnd"/>
      <w:r>
        <w:rPr>
          <w:sz w:val="17"/>
        </w:rPr>
        <w:t>CP/OL]. 2026[2026-07-17]. https://github.com/jinleiphys/research_LLM_wiki.</w:t>
      </w:r>
    </w:p>
    <w:p w14:paraId="7A382B66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 xml:space="preserve">[11] LEI J. High-Dimensional Bayesian Calibration of Expensive Nuclear Models with Differentiable </w:t>
      </w:r>
      <w:proofErr w:type="gramStart"/>
      <w:r>
        <w:rPr>
          <w:sz w:val="17"/>
        </w:rPr>
        <w:t>Emulation[</w:t>
      </w:r>
      <w:proofErr w:type="gramEnd"/>
      <w:r>
        <w:rPr>
          <w:sz w:val="17"/>
        </w:rPr>
        <w:t>EB/OL]. arXiv:2605.30980, 2026[2026-07-17]. DOI: 10.48550/arXiv.2605.30980.</w:t>
      </w:r>
    </w:p>
    <w:p w14:paraId="57E5D1C7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 xml:space="preserve">[12] LEI J. HPRMAT: A high-performance R-matrix solver with GPU acceleration for coupled-channel problems in nuclear </w:t>
      </w:r>
      <w:proofErr w:type="gramStart"/>
      <w:r>
        <w:rPr>
          <w:sz w:val="17"/>
        </w:rPr>
        <w:t>physics[</w:t>
      </w:r>
      <w:proofErr w:type="gramEnd"/>
      <w:r>
        <w:rPr>
          <w:sz w:val="17"/>
        </w:rPr>
        <w:t>EB/OL]. arXiv:2512.11590, 2025[2026-07-20]. https://arxiv.org/abs/2512.11590.</w:t>
      </w:r>
    </w:p>
    <w:p w14:paraId="26ADA486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>[13] LEI J. Bidirectional neural networks for global nucleon-nucleus optical model calculations[J]. Physical Review C, 2026, 114: 014620. DOI: 10.1103/qw54-df4l.</w:t>
      </w:r>
    </w:p>
    <w:p w14:paraId="6E8D6B5D" w14:textId="77777777" w:rsidR="005529F4" w:rsidRDefault="00000000">
      <w:pPr>
        <w:pStyle w:val="ad"/>
        <w:keepLines/>
        <w:ind w:left="360" w:hanging="360"/>
        <w:rPr>
          <w:rFonts w:hint="default"/>
        </w:rPr>
      </w:pPr>
      <w:r>
        <w:rPr>
          <w:sz w:val="17"/>
        </w:rPr>
        <w:t xml:space="preserve">[14] APS JOURNALS. Appropriate Use of AI </w:t>
      </w:r>
      <w:proofErr w:type="gramStart"/>
      <w:r>
        <w:rPr>
          <w:sz w:val="17"/>
        </w:rPr>
        <w:t>Tools[</w:t>
      </w:r>
      <w:proofErr w:type="gramEnd"/>
      <w:r>
        <w:rPr>
          <w:sz w:val="17"/>
        </w:rPr>
        <w:t>EB/OL]. 2026-06-17[2026-07-17]. https://journals.aps.org/authors/appropriate-use-ai-tools.</w:t>
      </w:r>
    </w:p>
    <w:sectPr w:rsidR="005529F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247" w:right="907" w:bottom="1644" w:left="1304" w:header="595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028492" w14:textId="77777777" w:rsidR="007B2AAB" w:rsidRDefault="007B2AAB">
      <w:pPr>
        <w:spacing w:line="240" w:lineRule="auto"/>
      </w:pPr>
      <w:r>
        <w:separator/>
      </w:r>
    </w:p>
  </w:endnote>
  <w:endnote w:type="continuationSeparator" w:id="0">
    <w:p w14:paraId="10C78B92" w14:textId="77777777" w:rsidR="007B2AAB" w:rsidRDefault="007B2A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64DC72" w14:textId="77777777" w:rsidR="005529F4" w:rsidRDefault="005529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EBFBEB" w14:textId="77777777" w:rsidR="005529F4" w:rsidRDefault="005529F4">
    <w:pPr>
      <w:pStyle w:val="a0"/>
      <w:pBdr>
        <w:top w:val="single" w:sz="8" w:space="1" w:color="000000"/>
      </w:pBdr>
      <w:spacing w:before="20"/>
    </w:pPr>
  </w:p>
  <w:p w14:paraId="5C2C3711" w14:textId="77777777" w:rsidR="005529F4" w:rsidRDefault="00000000">
    <w:pPr>
      <w:pStyle w:val="a0"/>
    </w:pPr>
    <w:r>
      <w:rPr>
        <w:sz w:val="15"/>
      </w:rPr>
      <w:t>基金项目：国家自然科学基金项目（</w:t>
    </w:r>
    <w:r>
      <w:rPr>
        <w:sz w:val="15"/>
      </w:rPr>
      <w:t>12475132</w:t>
    </w:r>
    <w:r>
      <w:rPr>
        <w:sz w:val="15"/>
      </w:rPr>
      <w:t>）资助</w:t>
    </w:r>
  </w:p>
  <w:p w14:paraId="27497912" w14:textId="77777777" w:rsidR="005529F4" w:rsidRDefault="00000000">
    <w:pPr>
      <w:pStyle w:val="a0"/>
    </w:pPr>
    <w:r>
      <w:rPr>
        <w:sz w:val="15"/>
      </w:rPr>
      <w:t>第一作者：金磊，男，博士，教授，研究领域为核反应理论及机器学习在核物理中的应用</w:t>
    </w:r>
  </w:p>
  <w:p w14:paraId="48B65E9C" w14:textId="77777777" w:rsidR="005529F4" w:rsidRDefault="00000000">
    <w:pPr>
      <w:pStyle w:val="a0"/>
    </w:pPr>
    <w:r>
      <w:rPr>
        <w:sz w:val="15"/>
      </w:rPr>
      <w:t>通讯作者：金磊，</w:t>
    </w:r>
    <w:r>
      <w:rPr>
        <w:sz w:val="15"/>
      </w:rPr>
      <w:t>E-mail: jinl@tongji.edu.cn</w:t>
    </w:r>
  </w:p>
  <w:p w14:paraId="175873EC" w14:textId="77777777" w:rsidR="005529F4" w:rsidRDefault="00000000">
    <w:pPr>
      <w:pStyle w:val="a0"/>
    </w:pPr>
    <w:r>
      <w:rPr>
        <w:sz w:val="15"/>
      </w:rPr>
      <w:t>收稿日期：待编辑部填写，修回日期：待编辑部填写</w:t>
    </w:r>
  </w:p>
  <w:p w14:paraId="3763D1C4" w14:textId="77777777" w:rsidR="005529F4" w:rsidRDefault="00000000">
    <w:pPr>
      <w:pStyle w:val="a0"/>
      <w:jc w:val="right"/>
    </w:pPr>
    <w:r>
      <w:t>XXXXXX-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8D330C" w14:textId="77777777" w:rsidR="005529F4" w:rsidRDefault="005529F4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A25475" w14:textId="77777777" w:rsidR="005529F4" w:rsidRDefault="005529F4"/>
  <w:p w14:paraId="538EE3F2" w14:textId="77777777" w:rsidR="005529F4" w:rsidRDefault="00000000">
    <w:pPr>
      <w:pStyle w:val="a0"/>
      <w:jc w:val="right"/>
    </w:pPr>
    <w:r>
      <w:t>XXXXXX-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12378" w14:textId="77777777" w:rsidR="005529F4" w:rsidRDefault="005529F4"/>
  <w:p w14:paraId="2CEA74D5" w14:textId="77777777" w:rsidR="005529F4" w:rsidRDefault="00000000">
    <w:pPr>
      <w:pStyle w:val="a0"/>
      <w:jc w:val="right"/>
    </w:pPr>
    <w:r>
      <w:t>XXXXXX-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C89D16" w14:textId="77777777" w:rsidR="005529F4" w:rsidRDefault="005529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EF59D" w14:textId="77777777" w:rsidR="007B2AAB" w:rsidRDefault="007B2AAB">
      <w:pPr>
        <w:spacing w:line="240" w:lineRule="auto"/>
      </w:pPr>
      <w:r>
        <w:separator/>
      </w:r>
    </w:p>
  </w:footnote>
  <w:footnote w:type="continuationSeparator" w:id="0">
    <w:p w14:paraId="1FDEE04F" w14:textId="77777777" w:rsidR="007B2AAB" w:rsidRDefault="007B2A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D648B7" w14:textId="77777777" w:rsidR="005529F4" w:rsidRDefault="005529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F452F1" w14:textId="77777777" w:rsidR="005529F4" w:rsidRDefault="00000000">
    <w:pPr>
      <w:pBdr>
        <w:top w:val="single" w:sz="8" w:space="1" w:color="000000"/>
      </w:pBdr>
      <w:tabs>
        <w:tab w:val="center" w:pos="4819"/>
        <w:tab w:val="right" w:pos="9638"/>
      </w:tabs>
      <w:spacing w:line="210" w:lineRule="exact"/>
    </w:pPr>
    <w:proofErr w:type="spellStart"/>
    <w:r>
      <w:rPr>
        <w:sz w:val="18"/>
      </w:rPr>
      <w:t>第</w:t>
    </w:r>
    <w:r>
      <w:rPr>
        <w:sz w:val="18"/>
      </w:rPr>
      <w:t>XX</w:t>
    </w:r>
    <w:r>
      <w:rPr>
        <w:sz w:val="18"/>
      </w:rPr>
      <w:t>卷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第</w:t>
    </w:r>
    <w:r>
      <w:rPr>
        <w:sz w:val="18"/>
      </w:rPr>
      <w:t>X</w:t>
    </w:r>
    <w:r>
      <w:rPr>
        <w:sz w:val="18"/>
      </w:rPr>
      <w:t>期</w:t>
    </w:r>
    <w:proofErr w:type="spellEnd"/>
    <w:r>
      <w:rPr>
        <w:sz w:val="18"/>
      </w:rPr>
      <w:tab/>
    </w:r>
    <w:r>
      <w:rPr>
        <w:b/>
        <w:sz w:val="18"/>
      </w:rPr>
      <w:t>核</w:t>
    </w:r>
    <w:r>
      <w:rPr>
        <w:b/>
        <w:sz w:val="18"/>
      </w:rPr>
      <w:t xml:space="preserve">    </w:t>
    </w:r>
    <w:r>
      <w:rPr>
        <w:b/>
        <w:sz w:val="18"/>
      </w:rPr>
      <w:t>技</w:t>
    </w:r>
    <w:r>
      <w:rPr>
        <w:b/>
        <w:sz w:val="18"/>
      </w:rPr>
      <w:t xml:space="preserve">    </w:t>
    </w:r>
    <w:r>
      <w:rPr>
        <w:b/>
        <w:sz w:val="18"/>
      </w:rPr>
      <w:t>术</w:t>
    </w:r>
    <w:r>
      <w:rPr>
        <w:b/>
        <w:sz w:val="18"/>
      </w:rPr>
      <w:tab/>
    </w:r>
    <w:proofErr w:type="spellStart"/>
    <w:r>
      <w:rPr>
        <w:sz w:val="18"/>
      </w:rPr>
      <w:t>Vol.XX</w:t>
    </w:r>
    <w:proofErr w:type="spellEnd"/>
    <w:r>
      <w:rPr>
        <w:sz w:val="18"/>
      </w:rPr>
      <w:t xml:space="preserve">, </w:t>
    </w:r>
    <w:proofErr w:type="spellStart"/>
    <w:r>
      <w:rPr>
        <w:sz w:val="18"/>
      </w:rPr>
      <w:t>No.X</w:t>
    </w:r>
    <w:proofErr w:type="spellEnd"/>
  </w:p>
  <w:p w14:paraId="621EC835" w14:textId="77777777" w:rsidR="005529F4" w:rsidRDefault="00000000">
    <w:pPr>
      <w:pBdr>
        <w:bottom w:val="single" w:sz="8" w:space="1" w:color="000000"/>
      </w:pBdr>
      <w:tabs>
        <w:tab w:val="center" w:pos="4819"/>
        <w:tab w:val="right" w:pos="9638"/>
      </w:tabs>
      <w:spacing w:line="210" w:lineRule="exact"/>
    </w:pPr>
    <w:r>
      <w:rPr>
        <w:sz w:val="17"/>
      </w:rPr>
      <w:t>20XX</w:t>
    </w:r>
    <w:r>
      <w:rPr>
        <w:sz w:val="17"/>
      </w:rPr>
      <w:t>年</w:t>
    </w:r>
    <w:r>
      <w:rPr>
        <w:sz w:val="17"/>
      </w:rPr>
      <w:t>X</w:t>
    </w:r>
    <w:r>
      <w:rPr>
        <w:sz w:val="17"/>
      </w:rPr>
      <w:t>月</w:t>
    </w:r>
    <w:r>
      <w:rPr>
        <w:sz w:val="17"/>
      </w:rPr>
      <w:tab/>
    </w:r>
    <w:r>
      <w:rPr>
        <w:b/>
        <w:sz w:val="17"/>
      </w:rPr>
      <w:t>NUCLEAR TECHNIQUES</w:t>
    </w:r>
    <w:r>
      <w:rPr>
        <w:b/>
        <w:sz w:val="17"/>
      </w:rPr>
      <w:tab/>
    </w:r>
    <w:r>
      <w:rPr>
        <w:sz w:val="17"/>
      </w:rPr>
      <w:t>XXX 20XX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7B9AAC" w14:textId="77777777" w:rsidR="005529F4" w:rsidRDefault="005529F4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54783D" w14:textId="77777777" w:rsidR="005529F4" w:rsidRDefault="00000000">
    <w:pPr>
      <w:pStyle w:val="a1"/>
      <w:pBdr>
        <w:top w:val="single" w:sz="4" w:space="1" w:color="000000"/>
      </w:pBdr>
      <w:rPr>
        <w:rFonts w:hint="default"/>
      </w:rPr>
    </w:pPr>
    <w:r>
      <w:rPr>
        <w:sz w:val="17"/>
      </w:rPr>
      <w:t>核</w:t>
    </w:r>
    <w:r>
      <w:rPr>
        <w:sz w:val="17"/>
      </w:rPr>
      <w:t xml:space="preserve">  </w:t>
    </w:r>
    <w:r>
      <w:rPr>
        <w:sz w:val="17"/>
      </w:rPr>
      <w:t>技</w:t>
    </w:r>
    <w:r>
      <w:rPr>
        <w:sz w:val="17"/>
      </w:rPr>
      <w:t xml:space="preserve">  </w:t>
    </w:r>
    <w:r>
      <w:rPr>
        <w:sz w:val="17"/>
      </w:rPr>
      <w:t>术</w:t>
    </w:r>
    <w:r>
      <w:rPr>
        <w:sz w:val="17"/>
      </w:rPr>
      <w:t xml:space="preserve">   20XX, XX: XXXXXX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D41BC7" w14:textId="77777777" w:rsidR="005529F4" w:rsidRDefault="00000000">
    <w:pPr>
      <w:pStyle w:val="a1"/>
      <w:pBdr>
        <w:top w:val="single" w:sz="4" w:space="1" w:color="000000"/>
      </w:pBdr>
      <w:rPr>
        <w:rFonts w:hint="default"/>
      </w:rPr>
    </w:pPr>
    <w:r>
      <w:rPr>
        <w:sz w:val="17"/>
      </w:rPr>
      <w:t>金磊：把</w:t>
    </w:r>
    <w:r>
      <w:rPr>
        <w:sz w:val="17"/>
      </w:rPr>
      <w:t>AI</w:t>
    </w:r>
    <w:r>
      <w:rPr>
        <w:sz w:val="17"/>
      </w:rPr>
      <w:t>智能体培养成研究生：面向核物理研究的五层个人知识架构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77779" w14:textId="77777777" w:rsidR="005529F4" w:rsidRDefault="005529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B51A6"/>
    <w:multiLevelType w:val="hybridMultilevel"/>
    <w:tmpl w:val="72CA25D6"/>
    <w:numStyleLink w:val="ImportedStyle2"/>
  </w:abstractNum>
  <w:abstractNum w:abstractNumId="1" w15:restartNumberingAfterBreak="0">
    <w:nsid w:val="4EF26ED9"/>
    <w:multiLevelType w:val="multilevel"/>
    <w:tmpl w:val="88BE742A"/>
    <w:numStyleLink w:val="ImportedStyle1"/>
  </w:abstractNum>
  <w:abstractNum w:abstractNumId="2" w15:restartNumberingAfterBreak="0">
    <w:nsid w:val="51503D1A"/>
    <w:multiLevelType w:val="multilevel"/>
    <w:tmpl w:val="88BE742A"/>
    <w:styleLink w:val="ImportedStyle1"/>
    <w:lvl w:ilvl="0">
      <w:start w:val="1"/>
      <w:numFmt w:val="decimal"/>
      <w:lvlText w:val="%1."/>
      <w:lvlJc w:val="left"/>
      <w:pPr>
        <w:ind w:left="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330" w:hanging="33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1"/>
        <w:szCs w:val="21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600" w:hanging="6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600" w:hanging="60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2.%3.%4.%5."/>
      <w:lvlJc w:val="left"/>
      <w:pPr>
        <w:ind w:left="330" w:hanging="33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2.%3.%4.%5.%6."/>
      <w:lvlJc w:val="left"/>
      <w:pPr>
        <w:ind w:left="330" w:hanging="33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30" w:hanging="33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30" w:hanging="33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330" w:hanging="33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5FE5291"/>
    <w:multiLevelType w:val="hybridMultilevel"/>
    <w:tmpl w:val="72CA25D6"/>
    <w:styleLink w:val="ImportedStyle2"/>
    <w:lvl w:ilvl="0" w:tplc="EAB48552">
      <w:start w:val="1"/>
      <w:numFmt w:val="decimal"/>
      <w:lvlText w:val="%1."/>
      <w:lvlJc w:val="left"/>
      <w:pPr>
        <w:ind w:left="403" w:hanging="40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B060A56">
      <w:start w:val="1"/>
      <w:numFmt w:val="lowerLetter"/>
      <w:lvlText w:val="%2)"/>
      <w:lvlJc w:val="left"/>
      <w:pPr>
        <w:ind w:left="84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3BAFE6A">
      <w:start w:val="1"/>
      <w:numFmt w:val="lowerRoman"/>
      <w:lvlText w:val="%3."/>
      <w:lvlJc w:val="left"/>
      <w:pPr>
        <w:ind w:left="1260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BFCCDD0">
      <w:start w:val="1"/>
      <w:numFmt w:val="decimal"/>
      <w:lvlText w:val="%4."/>
      <w:lvlJc w:val="left"/>
      <w:pPr>
        <w:ind w:left="168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D320FE8">
      <w:start w:val="1"/>
      <w:numFmt w:val="lowerLetter"/>
      <w:lvlText w:val="%5)"/>
      <w:lvlJc w:val="left"/>
      <w:pPr>
        <w:ind w:left="210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E504274">
      <w:start w:val="1"/>
      <w:numFmt w:val="lowerRoman"/>
      <w:lvlText w:val="%6."/>
      <w:lvlJc w:val="left"/>
      <w:pPr>
        <w:ind w:left="2520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73C2926">
      <w:start w:val="1"/>
      <w:numFmt w:val="decimal"/>
      <w:lvlText w:val="%7."/>
      <w:lvlJc w:val="left"/>
      <w:pPr>
        <w:ind w:left="294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85AE97E">
      <w:start w:val="1"/>
      <w:numFmt w:val="lowerLetter"/>
      <w:lvlText w:val="%8)"/>
      <w:lvlJc w:val="left"/>
      <w:pPr>
        <w:ind w:left="3360" w:hanging="4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9241F30">
      <w:start w:val="1"/>
      <w:numFmt w:val="lowerRoman"/>
      <w:lvlText w:val="%9."/>
      <w:lvlJc w:val="left"/>
      <w:pPr>
        <w:ind w:left="3780" w:hanging="51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49823367">
    <w:abstractNumId w:val="2"/>
  </w:num>
  <w:num w:numId="2" w16cid:durableId="382290300">
    <w:abstractNumId w:val="1"/>
  </w:num>
  <w:num w:numId="3" w16cid:durableId="1709717479">
    <w:abstractNumId w:val="1"/>
    <w:lvlOverride w:ilvl="2">
      <w:startOverride w:val="3"/>
    </w:lvlOverride>
  </w:num>
  <w:num w:numId="4" w16cid:durableId="2124613842">
    <w:abstractNumId w:val="1"/>
    <w:lvlOverride w:ilvl="1">
      <w:startOverride w:val="2"/>
    </w:lvlOverride>
  </w:num>
  <w:num w:numId="5" w16cid:durableId="1324813758">
    <w:abstractNumId w:val="3"/>
  </w:num>
  <w:num w:numId="6" w16cid:durableId="13421275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isplayBackgroundShape/>
  <w:proofState w:spelling="clean" w:grammar="clean"/>
  <w:defaultTabStop w:val="4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9F4"/>
    <w:rsid w:val="005529F4"/>
    <w:rsid w:val="006165EC"/>
    <w:rsid w:val="007B2AAB"/>
    <w:rsid w:val="008F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52FBEA"/>
  <w15:docId w15:val="{AA7CCE9A-B240-0F40-8C3F-3D966800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bdr w:val="nil"/>
        <w:lang w:val="en-CN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20" w:lineRule="exact"/>
    </w:pPr>
    <w:rPr>
      <w:sz w:val="21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">
    <w:name w:val="正文"/>
    <w:pPr>
      <w:tabs>
        <w:tab w:val="left" w:pos="420"/>
      </w:tabs>
      <w:spacing w:line="320" w:lineRule="exact"/>
      <w:ind w:firstLine="420"/>
      <w:jc w:val="both"/>
    </w:pPr>
    <w:rPr>
      <w:color w:val="000000"/>
      <w:kern w:val="2"/>
      <w:sz w:val="21"/>
      <w:szCs w:val="21"/>
      <w:u w:color="000000"/>
      <w:lang w:val="en-US"/>
    </w:rPr>
  </w:style>
  <w:style w:type="paragraph" w:customStyle="1" w:styleId="a0">
    <w:name w:val="页脚"/>
    <w:pPr>
      <w:widowControl w:val="0"/>
      <w:tabs>
        <w:tab w:val="center" w:pos="4153"/>
        <w:tab w:val="right" w:pos="8306"/>
      </w:tabs>
      <w:spacing w:line="240" w:lineRule="atLeast"/>
      <w:ind w:firstLine="200"/>
    </w:pPr>
    <w:rPr>
      <w:color w:val="000000"/>
      <w:kern w:val="2"/>
      <w:sz w:val="16"/>
      <w:szCs w:val="18"/>
      <w:u w:color="000000"/>
      <w:lang w:val="en-US"/>
    </w:rPr>
  </w:style>
  <w:style w:type="paragraph" w:customStyle="1" w:styleId="a1">
    <w:name w:val="页眉"/>
    <w:pPr>
      <w:widowControl w:val="0"/>
      <w:pBdr>
        <w:bottom w:val="single" w:sz="6" w:space="0" w:color="000000"/>
      </w:pBdr>
      <w:tabs>
        <w:tab w:val="left" w:pos="420"/>
        <w:tab w:val="center" w:pos="4153"/>
        <w:tab w:val="right" w:pos="8306"/>
      </w:tabs>
      <w:spacing w:line="300" w:lineRule="exact"/>
      <w:ind w:firstLine="200"/>
      <w:jc w:val="center"/>
    </w:pPr>
    <w:rPr>
      <w:rFonts w:hint="eastAsia"/>
      <w:color w:val="000000"/>
      <w:kern w:val="2"/>
      <w:sz w:val="18"/>
      <w:szCs w:val="18"/>
      <w:u w:color="000000"/>
      <w:lang w:val="en-US"/>
    </w:rPr>
  </w:style>
  <w:style w:type="paragraph" w:customStyle="1" w:styleId="1">
    <w:name w:val="标题 1"/>
    <w:next w:val="a"/>
    <w:pPr>
      <w:keepNext/>
      <w:widowControl w:val="0"/>
      <w:tabs>
        <w:tab w:val="left" w:pos="420"/>
      </w:tabs>
      <w:spacing w:before="40" w:after="60"/>
      <w:jc w:val="center"/>
      <w:outlineLvl w:val="0"/>
    </w:pPr>
    <w:rPr>
      <w:rFonts w:eastAsia="SimHei" w:hint="eastAsia"/>
      <w:b/>
      <w:color w:val="000000"/>
      <w:kern w:val="2"/>
      <w:sz w:val="36"/>
      <w:szCs w:val="44"/>
      <w:u w:color="000000"/>
      <w:lang w:val="en-US"/>
    </w:rPr>
  </w:style>
  <w:style w:type="paragraph" w:customStyle="1" w:styleId="a2">
    <w:name w:val="作者名"/>
    <w:pPr>
      <w:keepNext/>
      <w:widowControl w:val="0"/>
      <w:tabs>
        <w:tab w:val="left" w:pos="420"/>
      </w:tabs>
      <w:jc w:val="center"/>
      <w:outlineLvl w:val="0"/>
    </w:pPr>
    <w:rPr>
      <w:rFonts w:hint="eastAsia"/>
      <w:color w:val="000000"/>
      <w:kern w:val="2"/>
      <w:sz w:val="24"/>
      <w:szCs w:val="24"/>
      <w:u w:color="000000"/>
      <w:lang w:val="en-US"/>
    </w:rPr>
  </w:style>
  <w:style w:type="paragraph" w:customStyle="1" w:styleId="a3">
    <w:name w:val="作者单位"/>
    <w:pPr>
      <w:widowControl w:val="0"/>
      <w:tabs>
        <w:tab w:val="left" w:pos="420"/>
      </w:tabs>
      <w:jc w:val="center"/>
    </w:pPr>
    <w:rPr>
      <w:color w:val="000000"/>
      <w:kern w:val="2"/>
      <w:sz w:val="18"/>
      <w:szCs w:val="18"/>
      <w:u w:color="000000"/>
      <w:lang w:val="en-US"/>
    </w:rPr>
  </w:style>
  <w:style w:type="paragraph" w:customStyle="1" w:styleId="a4">
    <w:name w:val="摘要"/>
    <w:pPr>
      <w:keepNext/>
      <w:widowControl w:val="0"/>
      <w:spacing w:line="260" w:lineRule="exact"/>
      <w:ind w:left="567" w:right="567"/>
      <w:jc w:val="both"/>
      <w:outlineLvl w:val="1"/>
    </w:pPr>
    <w:rPr>
      <w:rFonts w:hint="eastAsia"/>
      <w:color w:val="000000"/>
      <w:kern w:val="2"/>
      <w:sz w:val="18"/>
      <w:szCs w:val="18"/>
      <w:u w:color="000000"/>
      <w:lang w:val="en-US"/>
    </w:rPr>
  </w:style>
  <w:style w:type="paragraph" w:customStyle="1" w:styleId="a5">
    <w:name w:val="外文标题"/>
    <w:pPr>
      <w:keepNext/>
      <w:widowControl w:val="0"/>
      <w:tabs>
        <w:tab w:val="left" w:pos="600"/>
      </w:tabs>
      <w:spacing w:line="400" w:lineRule="exact"/>
      <w:jc w:val="center"/>
      <w:outlineLvl w:val="0"/>
    </w:pPr>
    <w:rPr>
      <w:rFonts w:eastAsia="Times New Roman"/>
      <w:b/>
      <w:bCs/>
      <w:color w:val="000000"/>
      <w:kern w:val="2"/>
      <w:sz w:val="24"/>
      <w:szCs w:val="24"/>
      <w:u w:color="000000"/>
      <w:lang w:val="en-US"/>
    </w:rPr>
  </w:style>
  <w:style w:type="paragraph" w:customStyle="1" w:styleId="a6">
    <w:name w:val="作者英文名"/>
    <w:pPr>
      <w:widowControl w:val="0"/>
      <w:spacing w:line="300" w:lineRule="exact"/>
      <w:jc w:val="center"/>
    </w:pPr>
    <w:rPr>
      <w:rFonts w:eastAsia="Times New Roman"/>
      <w:color w:val="000000"/>
      <w:kern w:val="2"/>
      <w:sz w:val="21"/>
      <w:szCs w:val="21"/>
      <w:u w:color="000000"/>
      <w:lang w:val="en-US"/>
    </w:rPr>
  </w:style>
  <w:style w:type="paragraph" w:customStyle="1" w:styleId="a7">
    <w:name w:val="英文作者单位"/>
    <w:next w:val="a"/>
    <w:pPr>
      <w:widowControl w:val="0"/>
      <w:tabs>
        <w:tab w:val="left" w:pos="420"/>
      </w:tabs>
      <w:spacing w:line="300" w:lineRule="exact"/>
      <w:jc w:val="center"/>
    </w:pPr>
    <w:rPr>
      <w:rFonts w:eastAsia="Times New Roman"/>
      <w:i/>
      <w:iCs/>
      <w:color w:val="000000"/>
      <w:kern w:val="2"/>
      <w:sz w:val="16"/>
      <w:szCs w:val="15"/>
      <w:u w:color="000000"/>
      <w:lang w:val="en-US"/>
    </w:rPr>
  </w:style>
  <w:style w:type="paragraph" w:customStyle="1" w:styleId="220">
    <w:name w:val="样式 小四 首行缩进:  2 字符 行距: 固定值 20 磅"/>
    <w:pPr>
      <w:widowControl w:val="0"/>
      <w:tabs>
        <w:tab w:val="left" w:pos="420"/>
      </w:tabs>
      <w:spacing w:line="400" w:lineRule="exact"/>
      <w:ind w:firstLine="480"/>
      <w:jc w:val="both"/>
    </w:pPr>
    <w:rPr>
      <w:rFonts w:eastAsia="Times New Roman"/>
      <w:color w:val="000000"/>
      <w:kern w:val="2"/>
      <w:sz w:val="24"/>
      <w:szCs w:val="24"/>
      <w:u w:color="000000"/>
      <w:lang w:val="en-US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标题 2"/>
    <w:next w:val="a"/>
    <w:pPr>
      <w:keepNext/>
      <w:keepLines/>
      <w:widowControl w:val="0"/>
      <w:spacing w:before="120" w:after="40" w:line="300" w:lineRule="exact"/>
      <w:outlineLvl w:val="1"/>
    </w:pPr>
    <w:rPr>
      <w:rFonts w:eastAsia="SimHei" w:hint="eastAsia"/>
      <w:b/>
      <w:color w:val="000000"/>
      <w:kern w:val="2"/>
      <w:sz w:val="24"/>
      <w:szCs w:val="24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3">
    <w:name w:val="标题 3"/>
    <w:next w:val="a"/>
    <w:pPr>
      <w:keepNext/>
      <w:keepLines/>
      <w:widowControl w:val="0"/>
      <w:tabs>
        <w:tab w:val="left" w:pos="600"/>
      </w:tabs>
      <w:spacing w:before="80" w:after="20" w:line="300" w:lineRule="atLeast"/>
      <w:outlineLvl w:val="2"/>
    </w:pPr>
    <w:rPr>
      <w:rFonts w:eastAsia="SimHei" w:hint="eastAsia"/>
      <w:b/>
      <w:color w:val="000000"/>
      <w:kern w:val="2"/>
      <w:sz w:val="21"/>
      <w:szCs w:val="21"/>
      <w:u w:color="000000"/>
      <w:lang w:val="en-US"/>
    </w:rPr>
  </w:style>
  <w:style w:type="paragraph" w:customStyle="1" w:styleId="a8">
    <w:name w:val="表内文字"/>
    <w:pPr>
      <w:widowControl w:val="0"/>
      <w:tabs>
        <w:tab w:val="left" w:pos="420"/>
      </w:tabs>
      <w:spacing w:line="240" w:lineRule="exact"/>
      <w:jc w:val="both"/>
    </w:pPr>
    <w:rPr>
      <w:color w:val="000000"/>
      <w:kern w:val="2"/>
      <w:sz w:val="18"/>
      <w:szCs w:val="18"/>
      <w:u w:color="000000"/>
      <w:lang w:val="en-US"/>
    </w:rPr>
  </w:style>
  <w:style w:type="paragraph" w:customStyle="1" w:styleId="a9">
    <w:name w:val="图标题"/>
    <w:pPr>
      <w:widowControl w:val="0"/>
      <w:spacing w:line="200" w:lineRule="exact"/>
      <w:jc w:val="center"/>
    </w:pPr>
    <w:rPr>
      <w:rFonts w:hint="eastAsia"/>
      <w:color w:val="000000"/>
      <w:kern w:val="2"/>
      <w:sz w:val="18"/>
      <w:szCs w:val="18"/>
      <w:u w:color="000000"/>
      <w:lang w:val="en-US"/>
    </w:rPr>
  </w:style>
  <w:style w:type="paragraph" w:customStyle="1" w:styleId="aa">
    <w:name w:val="表标题"/>
    <w:pPr>
      <w:widowControl w:val="0"/>
      <w:spacing w:line="200" w:lineRule="exact"/>
      <w:jc w:val="center"/>
    </w:pPr>
    <w:rPr>
      <w:bCs/>
      <w:color w:val="000000"/>
      <w:kern w:val="2"/>
      <w:sz w:val="18"/>
      <w:szCs w:val="18"/>
      <w:u w:color="000000"/>
      <w:lang w:val="en-US"/>
    </w:rPr>
  </w:style>
  <w:style w:type="character" w:customStyle="1" w:styleId="ab">
    <w:name w:val="要点"/>
    <w:rPr>
      <w:rFonts w:ascii="Times New Roman" w:eastAsia="Times New Roman" w:hAnsi="Times New Roman" w:cs="Times New Roman"/>
      <w:b/>
      <w:bCs/>
    </w:rPr>
  </w:style>
  <w:style w:type="paragraph" w:customStyle="1" w:styleId="ac">
    <w:name w:val="参考文献"/>
    <w:pPr>
      <w:widowControl w:val="0"/>
      <w:spacing w:line="300" w:lineRule="exact"/>
      <w:jc w:val="both"/>
    </w:pPr>
    <w:rPr>
      <w:rFonts w:eastAsia="SimHei"/>
      <w:b/>
      <w:color w:val="000000"/>
      <w:kern w:val="2"/>
      <w:sz w:val="21"/>
      <w:szCs w:val="21"/>
      <w:u w:color="000000"/>
      <w:lang w:val="en-US"/>
    </w:rPr>
  </w:style>
  <w:style w:type="paragraph" w:customStyle="1" w:styleId="ad">
    <w:name w:val="参考文献列表"/>
    <w:pPr>
      <w:widowControl w:val="0"/>
      <w:tabs>
        <w:tab w:val="left" w:pos="403"/>
        <w:tab w:val="left" w:pos="420"/>
      </w:tabs>
      <w:spacing w:line="260" w:lineRule="exact"/>
      <w:jc w:val="both"/>
    </w:pPr>
    <w:rPr>
      <w:rFonts w:hint="eastAsia"/>
      <w:color w:val="000000"/>
      <w:kern w:val="2"/>
      <w:sz w:val="18"/>
      <w:szCs w:val="18"/>
      <w:u w:color="000000"/>
      <w:lang w:val="en-US"/>
    </w:rPr>
  </w:style>
  <w:style w:type="numbering" w:customStyle="1" w:styleId="ImportedStyle2">
    <w:name w:val="Imported Style 2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2262</Words>
  <Characters>12895</Characters>
  <Application>Microsoft Office Word</Application>
  <DocSecurity>0</DocSecurity>
  <Lines>107</Lines>
  <Paragraphs>30</Paragraphs>
  <ScaleCrop>false</ScaleCrop>
  <Company/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把AI智能体培养成研究生：面向核物理研究的五层个人知识架构</dc:title>
  <dc:subject>AI Agent and vibe coding for nuclear-physics research</dc:subject>
  <dc:creator>Jin Lei</dc:creator>
  <cp:keywords>AI agent, nuclear physics, personal knowledge base, vibe coding</cp:keywords>
  <dc:description>Prepared for the Nuclear Techniques AI Agent and Vibe Coding special issue.</dc:description>
  <cp:lastModifiedBy>Jin Lei</cp:lastModifiedBy>
  <cp:revision>2</cp:revision>
  <dcterms:created xsi:type="dcterms:W3CDTF">2026-08-05T05:12:00Z</dcterms:created>
  <dcterms:modified xsi:type="dcterms:W3CDTF">2026-08-05T05:13:00Z</dcterms:modified>
</cp:coreProperties>
</file>