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00535" w:rsidR="00E00535" w:rsidP="00E00535" w:rsidRDefault="00E00535" w14:paraId="6610F5B0" w14:textId="3F706630">
      <w:pPr>
        <w:pStyle w:val="font-claude-response-body"/>
        <w:jc w:val="center"/>
        <w:rPr>
          <w:b/>
          <w:bCs/>
        </w:rPr>
      </w:pPr>
      <w:r w:rsidRPr="00E00535">
        <w:rPr>
          <w:b/>
          <w:bCs/>
        </w:rPr>
        <w:t>Grid Passport</w:t>
      </w:r>
    </w:p>
    <w:p w:rsidRPr="00E00535" w:rsidR="00E00535" w:rsidP="00E00535" w:rsidRDefault="00E00535" w14:paraId="45150E5F" w14:textId="668A6351">
      <w:pPr>
        <w:pStyle w:val="font-claude-response-body"/>
        <w:rPr>
          <w:b/>
          <w:bCs/>
        </w:rPr>
      </w:pPr>
      <w:r w:rsidRPr="00E00535">
        <w:rPr>
          <w:b/>
          <w:bCs/>
        </w:rPr>
        <w:t>Scenario 1 - Enabling Confidential Sharing of Load Spikes</w:t>
      </w:r>
    </w:p>
    <w:p w:rsidR="00E00535" w:rsidP="00E00535" w:rsidRDefault="00E00535" w14:paraId="5D395907" w14:textId="4828175C">
      <w:pPr>
        <w:pStyle w:val="font-claude-response-body"/>
      </w:pPr>
      <w:r>
        <w:t>Data centers often can't share sensitive operational details — like when they'll be training AI models — directly with utilities, even though utilities need this information to plan capacity and outages.</w:t>
      </w:r>
    </w:p>
    <w:p w:rsidR="00E00535" w:rsidP="00E00535" w:rsidRDefault="00E00535" w14:paraId="7C19438C" w14:textId="77777777">
      <w:pPr>
        <w:pStyle w:val="font-claude-response-body"/>
      </w:pPr>
      <w:r>
        <w:t>Grid Passport solves this by acting as a trusted intermediary: the data center shares its schedule with Grid Passport, which then communicates only what the utility needs — a predicted load increase of X% during a specific time window — without revealing any proprietary details.</w:t>
      </w:r>
    </w:p>
    <w:p w:rsidR="00E00535" w:rsidP="00E00535" w:rsidRDefault="00E00535" w14:paraId="7041422D" w14:textId="77777777">
      <w:pPr>
        <w:pStyle w:val="font-claude-response-body"/>
      </w:pPr>
      <w:r>
        <w:t>This allows utilities to ensure sufficient grid capacity ahead of demand spikes, maintaining system reliability.</w:t>
      </w:r>
    </w:p>
    <w:p w:rsidR="00E00535" w:rsidP="00E00535" w:rsidRDefault="00E00535" w14:paraId="12949CFB" w14:textId="77777777">
      <w:pPr>
        <w:pStyle w:val="font-claude-response-body"/>
      </w:pPr>
      <w:r>
        <w:rPr>
          <w:rStyle w:val="Strong"/>
          <w:rFonts w:eastAsiaTheme="majorEastAsia"/>
        </w:rPr>
        <w:t>Example:</w:t>
      </w:r>
      <w:r>
        <w:t xml:space="preserve"> A 180 MW training campus in Prince William, VA typically draws its baseline load, but spikes to ~250 MW during model training runs. Grid Passport would alert the utility to this ~70 MW ramp-up in advance, enabling proactive grid management.</w:t>
      </w:r>
    </w:p>
    <w:p w:rsidRPr="00E00535" w:rsidR="00E00535" w:rsidP="00E00535" w:rsidRDefault="00E00535" w14:paraId="62EAF728" w14:textId="527D97D8">
      <w:pPr>
        <w:rPr>
          <w:b/>
          <w:bCs/>
        </w:rPr>
      </w:pPr>
      <w:r w:rsidRPr="00E00535">
        <w:rPr>
          <w:b/>
          <w:bCs/>
        </w:rPr>
        <w:t>Scenario 2 - Grid Passport: Managing Unplanned Load Drops</w:t>
      </w:r>
    </w:p>
    <w:p w:rsidR="00E00535" w:rsidP="00E00535" w:rsidRDefault="00E00535" w14:paraId="29705162" w14:textId="77777777">
      <w:r>
        <w:t>When data centers switch from grid power to backup generation — due to equipment failure or other site-level issues — they abruptly drop off the grid without warning. This sudden loss of large load destabilizes the system, causing voltage violations and threatening grid reliability across the entire load pocket (the group of substations and transformers serving that area).</w:t>
      </w:r>
    </w:p>
    <w:p w:rsidR="00E00535" w:rsidP="00E00535" w:rsidRDefault="00E00535" w14:paraId="54EEE50E" w14:textId="77777777">
      <w:r>
        <w:t>This is not theoretical. In July 2024 in Northern Virginia, a minor fault caused dozens of hyperscale data centers to simultaneously switch to backup power, instantly removing 1.5 GW of load from the grid — roughly equivalent to turning off an entire mid-sized city. PJM scrambled to stabilize voltage, and NERC later described it as a "five-alarm fire for reliability." globaldatacenterhub</w:t>
      </w:r>
    </w:p>
    <w:p w:rsidR="00E00535" w:rsidP="00E00535" w:rsidRDefault="00E00535" w14:paraId="6BD63CB9" w14:textId="77777777">
      <w:r>
        <w:t>Grid Passport mitigates this by enabling advance or real-time communication — without exposing proprietary data. When a data center switches to backup generation, it notifies Grid Passport, which then alerts the utility only that load in a specific pocket will drop by X MW. The utility can then take corrective action before violations cascade.</w:t>
      </w:r>
    </w:p>
    <w:p w:rsidR="00E00535" w:rsidP="00E00535" w:rsidRDefault="00E00535" w14:paraId="2C5E2CB5" w14:textId="14E481F7">
      <w:r>
        <w:t>This gives operators the grid-awareness they need, while keeping sensitive data center operations entirely confidential.</w:t>
      </w:r>
    </w:p>
    <w:p w:rsidR="00E00535" w:rsidP="00E00535" w:rsidRDefault="00E00535" w14:paraId="2619F635" w14:textId="77777777">
      <w:pPr>
        <w:pStyle w:val="ListParagraph"/>
      </w:pPr>
    </w:p>
    <w:p w:rsidR="00AF5844" w:rsidP="00AF5844" w:rsidRDefault="00AF5844" w14:paraId="735B0405" w14:textId="75F6741C">
      <w:pPr>
        <w:pStyle w:val="ListParagraph"/>
      </w:pPr>
      <w:hyperlink w:history="1" r:id="rId8">
        <w:r w:rsidRPr="002A63B8">
          <w:rPr>
            <w:rStyle w:val="Hyperlink"/>
          </w:rPr>
          <w:t>https://www.globaldatacenterhub.com/p/when-15-gigawatts-vanished-what-the</w:t>
        </w:r>
      </w:hyperlink>
    </w:p>
    <w:p w:rsidR="00990A58" w:rsidP="00AF5844" w:rsidRDefault="00990A58" w14:paraId="3E460FB4" w14:textId="315B6520">
      <w:pPr>
        <w:pStyle w:val="ListParagraph"/>
      </w:pPr>
      <w:hyperlink w:history="1" r:id="rId9">
        <w:r w:rsidRPr="002A63B8">
          <w:rPr>
            <w:rStyle w:val="Hyperlink"/>
          </w:rPr>
          <w:t>https://www.modernpowersystems.com/analysis/nerc-review-of-major-load-loss-and-data-centre-impact/?cf-view</w:t>
        </w:r>
      </w:hyperlink>
    </w:p>
    <w:p w:rsidR="00990A58" w:rsidP="00AF5844" w:rsidRDefault="00990A58" w14:paraId="4D5BC0CF" w14:textId="790521F3">
      <w:pPr>
        <w:pStyle w:val="ListParagraph"/>
      </w:pPr>
      <w:hyperlink w:history="1" r:id="rId10">
        <w:r w:rsidRPr="002A63B8">
          <w:rPr>
            <w:rStyle w:val="Hyperlink"/>
          </w:rPr>
          <w:t>https://www.wsj.com/business/energy-oil/a-new-threat-to-power-grids-data-centers-unplugging-at-once-741f1bda?eafs_enabled=false</w:t>
        </w:r>
      </w:hyperlink>
    </w:p>
    <w:p w:rsidR="00990A58" w:rsidP="00990A58" w:rsidRDefault="00990A58" w14:paraId="13170013" w14:textId="4E79534B">
      <w:pPr>
        <w:pStyle w:val="ListParagraph"/>
      </w:pPr>
      <w:hyperlink w:history="1" r:id="rId11">
        <w:r w:rsidRPr="002A63B8">
          <w:rPr>
            <w:rStyle w:val="Hyperlink"/>
          </w:rPr>
          <w:t>https://www.nerc.com/globalassets/who-we-are/standing-committees/rstc/whitepaper-characteristics-and-risks-of-emerging-large-loads.pdf</w:t>
        </w:r>
      </w:hyperlink>
    </w:p>
    <w:p w:rsidRPr="001E585B" w:rsidR="00AF5844" w:rsidP="00E00535" w:rsidRDefault="001E585B" w14:paraId="567F1A19" w14:textId="25B1397F">
      <w:pPr>
        <w:rPr>
          <w:b w:val="1"/>
          <w:bCs w:val="1"/>
        </w:rPr>
      </w:pPr>
      <w:r w:rsidRPr="0A39873A" w:rsidR="2BE60C02">
        <w:rPr>
          <w:b w:val="1"/>
          <w:bCs w:val="1"/>
        </w:rPr>
        <w:t xml:space="preserve">Scenario 3: </w:t>
      </w:r>
      <w:r w:rsidRPr="0A39873A" w:rsidR="1049CC41">
        <w:rPr>
          <w:b w:val="1"/>
          <w:bCs w:val="1"/>
        </w:rPr>
        <w:t>Enabling Flexible Load Program</w:t>
      </w:r>
    </w:p>
    <w:p w:rsidR="001E585B" w:rsidP="001E585B" w:rsidRDefault="001E585B" w14:paraId="64E0D412" w14:textId="77777777">
      <w:pPr>
        <w:pStyle w:val="font-claude-response-body"/>
      </w:pPr>
      <w:r>
        <w:t>Data centers enrolled in utility flexible load programs can use Grid Passport to receive timely, structured outage and load shed notifications. As part of these programs — which offer financial incentives in exchange for load flexibility — utilities need a reliable channel to communicate planned circuit disconnections to participating data centers, specifying the affected circuits, dates, and duration.</w:t>
      </w:r>
    </w:p>
    <w:p w:rsidR="001E585B" w:rsidP="001E585B" w:rsidRDefault="001E585B" w14:paraId="2034B133" w14:textId="77777777">
      <w:pPr>
        <w:pStyle w:val="font-claude-response-body"/>
      </w:pPr>
      <w:r>
        <w:t>Grid Passport provides exactly that: a streamlined, secure communication layer that replaces fragmented, cumbersome processes through PJM/RTO. When a utility plans to shed load in a specific area, it notifies enrolled data centers through Grid Passport in advance, giving them the lead time needed to activate backup generation, shift workloads, or otherwise prepare — while earning the associated incentives for their cooperation.</w:t>
      </w:r>
    </w:p>
    <w:p w:rsidR="001E585B" w:rsidP="001E585B" w:rsidRDefault="001E585B" w14:paraId="207EB245" w14:textId="77777777">
      <w:pPr>
        <w:pStyle w:val="font-claude-response-body"/>
      </w:pPr>
      <w:r>
        <w:t>This turns load shedding from an operational disruption into a planned, incentivized, and mutually beneficial event for both utilities and data centers.</w:t>
      </w:r>
    </w:p>
    <w:p w:rsidR="001E585B" w:rsidP="001E585B" w:rsidRDefault="001E585B" w14:paraId="17CE8B43" w14:textId="23B302D6">
      <w:pPr>
        <w:pStyle w:val="font-claude-response-body"/>
      </w:pPr>
      <w:r w:rsidRPr="001E585B">
        <w:rPr>
          <w:b/>
          <w:bCs/>
        </w:rPr>
        <w:t xml:space="preserve">Scenario </w:t>
      </w:r>
      <w:r>
        <w:rPr>
          <w:b/>
          <w:bCs/>
        </w:rPr>
        <w:t>4</w:t>
      </w:r>
      <w:r w:rsidRPr="001E585B">
        <w:rPr>
          <w:b/>
          <w:bCs/>
        </w:rPr>
        <w:t xml:space="preserve">: </w:t>
      </w:r>
      <w:r>
        <w:rPr>
          <w:rStyle w:val="Strong"/>
          <w:rFonts w:eastAsiaTheme="majorEastAsia"/>
        </w:rPr>
        <w:t>Grid Passport: Regulatory Compliance &amp; Contracted Capacity Enforcement</w:t>
      </w:r>
    </w:p>
    <w:p w:rsidR="001E585B" w:rsidP="001E585B" w:rsidRDefault="001E585B" w14:paraId="69C1480D" w14:textId="77777777">
      <w:pPr>
        <w:pStyle w:val="font-claude-response-body"/>
      </w:pPr>
      <w:r>
        <w:t>A critical regulatory function of Grid Passport is enabling utilities to monitor and enforce contracted capacity commitments in real time. Data centers typically negotiate a contracted capacity — a maximum load ceiling — with their utility. Grid Passport creates a transparent, auditable communication layer that supports enforcement in both directions:</w:t>
      </w:r>
    </w:p>
    <w:p w:rsidR="001E585B" w:rsidP="001E585B" w:rsidRDefault="001E585B" w14:paraId="36F61C33" w14:textId="77777777">
      <w:pPr>
        <w:pStyle w:val="font-claude-response-body"/>
      </w:pPr>
      <w:r>
        <w:rPr>
          <w:rStyle w:val="Strong"/>
          <w:rFonts w:eastAsiaTheme="majorEastAsia"/>
        </w:rPr>
        <w:t>Over-utilization:</w:t>
      </w:r>
      <w:r>
        <w:t xml:space="preserve"> If a data center exceeds its contracted capacity, the utility can identify the violation immediately through Grid Passport and issue financial penalties accordingly. This removes the current ambiguity around when and how violations are detected and acted upon.</w:t>
      </w:r>
    </w:p>
    <w:p w:rsidR="001E585B" w:rsidP="001E585B" w:rsidRDefault="001E585B" w14:paraId="1AA4A593" w14:textId="77777777">
      <w:pPr>
        <w:pStyle w:val="font-claude-response-body"/>
      </w:pPr>
      <w:r>
        <w:rPr>
          <w:rStyle w:val="Strong"/>
          <w:rFonts w:eastAsiaTheme="majorEastAsia"/>
        </w:rPr>
        <w:t>Under-commitment:</w:t>
      </w:r>
      <w:r>
        <w:t xml:space="preserve"> If a data center's contracted capacity appears misaligned with its actual utilization patterns, regulators can use Grid Passport's data trail to tighten disclosure requirements — holding data centers accountable for the load forecasts and capacity commitments they submit, and ensuring what they commit to reflects what they actually draw.</w:t>
      </w:r>
    </w:p>
    <w:p w:rsidR="001E585B" w:rsidP="001E585B" w:rsidRDefault="001E585B" w14:paraId="3970B219" w14:textId="77777777">
      <w:pPr>
        <w:pStyle w:val="font-claude-response-body"/>
      </w:pPr>
      <w:r>
        <w:t>More broadly, as regulators grapple with the rapid and often opaque growth of data center load on the grid, Grid Passport provides the structured, verifiable data foundation needed to enforce existing rules and shape more stringent future regulations — ensuring that contracted capacity is not just a paperwork exercise, but a meaningful and enforceable grid planning tool.</w:t>
      </w:r>
    </w:p>
    <w:p w:rsidR="001E585B" w:rsidP="001E585B" w:rsidRDefault="001E585B" w14:paraId="519FCC8E" w14:textId="77777777">
      <w:pPr>
        <w:pStyle w:val="font-claude-response-body"/>
      </w:pPr>
      <w:r>
        <w:rPr>
          <w:rStyle w:val="Strong"/>
          <w:rFonts w:eastAsiaTheme="majorEastAsia"/>
        </w:rPr>
        <w:t>Grid Passport: Digitizing the Load Letter Process</w:t>
      </w:r>
    </w:p>
    <w:p w:rsidR="001E585B" w:rsidP="001E585B" w:rsidRDefault="001E585B" w14:paraId="7A773FD2" w14:textId="77777777">
      <w:pPr>
        <w:pStyle w:val="font-claude-response-body"/>
      </w:pPr>
      <w:r>
        <w:t xml:space="preserve">Utilities have long required data centers to submit load letters before connecting to the grid — a process that, until recently, was handled entirely on paper and remains largely undigitized across the industry. These letters capture critical information including total requested load, detailed load breakdowns by system (UPS, chillers, data processing, backup generation), power factor, switchgear size, and — critically — a load ramp-up schedule outlining how much capacity the data center will draw at each phase of buildout and by what date. </w:t>
      </w:r>
      <w:hyperlink w:tgtFrame="_blank" w:history="1" r:id="rId12">
        <w:r>
          <w:rPr>
            <w:rStyle w:val="text-nowrap"/>
            <w:rFonts w:eastAsiaTheme="majorEastAsia"/>
            <w:color w:val="0000FF"/>
            <w:u w:val="single"/>
          </w:rPr>
          <w:t>dominionenergy</w:t>
        </w:r>
      </w:hyperlink>
      <w:r>
        <w:t xml:space="preserve"> Yet as data </w:t>
      </w:r>
      <w:r>
        <w:lastRenderedPageBreak/>
        <w:t xml:space="preserve">center owners often keep operational and performance details private, limiting utility visibility into their energy needs, demand fluctuations, and load ramps — creating serious grid reliability risks. </w:t>
      </w:r>
      <w:hyperlink w:tgtFrame="_blank" w:history="1" r:id="rId13">
        <w:r>
          <w:rPr>
            <w:rStyle w:val="text-nowrap"/>
            <w:rFonts w:eastAsiaTheme="majorEastAsia"/>
            <w:color w:val="0000FF"/>
            <w:u w:val="single"/>
          </w:rPr>
          <w:t>gridlab</w:t>
        </w:r>
      </w:hyperlink>
    </w:p>
    <w:p w:rsidR="001E585B" w:rsidP="001E585B" w:rsidRDefault="001E585B" w14:paraId="4BD84C21" w14:textId="77777777">
      <w:pPr>
        <w:pStyle w:val="font-claude-response-body"/>
      </w:pPr>
      <w:r>
        <w:t>Grid Passport addresses this directly by digitizing and standardizing the load letter process. Data centers can submit structured load information through the platform — including projected utilization peaks, model training schedules, and phased ramp-up timelines — which Grid Passport then aggregates and encapsulates at the zone level. Rather than receiving fragmented, paper-based submissions, utilities get a clear, consolidated view of expected load across a given load pocket, enabling more accurate grid planning, faster interconnection processing, and proactive capacity management.</w:t>
      </w:r>
    </w:p>
    <w:p w:rsidR="001E585B" w:rsidP="001E585B" w:rsidRDefault="001E585B" w14:paraId="4C81F092" w14:textId="77777777">
      <w:pPr>
        <w:pStyle w:val="font-claude-response-body"/>
      </w:pPr>
    </w:p>
    <w:p w:rsidR="001E585B" w:rsidP="001E585B" w:rsidRDefault="001E585B" w14:paraId="24AFBC58" w14:textId="77777777">
      <w:pPr>
        <w:pStyle w:val="ember-view"/>
        <w:spacing w:before="0" w:beforeAutospacing="0" w:after="0" w:afterAutospacing="0"/>
        <w:textAlignment w:val="baseline"/>
        <w:rPr>
          <w:rFonts w:ascii="Segoe UI" w:hAnsi="Segoe UI" w:cs="Segoe UI"/>
        </w:rPr>
      </w:pPr>
      <w:r>
        <w:rPr>
          <w:rStyle w:val="Strong"/>
          <w:rFonts w:ascii="Segoe UI" w:hAnsi="Segoe UI" w:cs="Segoe UI" w:eastAsiaTheme="majorEastAsia"/>
          <w:bdr w:val="none" w:color="auto" w:sz="0" w:space="0" w:frame="1"/>
        </w:rPr>
        <w:t>1. Load Information Form (LIF)</w:t>
      </w:r>
      <w:r>
        <w:rPr>
          <w:rStyle w:val="white-space-pre"/>
          <w:rFonts w:ascii="Segoe UI" w:hAnsi="Segoe UI" w:cs="Segoe UI" w:eastAsiaTheme="majorEastAsia"/>
          <w:bdr w:val="none" w:color="auto" w:sz="0" w:space="0" w:frame="1"/>
        </w:rPr>
        <w:t xml:space="preserve"> </w:t>
      </w:r>
      <w:r>
        <w:rPr>
          <w:rFonts w:ascii="Segoe UI" w:hAnsi="Segoe UI" w:cs="Segoe UI"/>
        </w:rPr>
        <w:t>A standardized intake form that consolidates all required Large Load project data, including:</w:t>
      </w:r>
    </w:p>
    <w:p w:rsidR="001E585B" w:rsidP="001E585B" w:rsidRDefault="001E585B" w14:paraId="04D9318C" w14:textId="77777777">
      <w:pPr>
        <w:numPr>
          <w:ilvl w:val="0"/>
          <w:numId w:val="2"/>
        </w:numPr>
        <w:spacing w:after="120" w:line="240" w:lineRule="auto"/>
        <w:textAlignment w:val="baseline"/>
        <w:rPr>
          <w:rFonts w:ascii="Segoe UI" w:hAnsi="Segoe UI" w:cs="Segoe UI"/>
        </w:rPr>
      </w:pPr>
      <w:r>
        <w:rPr>
          <w:rFonts w:ascii="Segoe UI" w:hAnsi="Segoe UI" w:cs="Segoe UI"/>
        </w:rPr>
        <w:t>MW size and ramp profile</w:t>
      </w:r>
    </w:p>
    <w:p w:rsidR="001E585B" w:rsidP="001E585B" w:rsidRDefault="001E585B" w14:paraId="1B4E7678" w14:textId="77777777">
      <w:pPr>
        <w:numPr>
          <w:ilvl w:val="0"/>
          <w:numId w:val="2"/>
        </w:numPr>
        <w:spacing w:after="120" w:line="240" w:lineRule="auto"/>
        <w:textAlignment w:val="baseline"/>
        <w:rPr>
          <w:rFonts w:ascii="Segoe UI" w:hAnsi="Segoe UI" w:cs="Segoe UI"/>
        </w:rPr>
      </w:pPr>
      <w:r>
        <w:rPr>
          <w:rFonts w:ascii="Segoe UI" w:hAnsi="Segoe UI" w:cs="Segoe UI"/>
        </w:rPr>
        <w:t>Point(s) of Interconnection</w:t>
      </w:r>
    </w:p>
    <w:p w:rsidR="001E585B" w:rsidP="001E585B" w:rsidRDefault="001E585B" w14:paraId="2C238C52" w14:textId="77777777">
      <w:pPr>
        <w:numPr>
          <w:ilvl w:val="0"/>
          <w:numId w:val="2"/>
        </w:numPr>
        <w:spacing w:after="120" w:line="240" w:lineRule="auto"/>
        <w:textAlignment w:val="baseline"/>
        <w:rPr>
          <w:rFonts w:ascii="Segoe UI" w:hAnsi="Segoe UI" w:cs="Segoe UI"/>
        </w:rPr>
      </w:pPr>
      <w:r>
        <w:rPr>
          <w:rFonts w:ascii="Segoe UI" w:hAnsi="Segoe UI" w:cs="Segoe UI"/>
        </w:rPr>
        <w:t>Load characteristics and modeling inputs</w:t>
      </w:r>
    </w:p>
    <w:p w:rsidR="001E585B" w:rsidP="001E585B" w:rsidRDefault="001E585B" w14:paraId="6ACAFE80" w14:textId="77777777">
      <w:pPr>
        <w:numPr>
          <w:ilvl w:val="0"/>
          <w:numId w:val="2"/>
        </w:numPr>
        <w:spacing w:after="0" w:line="240" w:lineRule="auto"/>
        <w:textAlignment w:val="baseline"/>
        <w:rPr>
          <w:rFonts w:ascii="Segoe UI" w:hAnsi="Segoe UI" w:cs="Segoe UI"/>
        </w:rPr>
      </w:pPr>
      <w:r>
        <w:rPr>
          <w:rStyle w:val="Strong"/>
          <w:rFonts w:ascii="Segoe UI" w:hAnsi="Segoe UI" w:cs="Segoe UI"/>
          <w:bdr w:val="none" w:color="auto" w:sz="0" w:space="0" w:frame="1"/>
        </w:rPr>
        <w:t>Load Commissioning Plan (LCP)</w:t>
      </w:r>
      <w:r>
        <w:rPr>
          <w:rStyle w:val="white-space-pre"/>
          <w:rFonts w:ascii="Segoe UI" w:hAnsi="Segoe UI" w:cs="Segoe UI"/>
          <w:bdr w:val="none" w:color="auto" w:sz="0" w:space="0" w:frame="1"/>
        </w:rPr>
        <w:t xml:space="preserve"> </w:t>
      </w:r>
      <w:r>
        <w:rPr>
          <w:rFonts w:ascii="Segoe UI" w:hAnsi="Segoe UI" w:cs="Segoe UI"/>
        </w:rPr>
        <w:t>with phased energization details</w:t>
      </w:r>
    </w:p>
    <w:p w:rsidR="001E585B" w:rsidP="001E585B" w:rsidRDefault="001E585B" w14:paraId="0892771B" w14:textId="77777777">
      <w:pPr>
        <w:pStyle w:val="ember-view"/>
        <w:spacing w:before="0" w:beforeAutospacing="0" w:after="0" w:afterAutospacing="0"/>
        <w:textAlignment w:val="baseline"/>
        <w:rPr>
          <w:rFonts w:ascii="Segoe UI" w:hAnsi="Segoe UI" w:cs="Segoe UI"/>
        </w:rPr>
      </w:pPr>
      <w:r>
        <w:rPr>
          <w:rFonts w:ascii="Segoe UI" w:hAnsi="Segoe UI" w:cs="Segoe UI"/>
        </w:rPr>
        <w:t>Link here:</w:t>
      </w:r>
      <w:r>
        <w:rPr>
          <w:rStyle w:val="white-space-pre"/>
          <w:rFonts w:ascii="Segoe UI" w:hAnsi="Segoe UI" w:cs="Segoe UI" w:eastAsiaTheme="majorEastAsia"/>
          <w:bdr w:val="none" w:color="auto" w:sz="0" w:space="0" w:frame="1"/>
        </w:rPr>
        <w:t xml:space="preserve"> </w:t>
      </w:r>
      <w:hyperlink w:tgtFrame="_self" w:history="1" r:id="rId14">
        <w:r>
          <w:rPr>
            <w:rStyle w:val="Hyperlink"/>
            <w:rFonts w:ascii="Segoe UI" w:hAnsi="Segoe UI" w:cs="Segoe UI" w:eastAsiaTheme="majorEastAsia"/>
            <w:b/>
            <w:bCs/>
            <w:color w:val="0A66C2"/>
            <w:bdr w:val="none" w:color="auto" w:sz="0" w:space="0" w:frame="1"/>
          </w:rPr>
          <w:t>https://www.ercot.com/files/docs/2025/12/15/Load-Information-Form_v1.xlsx</w:t>
        </w:r>
      </w:hyperlink>
    </w:p>
    <w:p w:rsidR="001E585B" w:rsidP="001E585B" w:rsidRDefault="001E585B" w14:paraId="75EFEAFF" w14:textId="77777777">
      <w:pPr>
        <w:pStyle w:val="ember-view"/>
        <w:spacing w:before="0" w:beforeAutospacing="0" w:after="0" w:afterAutospacing="0"/>
        <w:textAlignment w:val="baseline"/>
        <w:rPr>
          <w:rFonts w:ascii="Segoe UI" w:hAnsi="Segoe UI" w:cs="Segoe UI"/>
        </w:rPr>
      </w:pPr>
      <w:r>
        <w:rPr>
          <w:rStyle w:val="Strong"/>
          <w:rFonts w:ascii="Segoe UI" w:hAnsi="Segoe UI" w:cs="Segoe UI" w:eastAsiaTheme="majorEastAsia"/>
          <w:bdr w:val="none" w:color="auto" w:sz="0" w:space="0" w:frame="1"/>
        </w:rPr>
        <w:t>2. Instructions for Submission of Project Data &amp; Communications</w:t>
      </w:r>
      <w:r>
        <w:rPr>
          <w:rStyle w:val="white-space-pre"/>
          <w:rFonts w:ascii="Segoe UI" w:hAnsi="Segoe UI" w:cs="Segoe UI" w:eastAsiaTheme="majorEastAsia"/>
          <w:bdr w:val="none" w:color="auto" w:sz="0" w:space="0" w:frame="1"/>
        </w:rPr>
        <w:t xml:space="preserve"> </w:t>
      </w:r>
      <w:r>
        <w:rPr>
          <w:rFonts w:ascii="Segoe UI" w:hAnsi="Segoe UI" w:cs="Segoe UI"/>
        </w:rPr>
        <w:t>A procedural guide defining:</w:t>
      </w:r>
    </w:p>
    <w:p w:rsidR="001E585B" w:rsidP="001E585B" w:rsidRDefault="001E585B" w14:paraId="10172E94" w14:textId="77777777">
      <w:pPr>
        <w:numPr>
          <w:ilvl w:val="0"/>
          <w:numId w:val="3"/>
        </w:numPr>
        <w:spacing w:after="120" w:line="240" w:lineRule="auto"/>
        <w:textAlignment w:val="baseline"/>
        <w:rPr>
          <w:rFonts w:ascii="Segoe UI" w:hAnsi="Segoe UI" w:cs="Segoe UI"/>
        </w:rPr>
      </w:pPr>
      <w:r>
        <w:rPr>
          <w:rFonts w:ascii="Segoe UI" w:hAnsi="Segoe UI" w:cs="Segoe UI"/>
        </w:rPr>
        <w:t>How and when information must be submitted</w:t>
      </w:r>
    </w:p>
    <w:p w:rsidR="001E585B" w:rsidP="001E585B" w:rsidRDefault="001E585B" w14:paraId="646293A5" w14:textId="77777777">
      <w:pPr>
        <w:numPr>
          <w:ilvl w:val="0"/>
          <w:numId w:val="3"/>
        </w:numPr>
        <w:spacing w:after="120" w:line="240" w:lineRule="auto"/>
        <w:textAlignment w:val="baseline"/>
        <w:rPr>
          <w:rFonts w:ascii="Segoe UI" w:hAnsi="Segoe UI" w:cs="Segoe UI"/>
        </w:rPr>
      </w:pPr>
      <w:r>
        <w:rPr>
          <w:rFonts w:ascii="Segoe UI" w:hAnsi="Segoe UI" w:cs="Segoe UI"/>
        </w:rPr>
        <w:t>Required formats and communication pathways</w:t>
      </w:r>
    </w:p>
    <w:p w:rsidR="001E585B" w:rsidP="001E585B" w:rsidRDefault="001E585B" w14:paraId="34C6FD67" w14:textId="77777777">
      <w:pPr>
        <w:numPr>
          <w:ilvl w:val="0"/>
          <w:numId w:val="3"/>
        </w:numPr>
        <w:spacing w:after="120" w:line="240" w:lineRule="auto"/>
        <w:textAlignment w:val="baseline"/>
        <w:rPr>
          <w:rFonts w:ascii="Segoe UI" w:hAnsi="Segoe UI" w:cs="Segoe UI"/>
        </w:rPr>
      </w:pPr>
      <w:r>
        <w:rPr>
          <w:rFonts w:ascii="Segoe UI" w:hAnsi="Segoe UI" w:cs="Segoe UI"/>
        </w:rPr>
        <w:t>LLIS initiation, updates, scopes, reports, and approvals</w:t>
      </w:r>
    </w:p>
    <w:p w:rsidR="001E585B" w:rsidP="001E585B" w:rsidRDefault="001E585B" w14:paraId="50F437CD" w14:textId="77777777">
      <w:pPr>
        <w:pStyle w:val="ember-view"/>
        <w:spacing w:before="0" w:beforeAutospacing="0" w:after="0" w:afterAutospacing="0"/>
        <w:textAlignment w:val="baseline"/>
        <w:rPr>
          <w:rFonts w:ascii="Segoe UI" w:hAnsi="Segoe UI" w:cs="Segoe UI"/>
        </w:rPr>
      </w:pPr>
      <w:r>
        <w:rPr>
          <w:rFonts w:ascii="Segoe UI" w:hAnsi="Segoe UI" w:cs="Segoe UI"/>
        </w:rPr>
        <w:t>Link here:</w:t>
      </w:r>
      <w:r>
        <w:rPr>
          <w:rStyle w:val="white-space-pre"/>
          <w:rFonts w:ascii="Segoe UI" w:hAnsi="Segoe UI" w:cs="Segoe UI" w:eastAsiaTheme="majorEastAsia"/>
          <w:bdr w:val="none" w:color="auto" w:sz="0" w:space="0" w:frame="1"/>
        </w:rPr>
        <w:t xml:space="preserve"> </w:t>
      </w:r>
      <w:hyperlink w:tgtFrame="_self" w:history="1" r:id="rId15">
        <w:r>
          <w:rPr>
            <w:rStyle w:val="Hyperlink"/>
            <w:rFonts w:ascii="Segoe UI" w:hAnsi="Segoe UI" w:cs="Segoe UI" w:eastAsiaTheme="majorEastAsia"/>
            <w:b/>
            <w:bCs/>
            <w:color w:val="0A66C2"/>
            <w:bdr w:val="none" w:color="auto" w:sz="0" w:space="0" w:frame="1"/>
          </w:rPr>
          <w:t>https://www.ercot.com/files/docs/2025/12/15/Instructions-for-Communication-of-Large-Load-Information.docx</w:t>
        </w:r>
      </w:hyperlink>
    </w:p>
    <w:p w:rsidR="00990A58" w:rsidP="001E585B" w:rsidRDefault="00990A58" w14:paraId="37336788" w14:textId="0A51F58B"/>
    <w:sectPr w:rsidR="00990A5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4F5F"/>
    <w:multiLevelType w:val="hybridMultilevel"/>
    <w:tmpl w:val="67D487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5A2A14"/>
    <w:multiLevelType w:val="multilevel"/>
    <w:tmpl w:val="E5160E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CAE1632"/>
    <w:multiLevelType w:val="multilevel"/>
    <w:tmpl w:val="66265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56491550">
    <w:abstractNumId w:val="0"/>
  </w:num>
  <w:num w:numId="2" w16cid:durableId="640504903">
    <w:abstractNumId w:val="1"/>
  </w:num>
  <w:num w:numId="3" w16cid:durableId="1873230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44"/>
    <w:rsid w:val="000359DB"/>
    <w:rsid w:val="001E585B"/>
    <w:rsid w:val="002C053C"/>
    <w:rsid w:val="003851B4"/>
    <w:rsid w:val="00625572"/>
    <w:rsid w:val="00990A58"/>
    <w:rsid w:val="00A54C7A"/>
    <w:rsid w:val="00AF5844"/>
    <w:rsid w:val="00DC5ACB"/>
    <w:rsid w:val="00E00535"/>
    <w:rsid w:val="0A39873A"/>
    <w:rsid w:val="1049CC41"/>
    <w:rsid w:val="2BE60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EE324"/>
  <w15:chartTrackingRefBased/>
  <w15:docId w15:val="{EA67CE53-C0FE-4E7C-A64D-559338B01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F584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84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84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F584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F584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F584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F584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F584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F584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F584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F584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F5844"/>
    <w:rPr>
      <w:rFonts w:eastAsiaTheme="majorEastAsia" w:cstheme="majorBidi"/>
      <w:color w:val="272727" w:themeColor="text1" w:themeTint="D8"/>
    </w:rPr>
  </w:style>
  <w:style w:type="paragraph" w:styleId="Title">
    <w:name w:val="Title"/>
    <w:basedOn w:val="Normal"/>
    <w:next w:val="Normal"/>
    <w:link w:val="TitleChar"/>
    <w:uiPriority w:val="10"/>
    <w:qFormat/>
    <w:rsid w:val="00AF584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F584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F584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F5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844"/>
    <w:pPr>
      <w:spacing w:before="160"/>
      <w:jc w:val="center"/>
    </w:pPr>
    <w:rPr>
      <w:i/>
      <w:iCs/>
      <w:color w:val="404040" w:themeColor="text1" w:themeTint="BF"/>
    </w:rPr>
  </w:style>
  <w:style w:type="character" w:styleId="QuoteChar" w:customStyle="1">
    <w:name w:val="Quote Char"/>
    <w:basedOn w:val="DefaultParagraphFont"/>
    <w:link w:val="Quote"/>
    <w:uiPriority w:val="29"/>
    <w:rsid w:val="00AF5844"/>
    <w:rPr>
      <w:i/>
      <w:iCs/>
      <w:color w:val="404040" w:themeColor="text1" w:themeTint="BF"/>
    </w:rPr>
  </w:style>
  <w:style w:type="paragraph" w:styleId="ListParagraph">
    <w:name w:val="List Paragraph"/>
    <w:basedOn w:val="Normal"/>
    <w:uiPriority w:val="34"/>
    <w:qFormat/>
    <w:rsid w:val="00AF5844"/>
    <w:pPr>
      <w:ind w:left="720"/>
      <w:contextualSpacing/>
    </w:pPr>
  </w:style>
  <w:style w:type="character" w:styleId="IntenseEmphasis">
    <w:name w:val="Intense Emphasis"/>
    <w:basedOn w:val="DefaultParagraphFont"/>
    <w:uiPriority w:val="21"/>
    <w:qFormat/>
    <w:rsid w:val="00AF5844"/>
    <w:rPr>
      <w:i/>
      <w:iCs/>
      <w:color w:val="0F4761" w:themeColor="accent1" w:themeShade="BF"/>
    </w:rPr>
  </w:style>
  <w:style w:type="paragraph" w:styleId="IntenseQuote">
    <w:name w:val="Intense Quote"/>
    <w:basedOn w:val="Normal"/>
    <w:next w:val="Normal"/>
    <w:link w:val="IntenseQuoteChar"/>
    <w:uiPriority w:val="30"/>
    <w:qFormat/>
    <w:rsid w:val="00AF584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F5844"/>
    <w:rPr>
      <w:i/>
      <w:iCs/>
      <w:color w:val="0F4761" w:themeColor="accent1" w:themeShade="BF"/>
    </w:rPr>
  </w:style>
  <w:style w:type="character" w:styleId="IntenseReference">
    <w:name w:val="Intense Reference"/>
    <w:basedOn w:val="DefaultParagraphFont"/>
    <w:uiPriority w:val="32"/>
    <w:qFormat/>
    <w:rsid w:val="00AF5844"/>
    <w:rPr>
      <w:b/>
      <w:bCs/>
      <w:smallCaps/>
      <w:color w:val="0F4761" w:themeColor="accent1" w:themeShade="BF"/>
      <w:spacing w:val="5"/>
    </w:rPr>
  </w:style>
  <w:style w:type="character" w:styleId="Hyperlink">
    <w:name w:val="Hyperlink"/>
    <w:basedOn w:val="DefaultParagraphFont"/>
    <w:uiPriority w:val="99"/>
    <w:unhideWhenUsed/>
    <w:rsid w:val="00AF5844"/>
    <w:rPr>
      <w:color w:val="467886" w:themeColor="hyperlink"/>
      <w:u w:val="single"/>
    </w:rPr>
  </w:style>
  <w:style w:type="character" w:styleId="UnresolvedMention">
    <w:name w:val="Unresolved Mention"/>
    <w:basedOn w:val="DefaultParagraphFont"/>
    <w:uiPriority w:val="99"/>
    <w:semiHidden/>
    <w:unhideWhenUsed/>
    <w:rsid w:val="00AF5844"/>
    <w:rPr>
      <w:color w:val="605E5C"/>
      <w:shd w:val="clear" w:color="auto" w:fill="E1DFDD"/>
    </w:rPr>
  </w:style>
  <w:style w:type="paragraph" w:styleId="font-claude-response-body" w:customStyle="1">
    <w:name w:val="font-claude-response-body"/>
    <w:basedOn w:val="Normal"/>
    <w:rsid w:val="00E00535"/>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Strong">
    <w:name w:val="Strong"/>
    <w:basedOn w:val="DefaultParagraphFont"/>
    <w:uiPriority w:val="22"/>
    <w:qFormat/>
    <w:rsid w:val="00E00535"/>
    <w:rPr>
      <w:b/>
      <w:bCs/>
    </w:rPr>
  </w:style>
  <w:style w:type="paragraph" w:styleId="ember-view" w:customStyle="1">
    <w:name w:val="ember-view"/>
    <w:basedOn w:val="Normal"/>
    <w:rsid w:val="001E585B"/>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white-space-pre" w:customStyle="1">
    <w:name w:val="white-space-pre"/>
    <w:basedOn w:val="DefaultParagraphFont"/>
    <w:rsid w:val="001E585B"/>
  </w:style>
  <w:style w:type="character" w:styleId="inline-flex" w:customStyle="1">
    <w:name w:val="inline-flex"/>
    <w:basedOn w:val="DefaultParagraphFont"/>
    <w:rsid w:val="001E585B"/>
  </w:style>
  <w:style w:type="character" w:styleId="text-nowrap" w:customStyle="1">
    <w:name w:val="text-nowrap"/>
    <w:basedOn w:val="DefaultParagraphFont"/>
    <w:rsid w:val="001E5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globaldatacenterhub.com/p/when-15-gigawatts-vanished-what-the" TargetMode="External" Id="rId8" /><Relationship Type="http://schemas.openxmlformats.org/officeDocument/2006/relationships/hyperlink" Target="https://gridlab.org/wp-content/uploads/2025/03/GridLab-Report-Large-Loads-Interim-Report.pdf"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dominionenergy.com/-/media/content/large-business-services/pdfs/virginia/data-center-load-letter.pdf"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nerc.com/globalassets/who-we-are/standing-committees/rstc/whitepaper-characteristics-and-risks-of-emerging-large-loads.pdf" TargetMode="External" Id="rId11" /><Relationship Type="http://schemas.openxmlformats.org/officeDocument/2006/relationships/styles" Target="styles.xml" Id="rId5" /><Relationship Type="http://schemas.openxmlformats.org/officeDocument/2006/relationships/hyperlink" Target="https://www.ercot.com/files/docs/2025/12/15/Instructions-for-Communication-of-Large-Load-Information.docx" TargetMode="External" Id="rId15" /><Relationship Type="http://schemas.openxmlformats.org/officeDocument/2006/relationships/hyperlink" Target="https://www.wsj.com/business/energy-oil/a-new-threat-to-power-grids-data-centers-unplugging-at-once-741f1bda?eafs_enabled=false" TargetMode="External" Id="rId10" /><Relationship Type="http://schemas.openxmlformats.org/officeDocument/2006/relationships/numbering" Target="numbering.xml" Id="rId4" /><Relationship Type="http://schemas.openxmlformats.org/officeDocument/2006/relationships/hyperlink" Target="https://www.modernpowersystems.com/analysis/nerc-review-of-major-load-loss-and-data-centre-impact/?cf-view" TargetMode="External" Id="rId9" /><Relationship Type="http://schemas.openxmlformats.org/officeDocument/2006/relationships/hyperlink" Target="https://www.ercot.com/files/docs/2025/12/15/Load-Information-Form_v1.xlsx"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A08BA564DB99418F1F9261DF5AA037" ma:contentTypeVersion="9" ma:contentTypeDescription="Create a new document." ma:contentTypeScope="" ma:versionID="da9b70d70823189fc10a25dc618a7929">
  <xsd:schema xmlns:xsd="http://www.w3.org/2001/XMLSchema" xmlns:xs="http://www.w3.org/2001/XMLSchema" xmlns:p="http://schemas.microsoft.com/office/2006/metadata/properties" xmlns:ns3="283f95d0-63db-41f8-a9f1-0d72bea9c0ba" targetNamespace="http://schemas.microsoft.com/office/2006/metadata/properties" ma:root="true" ma:fieldsID="ef96eeb574344c2ba1ac71109411418c" ns3:_="">
    <xsd:import namespace="283f95d0-63db-41f8-a9f1-0d72bea9c0b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3f95d0-63db-41f8-a9f1-0d72bea9c0b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83f95d0-63db-41f8-a9f1-0d72bea9c0ba" xsi:nil="true"/>
  </documentManagement>
</p:properties>
</file>

<file path=customXml/itemProps1.xml><?xml version="1.0" encoding="utf-8"?>
<ds:datastoreItem xmlns:ds="http://schemas.openxmlformats.org/officeDocument/2006/customXml" ds:itemID="{B26098AA-A106-4664-B735-B479DCBD7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3f95d0-63db-41f8-a9f1-0d72bea9c0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A67FF6-7C60-418B-8A20-751C15F206EC}">
  <ds:schemaRefs>
    <ds:schemaRef ds:uri="http://schemas.microsoft.com/sharepoint/v3/contenttype/forms"/>
  </ds:schemaRefs>
</ds:datastoreItem>
</file>

<file path=customXml/itemProps3.xml><?xml version="1.0" encoding="utf-8"?>
<ds:datastoreItem xmlns:ds="http://schemas.openxmlformats.org/officeDocument/2006/customXml" ds:itemID="{D66EC805-0043-4CCC-B151-C1BCB8C7A5B0}">
  <ds:schemaRefs>
    <ds:schemaRef ds:uri="http://schemas.microsoft.com/office/2006/metadata/properties"/>
    <ds:schemaRef ds:uri="http://schemas.microsoft.com/office/infopath/2007/PartnerControls"/>
    <ds:schemaRef ds:uri="283f95d0-63db-41f8-a9f1-0d72bea9c0b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Bhawuk Luthra</dc:creator>
  <keywords/>
  <dc:description/>
  <lastModifiedBy>Bhati, Vikrant</lastModifiedBy>
  <revision>2</revision>
  <dcterms:created xsi:type="dcterms:W3CDTF">2026-04-22T02:53:00.0000000Z</dcterms:created>
  <dcterms:modified xsi:type="dcterms:W3CDTF">2026-04-25T16:43:51.8456710Z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0x01010056A08BA564DB99418F1F9261DF5AA037</vt:lpwstr>
  </property>
</Properties>
</file>