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745" w:tblpY="1458"/>
        <w:tblOverlap w:val="never"/>
        <w:tblW w:w="10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8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restart"/>
            <w:vAlign w:val="center"/>
          </w:tcPr>
          <w:p>
            <w:pPr>
              <w:jc w:val="center"/>
              <w:rPr>
                <w:vertAlign w:val="baseline"/>
              </w:rPr>
            </w:pPr>
            <w:r>
              <w:rPr>
                <w:rFonts w:hint="eastAsia"/>
                <w:vertAlign w:val="baseline"/>
              </w:rPr>
              <w:t>Proceedings Paper</w:t>
            </w:r>
          </w:p>
        </w:tc>
        <w:tc>
          <w:tcPr>
            <w:tcW w:w="8561" w:type="dxa"/>
          </w:tcPr>
          <w:p>
            <w:pPr>
              <w:rPr>
                <w:vertAlign w:val="baseline"/>
              </w:rPr>
            </w:pPr>
            <w:r>
              <w:rPr>
                <w:rFonts w:hint="eastAsia"/>
                <w:vertAlign w:val="baseline"/>
              </w:rPr>
              <w:t>A Bifocal Classification and Fusion Network for Multimodal Image Analysis in Histopathology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vAlign w:val="center"/>
          </w:tcPr>
          <w:p>
            <w:pPr>
              <w:jc w:val="center"/>
              <w:rPr>
                <w:vertAlign w:val="baseline"/>
              </w:rPr>
            </w:pPr>
          </w:p>
        </w:tc>
        <w:tc>
          <w:tcPr>
            <w:tcW w:w="8561" w:type="dxa"/>
          </w:tcPr>
          <w:p>
            <w:pPr>
              <w:rPr>
                <w:vertAlign w:val="baseline"/>
              </w:rPr>
            </w:pPr>
            <w:r>
              <w:rPr>
                <w:rFonts w:hint="eastAsia"/>
                <w:vertAlign w:val="baseline"/>
              </w:rPr>
              <w:t>Immunohistochemical Expression of Preferentially Expressed Antigen in Melanoma (PRAME) in the Uninvolved Background Testis, Germ Cell Neoplasia In Situ, and Germ Cell Tumors of the Testis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vAlign w:val="center"/>
          </w:tcPr>
          <w:p>
            <w:pPr>
              <w:jc w:val="center"/>
              <w:rPr>
                <w:vertAlign w:val="baseline"/>
              </w:rPr>
            </w:pPr>
          </w:p>
        </w:tc>
        <w:tc>
          <w:tcPr>
            <w:tcW w:w="8561" w:type="dxa"/>
          </w:tcPr>
          <w:p>
            <w:pPr>
              <w:rPr>
                <w:vertAlign w:val="baseline"/>
              </w:rPr>
            </w:pPr>
            <w:r>
              <w:rPr>
                <w:rFonts w:hint="eastAsia"/>
                <w:vertAlign w:val="baseline"/>
              </w:rPr>
              <w:t>Pathology of asthma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vAlign w:val="center"/>
          </w:tcPr>
          <w:p>
            <w:pPr>
              <w:jc w:val="center"/>
              <w:rPr>
                <w:vertAlign w:val="baseline"/>
              </w:rPr>
            </w:pPr>
          </w:p>
        </w:tc>
        <w:tc>
          <w:tcPr>
            <w:tcW w:w="8561" w:type="dxa"/>
          </w:tcPr>
          <w:p>
            <w:pPr>
              <w:rPr>
                <w:vertAlign w:val="baseline"/>
              </w:rPr>
            </w:pPr>
            <w:r>
              <w:rPr>
                <w:rFonts w:hint="eastAsia"/>
                <w:vertAlign w:val="baseline"/>
              </w:rPr>
              <w:t>Meta-Analysis of IBD Gut Samples Gene Expression Identifies Specific Markers of Ileal and Colonic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vAlign w:val="center"/>
          </w:tcPr>
          <w:p>
            <w:pPr>
              <w:jc w:val="center"/>
              <w:rPr>
                <w:vertAlign w:val="baseline"/>
              </w:rPr>
            </w:pPr>
          </w:p>
        </w:tc>
        <w:tc>
          <w:tcPr>
            <w:tcW w:w="8561" w:type="dxa"/>
          </w:tcPr>
          <w:p>
            <w:pPr>
              <w:rPr>
                <w:vertAlign w:val="baseline"/>
              </w:rPr>
            </w:pPr>
            <w:r>
              <w:rPr>
                <w:rFonts w:hint="eastAsia"/>
                <w:vertAlign w:val="baseline"/>
              </w:rPr>
              <w:t>Brainstem Biomarkers of Clinical Variant and Pathology</w:t>
            </w:r>
            <w:r>
              <w:rPr>
                <w:rFonts w:hint="eastAsia"/>
                <w:vertAlign w:val="baseline"/>
                <w:lang w:val="en-US" w:eastAsia="zh-CN"/>
              </w:rPr>
              <w:t xml:space="preserve"> </w:t>
            </w:r>
            <w:r>
              <w:rPr>
                <w:rFonts w:hint="eastAsia"/>
                <w:vertAlign w:val="baseline"/>
              </w:rPr>
              <w:t>in Progressive Supranuclear Palsy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restart"/>
            <w:vAlign w:val="center"/>
          </w:tcPr>
          <w:p>
            <w:pPr>
              <w:jc w:val="center"/>
              <w:rPr>
                <w:vertAlign w:val="baseline"/>
              </w:rPr>
            </w:pPr>
            <w:r>
              <w:rPr>
                <w:rFonts w:hint="eastAsia"/>
                <w:vertAlign w:val="baseline"/>
              </w:rPr>
              <w:t>Review</w:t>
            </w:r>
          </w:p>
        </w:tc>
        <w:tc>
          <w:tcPr>
            <w:tcW w:w="8561" w:type="dxa"/>
          </w:tcPr>
          <w:p>
            <w:pPr>
              <w:rPr>
                <w:vertAlign w:val="baseline"/>
              </w:rPr>
            </w:pPr>
            <w:r>
              <w:rPr>
                <w:rFonts w:hint="eastAsia"/>
                <w:vertAlign w:val="baseline"/>
              </w:rPr>
              <w:t>Breast Cancer Detection, Segmentation and Classification on Histopathology Images Analysis: A Systematic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Quantitative neurotoxicology: Potential role of artificial intelligence/deep learning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Listeria monocytogenes at the interface between</w:t>
            </w:r>
            <w:r>
              <w:rPr>
                <w:rFonts w:hint="eastAsia"/>
                <w:vertAlign w:val="baseline"/>
                <w:lang w:val="en-US" w:eastAsia="zh-CN"/>
              </w:rPr>
              <w:t xml:space="preserve"> </w:t>
            </w:r>
            <w:r>
              <w:rPr>
                <w:rFonts w:hint="eastAsia"/>
                <w:vertAlign w:val="baseline"/>
              </w:rPr>
              <w:t>ruminants and humans: A comparative</w:t>
            </w:r>
            <w:r>
              <w:rPr>
                <w:rFonts w:hint="eastAsia"/>
                <w:vertAlign w:val="baseline"/>
                <w:lang w:val="en-US" w:eastAsia="zh-CN"/>
              </w:rPr>
              <w:t xml:space="preserve"> </w:t>
            </w:r>
            <w:r>
              <w:rPr>
                <w:rFonts w:hint="eastAsia"/>
                <w:vertAlign w:val="baseline"/>
              </w:rPr>
              <w:t>pathology and pathogenesis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Orthognathic speech pathology: impacts of Class III malocclusion on speech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restart"/>
            <w:vAlign w:val="center"/>
          </w:tcPr>
          <w:p>
            <w:pPr>
              <w:jc w:val="center"/>
              <w:rPr>
                <w:rFonts w:hint="default" w:eastAsiaTheme="minorEastAsia"/>
                <w:vertAlign w:val="baseline"/>
                <w:lang w:val="en-US" w:eastAsia="zh-CN"/>
              </w:rPr>
            </w:pPr>
            <w:r>
              <w:rPr>
                <w:rFonts w:hint="eastAsia"/>
                <w:vertAlign w:val="baseline"/>
                <w:lang w:val="en-US" w:eastAsia="zh-CN"/>
              </w:rPr>
              <w:t>专利文献</w:t>
            </w:r>
          </w:p>
        </w:tc>
        <w:tc>
          <w:tcPr>
            <w:tcW w:w="8561" w:type="dxa"/>
          </w:tcPr>
          <w:p>
            <w:pPr>
              <w:rPr>
                <w:vertAlign w:val="baseline"/>
              </w:rPr>
            </w:pPr>
            <w:r>
              <w:rPr>
                <w:rFonts w:hint="eastAsia"/>
                <w:vertAlign w:val="baseline"/>
              </w:rPr>
              <w:t>Image extracting device for performing pathology diagnosis based on image of subject's pathological tissue, has acquisition unit that acquires pathology image, first calculation unit calculates local feature-value of pathology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Evaluating pathology slice quality based on machine learning by using computer device, comprises obtaining pathological slice image, performing digital scanning to pathological slice image, and generating digital pathological slice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Breast cancer tissue pathology type classification method, involves generating benign region in anti-network screening malignant image block, and classifying pathological images of breast cancer tissue based on cyclic serried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Method for recording cancer pathology, involves converting image data to text, extracting preset variable and value of variable from text and transmitting description data for variable and value to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Cancer pathology record commentary method involves converting image data to text, extracting preset variable and value of variable from text, and transmitting description data for variable and value to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Method for performing pathological slice scanning analysis based on reinforcement learning, involves collecting data from skin pathology database by pathological digital slice scanning apparatus pathological expert to confirm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Data analysis and processing method for tissue embryo pathological section, involves preprocessing and pre-identifying initial image of tissue embryo pathology section to determine multiple initial focal points in initial image of tissue embryo pathology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Tissue pathology image cell nucleus segmentation and dyeing style normalization method for use in intelligent auxiliary diagnosis field, involves inputting tissue pathological digital slice image block to be divided into trained multi-task student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Analyzing pathology image by acquiring pathology images, inputting pathology images to machine-learning model, acquiring analysis result for pathology images from machine-learning model, and outputting acquired analysis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Method for processing e.g. whole slide images, involves receiving medical images and gross description, extracting data from gross description, determining associated location and outputting visual indication of description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Classification method for pathological images, involves importing down-sampled image block into classification sub-network for classification to obtain initial classification result, and obtaining classification result corresponding to full-view digital pathology image to be detected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restart"/>
            <w:vAlign w:val="center"/>
          </w:tcPr>
          <w:p>
            <w:pPr>
              <w:jc w:val="center"/>
              <w:rPr>
                <w:vertAlign w:val="baseline"/>
              </w:rPr>
            </w:pPr>
            <w:r>
              <w:rPr>
                <w:rFonts w:hint="eastAsia"/>
                <w:vertAlign w:val="baseline"/>
              </w:rPr>
              <w:t>Article</w:t>
            </w:r>
          </w:p>
        </w:tc>
        <w:tc>
          <w:tcPr>
            <w:tcW w:w="8561" w:type="dxa"/>
          </w:tcPr>
          <w:p>
            <w:pPr>
              <w:rPr>
                <w:vertAlign w:val="baseline"/>
              </w:rPr>
            </w:pPr>
            <w:r>
              <w:rPr>
                <w:rFonts w:hint="eastAsia"/>
                <w:vertAlign w:val="baseline"/>
              </w:rPr>
              <w:t>Deep Learning for Whole-Slide Tissue Histopathology Classification: A Comparative Study in the Identification of Dysplastic and Non-Dysplastic Barrett's Esophagus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Developing a Qualification and Verification Strategy for Digital Tissue Image Analysis in Toxicological Pathology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vertAlign w:val="baseline"/>
              </w:rPr>
              <w:t>A semi-supervised learning approach with consistency regularization for tumor histopathological images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Placental Pathology in Maternal Ornithine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The American Society for Clinical Pathology 2020 Vacancy Survey of Medical Laboratories in the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vertAlign w:val="baseline"/>
              </w:rPr>
            </w:pPr>
            <w:r>
              <w:rPr>
                <w:rFonts w:hint="eastAsia"/>
                <w:vertAlign w:val="baseline"/>
              </w:rPr>
              <w:t>A semi-supervised learning approach with consistency regularization for tumor histopathological images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restart"/>
            <w:vAlign w:val="center"/>
          </w:tcPr>
          <w:p>
            <w:pPr>
              <w:jc w:val="center"/>
              <w:rPr>
                <w:vertAlign w:val="baseline"/>
              </w:rPr>
            </w:pPr>
            <w:r>
              <w:rPr>
                <w:rFonts w:hint="eastAsia"/>
                <w:vertAlign w:val="baseline"/>
                <w:lang w:val="en-US" w:eastAsia="zh-CN"/>
              </w:rPr>
              <w:t>R</w:t>
            </w:r>
            <w:r>
              <w:rPr>
                <w:rFonts w:hint="eastAsia"/>
                <w:vertAlign w:val="baseline"/>
              </w:rPr>
              <w:t>esearch-article</w:t>
            </w:r>
          </w:p>
        </w:tc>
        <w:tc>
          <w:tcPr>
            <w:tcW w:w="8561" w:type="dxa"/>
          </w:tcPr>
          <w:p>
            <w:pPr>
              <w:rPr>
                <w:rFonts w:hint="eastAsia"/>
                <w:vertAlign w:val="baseline"/>
              </w:rPr>
            </w:pPr>
            <w:r>
              <w:rPr>
                <w:rFonts w:hint="eastAsia"/>
                <w:vertAlign w:val="baseline"/>
              </w:rPr>
              <w:t>Down the rabbit hole: a quick guide for histopathology description</w:t>
            </w:r>
          </w:p>
          <w:p>
            <w:pPr>
              <w:rPr>
                <w:vertAlign w:val="baseline"/>
              </w:rPr>
            </w:pPr>
            <w:r>
              <w:rPr>
                <w:rFonts w:hint="eastAsia"/>
                <w:vertAlign w:val="baseline"/>
              </w:rPr>
              <w:t>Descendo a toca do coelho: um guia rápido para descrição histopatológica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vertAlign w:val="baseline"/>
              </w:rPr>
            </w:pPr>
            <w:r>
              <w:rPr>
                <w:rFonts w:hint="eastAsia"/>
                <w:lang w:val="en-US" w:eastAsia="zh-CN"/>
              </w:rPr>
              <w:t>Correlation Between Clinical and Histopathologic Diagnosis of Oral Potentially Malignant Disorder and Oral Squamous Cell Carcinoma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Comparison of remote and local postconditioning against hepatic ischemic-reperfusion injury in rats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Case for diagnosis. Infraorbital schwannoma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Association of colonoscopy and histopathological findings of the canine large intestine and ileum abnormalities: 54 cases series</w:t>
            </w:r>
          </w:p>
          <w:p>
            <w:pPr>
              <w:rPr>
                <w:rFonts w:hint="eastAsia"/>
                <w:lang w:val="en-US" w:eastAsia="zh-CN"/>
              </w:rPr>
            </w:pPr>
            <w:r>
              <w:rPr>
                <w:rFonts w:hint="eastAsia"/>
                <w:lang w:val="en-US" w:eastAsia="zh-CN"/>
              </w:rPr>
              <w:t>Associação de achados de colonoscopia e histopatologia do intestino grosso e íleo de cães: série de 54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Skin manifestations associated with systemic diseases – Part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Successful treatment of diffuse cutaneous leishmaniasis caused by Leishmania amazonensis,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Primary hypothyroidism due to thyroid carcinoma in a feline</w:t>
            </w:r>
          </w:p>
          <w:p>
            <w:pPr>
              <w:rPr>
                <w:rFonts w:hint="eastAsia"/>
                <w:lang w:val="en-US" w:eastAsia="zh-CN"/>
              </w:rPr>
            </w:pPr>
            <w:r>
              <w:rPr>
                <w:rFonts w:hint="eastAsia"/>
                <w:lang w:val="en-US" w:eastAsia="zh-CN"/>
              </w:rPr>
              <w:t>Hipotireoidismo primário devido a carcinoma de tireóide em um felino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Fowl Aviadenovirus E associated with hepatitis-hydropericardium syndrome in broiler breeders</w:t>
            </w:r>
          </w:p>
          <w:p>
            <w:pPr>
              <w:rPr>
                <w:rFonts w:hint="eastAsia"/>
                <w:lang w:val="en-US" w:eastAsia="zh-CN"/>
              </w:rPr>
            </w:pPr>
            <w:r>
              <w:rPr>
                <w:rFonts w:hint="eastAsia"/>
                <w:lang w:val="en-US" w:eastAsia="zh-CN"/>
              </w:rPr>
              <w:t>Síndrome da hepatite-hidropericárdio por Aviadenovirus e em reprodutores de corte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Tomographic, microbiological and histological characterization of secondary apical periodontitis: case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vertAlign w:val="baseline"/>
              </w:rPr>
            </w:pPr>
          </w:p>
        </w:tc>
        <w:tc>
          <w:tcPr>
            <w:tcW w:w="8561" w:type="dxa"/>
          </w:tcPr>
          <w:p>
            <w:pPr>
              <w:rPr>
                <w:rFonts w:hint="eastAsia"/>
                <w:lang w:val="en-US" w:eastAsia="zh-CN"/>
              </w:rPr>
            </w:pPr>
            <w:r>
              <w:rPr>
                <w:rFonts w:hint="eastAsia"/>
                <w:lang w:val="en-US" w:eastAsia="zh-CN"/>
              </w:rPr>
              <w:t>The Gallbladder and Vermiform Appendix as Quality Assurance Indicators in Autopsy Pathology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restart"/>
            <w:tcBorders/>
            <w:vAlign w:val="center"/>
          </w:tcPr>
          <w:p>
            <w:pPr>
              <w:jc w:val="center"/>
              <w:rPr>
                <w:vertAlign w:val="baseline"/>
              </w:rPr>
            </w:pPr>
            <w:r>
              <w:rPr>
                <w:rFonts w:hint="eastAsia"/>
                <w:vertAlign w:val="baseline"/>
                <w:lang w:val="en-US" w:eastAsia="zh-CN"/>
              </w:rPr>
              <w:t>C</w:t>
            </w:r>
            <w:r>
              <w:rPr>
                <w:rFonts w:hint="eastAsia"/>
                <w:vertAlign w:val="baseline"/>
              </w:rPr>
              <w:t>ase-report</w:t>
            </w:r>
          </w:p>
        </w:tc>
        <w:tc>
          <w:tcPr>
            <w:tcW w:w="8561" w:type="dxa"/>
          </w:tcPr>
          <w:p>
            <w:pPr>
              <w:rPr>
                <w:rFonts w:hint="eastAsia"/>
                <w:lang w:val="en-US" w:eastAsia="zh-CN"/>
              </w:rPr>
            </w:pPr>
            <w:r>
              <w:rPr>
                <w:rFonts w:hint="eastAsia"/>
                <w:lang w:val="en-US" w:eastAsia="zh-CN"/>
              </w:rPr>
              <w:t>Breast myofibroblastoma in a male patient</w:t>
            </w:r>
          </w:p>
          <w:p>
            <w:pPr>
              <w:rPr>
                <w:rFonts w:hint="eastAsia"/>
                <w:lang w:val="en-US" w:eastAsia="zh-CN"/>
              </w:rPr>
            </w:pPr>
            <w:r>
              <w:rPr>
                <w:rFonts w:hint="eastAsia"/>
                <w:lang w:val="en-US" w:eastAsia="zh-CN"/>
              </w:rPr>
              <w:t>Miofibroblastoma de mama en un paciente masculino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rFonts w:hint="eastAsia"/>
                <w:vertAlign w:val="baseline"/>
                <w:lang w:val="en-US" w:eastAsia="zh-CN"/>
              </w:rPr>
            </w:pPr>
          </w:p>
        </w:tc>
        <w:tc>
          <w:tcPr>
            <w:tcW w:w="8561" w:type="dxa"/>
          </w:tcPr>
          <w:p>
            <w:pPr>
              <w:rPr>
                <w:rFonts w:hint="eastAsia"/>
                <w:lang w:val="en-US" w:eastAsia="zh-CN"/>
              </w:rPr>
            </w:pPr>
            <w:r>
              <w:rPr>
                <w:rFonts w:hint="eastAsia"/>
                <w:lang w:val="en-US" w:eastAsia="zh-CN"/>
              </w:rPr>
              <w:t>Hepatic abscess by xanthogranulomatous cholecystitis and vesicular adenomyomatosis: a case report.</w:t>
            </w:r>
          </w:p>
          <w:p>
            <w:pPr>
              <w:rPr>
                <w:rFonts w:hint="eastAsia"/>
                <w:lang w:val="en-US" w:eastAsia="zh-CN"/>
              </w:rPr>
            </w:pPr>
            <w:r>
              <w:rPr>
                <w:rFonts w:hint="eastAsia"/>
                <w:lang w:val="en-US" w:eastAsia="zh-CN"/>
              </w:rPr>
              <w:t>Absceso hepático por colecistitis xantogranulomatosa y adenomiomatosis vesicular: reporte de un caso.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vMerge w:val="continue"/>
            <w:tcBorders/>
            <w:vAlign w:val="center"/>
          </w:tcPr>
          <w:p>
            <w:pPr>
              <w:jc w:val="center"/>
              <w:rPr>
                <w:rFonts w:hint="eastAsia"/>
                <w:vertAlign w:val="baseline"/>
                <w:lang w:val="en-US" w:eastAsia="zh-CN"/>
              </w:rPr>
            </w:pPr>
          </w:p>
        </w:tc>
        <w:tc>
          <w:tcPr>
            <w:tcW w:w="8561" w:type="dxa"/>
          </w:tcPr>
          <w:p>
            <w:pPr>
              <w:rPr>
                <w:rFonts w:hint="eastAsia"/>
                <w:lang w:val="en-US" w:eastAsia="zh-CN"/>
              </w:rPr>
            </w:pPr>
            <w:r>
              <w:rPr>
                <w:rFonts w:hint="eastAsia"/>
                <w:lang w:val="en-US" w:eastAsia="zh-CN"/>
              </w:rPr>
              <w:t>Blastoid mantle cell lym</w:t>
            </w:r>
            <w:bookmarkStart w:id="0" w:name="_GoBack"/>
            <w:bookmarkEnd w:id="0"/>
            <w:r>
              <w:rPr>
                <w:rFonts w:hint="eastAsia"/>
                <w:lang w:val="en-US" w:eastAsia="zh-CN"/>
              </w:rPr>
              <w:t>phoma: cutaneous infiltration</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1MDVmYmJlOTk0ZTYwYTVkNDA1ZjI5YTM5NTBmMDEifQ=="/>
    <w:docVar w:name="KSO_WPS_MARK_KEY" w:val="22f13f92-b60f-48c9-9717-105d7d3af85f"/>
  </w:docVars>
  <w:rsids>
    <w:rsidRoot w:val="00000000"/>
    <w:rsid w:val="3E8628F4"/>
    <w:rsid w:val="6488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Words>
  <Characters>201</Characters>
  <Lines>0</Lines>
  <Paragraphs>0</Paragraphs>
  <TotalTime>6</TotalTime>
  <ScaleCrop>false</ScaleCrop>
  <LinksUpToDate>false</LinksUpToDate>
  <CharactersWithSpaces>225</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2023-03-30T14:31:00Z</dcterms:created>
  <dc:creator>XTH</dc:creator>
  <cp:lastModifiedBy>天のレクイエム</cp:lastModifiedBy>
  <dcterms:modified xsi:type="dcterms:W3CDTF">2023-03-30T17:14:05Z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4830C59FB96A42A2A3971875BC945B75</vt:lpwstr>
  </property>
</Properties>
</file>