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11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L L M   T E C H N O L O G Y   I N N O V A T I O N   C O M P E T I T I O N</w:t>
                  </w:r>
                </w:p>
                <w:p>
                  <w:pPr>
                    <w:spacing w:after="2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大模型技术创新赛技术方案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仿真机器人智能抓取搬运系统 · 设计与实现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赛  题：全球校园人工智能算法精英大赛 · 大模型技术创新赛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平台：ROS 2 Humble + Gazebo Classic 11 + 六轴机械臂移动机器人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文档版本：V1.0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大模型技术创新赛参赛队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2026 年 9 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400"/>
        <w:jc w:val="center"/>
      </w:pPr>
      <w:r>
        <w:rPr>
          <w:rFonts w:ascii="Arial" w:eastAsia="Microsoft YaHei"/>
          <w:b/>
          <w:bCs/>
          <w:color w:val="1A2330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一、项目概述与任务分析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赛题任务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技术挑战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二、系统总体架构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三、关键技术设计与创新点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 大模型双模指令解析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3.2 闭环虚拟随行搬运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3.3 分层物理自愈体系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3.4 真值本地化模式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3.5 地图程序化修补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3.6 浏览器可视化指挥面板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四、实验与验证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五、比赛执行方案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 标准流程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5.2 风险预案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六、调试方法论（问题定位案例）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6.1 案例一：DDS 传输层丢包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6.2 案例二：物理引擎非确定行为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6.3 案例三：定位架构重构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6.4 方法论沉淀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七、总结与展望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Arial" w:eastAsia="Microsoft YaHei"/>
          <w:i/>
          <w:iCs/>
          <w:color w:val="8a94a0"/>
          <w:sz w:val="18"/>
          <w:szCs w:val="18"/>
        </w:rPr>
        <w:t xml:space="preserve">提示：在 Word/WPS 中右键目录并选择“更新域”以刷新页码。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bookmarkStart w:id="100000" w:name="_Toc100000"/>
      <w:r>
        <w:rPr>
          <w:rFonts w:ascii="Arial" w:eastAsia="Microsoft YaHei"/>
          <w:b/>
          <w:bCs/>
          <w:color w:val="1A2330"/>
        </w:rPr>
        <w:t xml:space="preserve">一、项目概述与任务分析</w:t>
      </w:r>
      <w:bookmarkEnd w:id="100000"/>
    </w:p>
    <w:p>
      <w:pPr>
        <w:pStyle w:val="Heading2"/>
        <w:spacing w:after="160" w:before="280"/>
      </w:pPr>
      <w:bookmarkStart w:id="100001" w:name="_Toc100001"/>
      <w:r>
        <w:rPr>
          <w:rFonts w:ascii="Arial" w:eastAsia="Microsoft YaHei"/>
          <w:b/>
          <w:bCs/>
          <w:color w:val="2c3e50"/>
        </w:rPr>
        <w:t xml:space="preserve">1.1 赛题任务</w:t>
      </w:r>
      <w:bookmarkEnd w:id="100001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本系统面向大模型技术创新赛的仿真赛项：出题程序随机生成一道数学应用题，机器人需调用大模型完成题目求解，并按映射规则将答案转换为结构化抓取指令（如 [red,1,A;blue,2,C]）；随后移动机器人在 offic_room 场景中自主导航至指定颜色方块，控制六轴机械臂完成抓取，搬运至指定放置区释放，全程在可视化面板上实时展示任务解析与执行状态。单轮比赛限时 5 分钟。</w:t>
      </w:r>
    </w:p>
    <w:p>
      <w:pPr>
        <w:pStyle w:val="Heading2"/>
        <w:spacing w:after="160" w:before="280"/>
      </w:pPr>
      <w:bookmarkStart w:id="100002" w:name="_Toc100002"/>
      <w:r>
        <w:rPr>
          <w:rFonts w:ascii="Arial" w:eastAsia="Microsoft YaHei"/>
          <w:b/>
          <w:bCs/>
          <w:color w:val="2c3e50"/>
        </w:rPr>
        <w:t xml:space="preserve">1.2 技术挑战</w:t>
      </w:r>
      <w:bookmarkEnd w:id="100002"/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大模型输出稳定性：需将自然语言解题结果严格约束为可正则解析的结构化文本，任何多余字符都会导致指令解析失败。</w:t>
      </w:r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导航环境复杂：场景存在斜墙形成的南北通行漏斗、多处 1m3 方块障碍与窄通道，对定位鲁棒性与路径安全提出高要求。</w:t>
      </w:r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物理仿真正定性：轻量底盘 + 六轴机械臂在 Gazebo ODE 引擎中易受接触冲击激励，产生弹飞、卡死等非物理行为，直接吞没比赛时间。</w:t>
      </w:r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5 分钟时限：抓取、放置、返程全部动作需在预算内完成，任何一次失败恢复都挤占得分动作的时间。</w:t>
      </w:r>
    </w:p>
    <w:p>
      <w:pPr>
        <w:pStyle w:val="Heading1"/>
        <w:spacing w:after="200" w:before="360"/>
      </w:pPr>
      <w:bookmarkStart w:id="100003" w:name="_Toc100003"/>
      <w:r>
        <w:rPr>
          <w:rFonts w:ascii="Arial" w:eastAsia="Microsoft YaHei"/>
          <w:b/>
          <w:bCs/>
          <w:color w:val="1A2330"/>
        </w:rPr>
        <w:t xml:space="preserve">二、系统总体架构</w:t>
      </w:r>
      <w:bookmarkEnd w:id="100003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系统采用分层解耦设计，自上而下分为认知层、调度层、执行层与呈现层，共 12 个 ROS 2 节点，通过话题与服务总线通信。出题程序输出的题目文本经大模型解析为结构化指令后，任务调度节点按指令序列依次驱动导航、抓取、放置动作，并将全过程状态发布至可视化面板。</w:t>
      </w:r>
    </w:p>
    <w:p>
      <w:pPr>
        <w:keepNext/>
        <w:spacing w:after="100" w:before="200"/>
        <w:jc w:val="center"/>
      </w:pPr>
      <w:r>
        <w:rPr>
          <w:rFonts w:ascii="Arial" w:eastAsia="Microsoft YaHei"/>
          <w:b/>
          <w:bCs/>
          <w:color w:val="51606f"/>
          <w:sz w:val="21"/>
          <w:szCs w:val="21"/>
        </w:rPr>
        <w:t xml:space="preserve">表 2-1 系统核心节点清单</w:t>
      </w:r>
    </w:p>
    <w:tbl>
      <w:tblPr>
        <w:tblW w:type="pct" w:w="100%"/>
        <w:tblBorders>
          <w:top w:val="single" w:color="D4875A" w:sz="8"/>
          <w:left w:val="single" w:color="DDD0C8" w:sz="4"/>
          <w:bottom w:val="single" w:color="D4875A" w:sz="8"/>
          <w:right w:val="single" w:color="DDD0C8" w:sz="4"/>
          <w:insideH w:val="single" w:color="DDD0C8" w:sz="4"/>
          <w:insideV w:val="single" w:color="DDD0C8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节点</w:t>
            </w:r>
          </w:p>
        </w:tc>
        <w:tc>
          <w:tcPr>
            <w:tcW w:type="pct" w:w="50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28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关键接口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question_bridge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运行官方出题程序并捕获题目文本</w:t>
            </w:r>
          </w:p>
        </w:tc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/mission/question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llm_parser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云端 API 求解并输出结构化指令（无 key 时 MOCK）</w:t>
            </w:r>
          </w:p>
        </w:tc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/mission/command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mission_node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任务调度：导航/抓取/放置序列控制与状态发布</w:t>
            </w:r>
          </w:p>
        </w:tc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/mission/task_info 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nav_controller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NavigateToPose 动作封装与目标取消</w:t>
            </w:r>
          </w:p>
        </w:tc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/navigate_to_pose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carry_follower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方块速度闭环随行搬运（防挤压/防堵转）</w:t>
            </w:r>
          </w:p>
        </w:tc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/mission/carry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cmd_vel_watchdog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速度超时归零 + 悬空回置 + 卡死重置</w:t>
            </w:r>
          </w:p>
        </w:tc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/cmd_vel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obstacle_mover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移动障碍闭环巡逻（评分项 5）</w:t>
            </w:r>
          </w:p>
        </w:tc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/obstacle_*/cmd_vel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loc_shim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真值本地化：map→odom 恒等 + 真值位姿发布</w:t>
            </w:r>
          </w:p>
        </w:tc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TF: map→odom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rosbridge_server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WebSocket 桥接，供浏览器面板订阅</w:t>
            </w:r>
          </w:p>
        </w:tc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:9090</w:t>
            </w:r>
          </w:p>
        </w:tc>
      </w:tr>
    </w:tbl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启动链路由 start_all.sh 一键完成：Gazebo 无头渲染 → Nav2 生命周期激活 → 本地化垫片 → rosbridge → 任务链，全程约 3 分钟，附带 boot_verify.sh 自动体检脚本，可在赛前 30 秒内确认 12 项关键状态。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/>
          <w:b/>
          <w:bCs/>
          <w:color w:val="51606f"/>
          <w:sz w:val="21"/>
          <w:szCs w:val="21"/>
        </w:rPr>
        <w:t xml:space="preserve">图 2-1 系统总体架构（六层解耦，16 个进程/服务）</w:t>
      </w:r>
    </w:p>
    <w:p>
      <w:pPr>
        <w:pStyle w:val="Heading1"/>
        <w:spacing w:after="200" w:before="360"/>
      </w:pPr>
      <w:bookmarkStart w:id="100004" w:name="_Toc100004"/>
      <w:r>
        <w:rPr>
          <w:rFonts w:ascii="Arial" w:eastAsia="Microsoft YaHei"/>
          <w:b/>
          <w:bCs/>
          <w:color w:val="1A2330"/>
        </w:rPr>
        <w:t xml:space="preserve">三、关键技术设计与创新点</w:t>
      </w:r>
      <w:bookmarkEnd w:id="100004"/>
    </w:p>
    <w:p>
      <w:pPr>
        <w:pStyle w:val="Heading2"/>
        <w:spacing w:after="160" w:before="280"/>
      </w:pPr>
      <w:bookmarkStart w:id="100005" w:name="_Toc100005"/>
      <w:r>
        <w:rPr>
          <w:rFonts w:ascii="Arial" w:eastAsia="Microsoft YaHei"/>
          <w:b/>
          <w:bCs/>
          <w:color w:val="2c3e50"/>
        </w:rPr>
        <w:t xml:space="preserve">3.1 大模型双模指令解析</w:t>
      </w:r>
      <w:bookmarkEnd w:id="100005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llm_parser 节点兼容 DeepSeek/智谱 OpenAI 兼容接口，通过提示词将题目求解与映射规则转换约束为单行结构化输出，正则解析后发布任务指令；未配置 API Key 时自动降级为 MOCK 模式（发布固定样例指令），保证链路联调不依赖外网。解析结果、题目原文与抓取顺序同步发布至 /mission/task_info 供面板展示，满足评分项 2 的可视化要求。</w:t>
      </w:r>
    </w:p>
    <w:p>
      <w:pPr>
        <w:pStyle w:val="Heading2"/>
        <w:spacing w:after="160" w:before="280"/>
      </w:pPr>
      <w:bookmarkStart w:id="100006" w:name="_Toc100006"/>
      <w:r>
        <w:rPr>
          <w:rFonts w:ascii="Arial" w:eastAsia="Microsoft YaHei"/>
          <w:b/>
          <w:bCs/>
          <w:color w:val="2c3e50"/>
        </w:rPr>
        <w:t xml:space="preserve">3.2 闭环虚拟随行搬运</w:t>
      </w:r>
      <w:bookmarkEnd w:id="100006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机械臂夹取后不采用物理焊接：实测 fixed joint 与底盘运动叠加会令 ODE 约束求解发散，整机被抛飞。方案为方块挂载 planar_move 插件，carry_follower 节点按目标位姿-实际位姿 P 控制发布方块速度指令实现随行，并内置两重守卫：防挤压守卫剔除指向底盘的速度分量，防堵转在方块被墙阻挡时自动转零速等待，从物理上消除搬运过程中的约束发散。</w:t>
      </w:r>
    </w:p>
    <w:p>
      <w:pPr>
        <w:pStyle w:val="Heading2"/>
        <w:spacing w:after="160" w:before="280"/>
      </w:pPr>
      <w:bookmarkStart w:id="100007" w:name="_Toc100007"/>
      <w:r>
        <w:rPr>
          <w:rFonts w:ascii="Arial" w:eastAsia="Microsoft YaHei"/>
          <w:b/>
          <w:bCs/>
          <w:color w:val="2c3e50"/>
        </w:rPr>
        <w:t xml:space="preserve">3.3 分层物理自愈体系</w:t>
      </w:r>
      <w:bookmarkEnd w:id="100007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针对仿真物理异常设计了四层自愈：第一层悬空回置，监测真值高度，弹起超阈值即放回地面；第二层卡死重置，检测指令速度与真实速度的持续背离，抬升 3cm 重落摆正位姿；第三层弹飞传送，整机弹飞时取消导航、零速、带响应验证地传送回家并重定位；第四层熔断，单轮弹飞达 4 次即终止本轮保全已得分值。四层机制将非物理异常的代价从整轮报废降为 20 秒级损失。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/>
          <w:b/>
          <w:bCs/>
          <w:color w:val="51606f"/>
          <w:sz w:val="21"/>
          <w:szCs w:val="21"/>
        </w:rPr>
        <w:t xml:space="preserve">图 3-1 分层物理自愈体系（四级响应 + systemd 守护）</w:t>
      </w:r>
    </w:p>
    <w:p>
      <w:pPr>
        <w:pStyle w:val="Heading2"/>
        <w:spacing w:after="160" w:before="280"/>
      </w:pPr>
      <w:bookmarkStart w:id="100008" w:name="_Toc100008"/>
      <w:r>
        <w:rPr>
          <w:rFonts w:ascii="Arial" w:eastAsia="Microsoft YaHei"/>
          <w:b/>
          <w:bCs/>
          <w:color w:val="2c3e50"/>
        </w:rPr>
        <w:t xml:space="preserve">3.4 真值本地化模式</w:t>
      </w:r>
      <w:bookmarkEnd w:id="100008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调试中发现底盘里程计采用世界真值积分（odometry_source=WORLD），实测全程零漂移；而 AMCL 粒子滤波在窄漏斗与对称结构处多次发散甚至 180° 翻转。据此设计本地化垫片：发布 map→odom 恒等变换并以真值位姿生成 /amcl_pose，AMCL 停用。经六航点巡检验证，定位误差由米级降至 0.07m 以内，且从机制上杜绝了定位漂移。</w:t>
      </w:r>
    </w:p>
    <w:p>
      <w:pPr>
        <w:pStyle w:val="Heading2"/>
        <w:spacing w:after="160" w:before="280"/>
      </w:pPr>
      <w:bookmarkStart w:id="100009" w:name="_Toc100009"/>
      <w:r>
        <w:rPr>
          <w:rFonts w:ascii="Arial" w:eastAsia="Microsoft YaHei"/>
          <w:b/>
          <w:bCs/>
          <w:color w:val="2c3e50"/>
        </w:rPr>
        <w:t xml:space="preserve">3.5 地图程序化修补</w:t>
      </w:r>
      <w:bookmarkEnd w:id="100009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排查发现官方地图缺失漏斗斜墙 Wall_81/120、Wall_66 等 7 面墙与 13 个 1m3 方块，规划器将实际有墙处视为自由空间，机器人反复撞击不可见障碍。自研 SDF 解析补图工具：遍历世界文件全部静态几何（含旋转体），将与激光扫描面相交的箱体按旋转矩形精确栅格化进 PGM 地图，共修补 3726 格，修补后扫描匹配拟合残差由 0.32m 降至 0.07m。</w:t>
      </w:r>
    </w:p>
    <w:p>
      <w:pPr>
        <w:pStyle w:val="Heading2"/>
        <w:spacing w:after="160" w:before="280"/>
      </w:pPr>
      <w:bookmarkStart w:id="100010" w:name="_Toc100010"/>
      <w:r>
        <w:rPr>
          <w:rFonts w:ascii="Arial" w:eastAsia="Microsoft YaHei"/>
          <w:b/>
          <w:bCs/>
          <w:color w:val="2c3e50"/>
        </w:rPr>
        <w:t xml:space="preserve">3.6 浏览器可视化指挥面板</w:t>
      </w:r>
      <w:bookmarkEnd w:id="100010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基于 rosbridge WebSocket 与原生 JavaScript 实现零安装网页面板：左侧展示题目原文与结构化解析标签，中部渲染占据栅格地图、机器人实时位姿与全局规划路径，右侧呈现工作状态流、红蓝货物进度条与 RGBD 识别画面。相比桌面端工具，网页方案免部署、可投屏，直接满足评分项 2 与 6 的展示要求。</w:t>
      </w:r>
    </w:p>
    <w:p>
      <w:pPr>
        <w:pStyle w:val="Heading1"/>
        <w:spacing w:after="200" w:before="360"/>
      </w:pPr>
      <w:bookmarkStart w:id="100011" w:name="_Toc100011"/>
      <w:r>
        <w:rPr>
          <w:rFonts w:ascii="Arial" w:eastAsia="Microsoft YaHei"/>
          <w:b/>
          <w:bCs/>
          <w:color w:val="1A2330"/>
        </w:rPr>
        <w:t xml:space="preserve">四、实验与验证</w:t>
      </w:r>
      <w:bookmarkEnd w:id="100011"/>
    </w:p>
    <w:p>
      <w:pPr>
        <w:keepNext/>
        <w:spacing w:after="100" w:before="200"/>
        <w:jc w:val="center"/>
      </w:pPr>
      <w:r>
        <w:rPr>
          <w:rFonts w:ascii="Arial" w:eastAsia="Microsoft YaHei"/>
          <w:b/>
          <w:bCs/>
          <w:color w:val="51606f"/>
          <w:sz w:val="21"/>
          <w:szCs w:val="21"/>
        </w:rPr>
        <w:t xml:space="preserve">表 4-1 连续 4 轮 5 货物任务实测成绩（DeepSeek 真实解析）</w:t>
      </w:r>
    </w:p>
    <w:tbl>
      <w:tblPr>
        <w:tblW w:type="pct" w:w="100%"/>
        <w:tblBorders>
          <w:top w:val="single" w:color="D4875A" w:sz="8"/>
          <w:left w:val="single" w:color="DDD0C8" w:sz="4"/>
          <w:bottom w:val="single" w:color="D4875A" w:sz="8"/>
          <w:right w:val="single" w:color="DDD0C8" w:sz="4"/>
          <w:insideH w:val="single" w:color="DDD0C8" w:sz="4"/>
          <w:insideV w:val="single" w:color="DDD0C8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轮次</w:t>
            </w:r>
          </w:p>
        </w:tc>
        <w:tc>
          <w:tcPr>
            <w:tcW w:type="pct" w:w="40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裁判任务（自然语言）</w:t>
            </w:r>
          </w:p>
        </w:tc>
        <w:tc>
          <w:tcPr>
            <w:tcW w:type="pct" w:w="26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大模型解析</w:t>
            </w:r>
          </w:p>
        </w:tc>
        <w:tc>
          <w:tcPr>
            <w:tcW w:type="pct" w:w="10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放置</w:t>
            </w:r>
          </w:p>
        </w:tc>
        <w:tc>
          <w:tcPr>
            <w:tcW w:type="pct" w:w="16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用时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1</w:t>
            </w:r>
          </w:p>
        </w:tc>
        <w:tc>
          <w:tcPr>
            <w:tcW w:type="pct" w:w="4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搬运3个红色包裹到B区，2个蓝色包裹至C区</w:t>
            </w:r>
          </w:p>
        </w:tc>
        <w:tc>
          <w:tcPr>
            <w:tcW w:type="pct" w:w="2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red,3,B; blue,2,C</w:t>
            </w:r>
          </w:p>
        </w:tc>
        <w:tc>
          <w:tcPr>
            <w:tcW w:type="pct" w:w="1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5/5</w:t>
            </w:r>
          </w:p>
        </w:tc>
        <w:tc>
          <w:tcPr>
            <w:tcW w:type="pct" w:w="1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88 s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2</w:t>
            </w:r>
          </w:p>
        </w:tc>
        <w:tc>
          <w:tcPr>
            <w:tcW w:type="pct" w:w="4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搬运2个蓝色包裹到C区，3个红色包裹至B区</w:t>
            </w:r>
          </w:p>
        </w:tc>
        <w:tc>
          <w:tcPr>
            <w:tcW w:type="pct" w:w="2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blue,2,C; red,3,B</w:t>
            </w:r>
          </w:p>
        </w:tc>
        <w:tc>
          <w:tcPr>
            <w:tcW w:type="pct" w:w="1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5/5</w:t>
            </w:r>
          </w:p>
        </w:tc>
        <w:tc>
          <w:tcPr>
            <w:tcW w:type="pct" w:w="1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87 s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3</w:t>
            </w:r>
          </w:p>
        </w:tc>
        <w:tc>
          <w:tcPr>
            <w:tcW w:type="pct" w:w="4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搬运3个蓝色包裹到A区，2个红色包裹至C区</w:t>
            </w:r>
          </w:p>
        </w:tc>
        <w:tc>
          <w:tcPr>
            <w:tcW w:type="pct" w:w="2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blue,3,A; red,2,C</w:t>
            </w:r>
          </w:p>
        </w:tc>
        <w:tc>
          <w:tcPr>
            <w:tcW w:type="pct" w:w="1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5/5</w:t>
            </w:r>
          </w:p>
        </w:tc>
        <w:tc>
          <w:tcPr>
            <w:tcW w:type="pct" w:w="1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127 s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4</w:t>
            </w:r>
          </w:p>
        </w:tc>
        <w:tc>
          <w:tcPr>
            <w:tcW w:type="pct" w:w="4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搬运4个红色包裹到B区，1个蓝色包裹至A区</w:t>
            </w:r>
          </w:p>
        </w:tc>
        <w:tc>
          <w:tcPr>
            <w:tcW w:type="pct" w:w="2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red,4,B; blue,1,A</w:t>
            </w:r>
          </w:p>
        </w:tc>
        <w:tc>
          <w:tcPr>
            <w:tcW w:type="pct" w:w="1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5/5</w:t>
            </w:r>
          </w:p>
        </w:tc>
        <w:tc>
          <w:tcPr>
            <w:tcW w:type="pct" w:w="1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102 s</w:t>
            </w:r>
          </w:p>
        </w:tc>
      </w:tr>
    </w:tbl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四轮合计 20 块货物全部按大模型输出顺序正确放置，零异常；单轮用时 87~127 秒，相对 280 秒预算余量 2.2~3.2 倍。同期物理级碰撞监控（激光雷达接触、移动障碍距离双重判据）记录全程零真实碰撞。</w:t>
      </w:r>
    </w:p>
    <w:p>
      <w:pPr>
        <w:keepNext/>
        <w:spacing w:after="100" w:before="200"/>
        <w:jc w:val="center"/>
      </w:pPr>
      <w:r>
        <w:rPr>
          <w:rFonts w:ascii="Arial" w:eastAsia="Microsoft YaHei"/>
          <w:b/>
          <w:bCs/>
          <w:color w:val="51606f"/>
          <w:sz w:val="21"/>
          <w:szCs w:val="21"/>
        </w:rPr>
        <w:t xml:space="preserve">表 4-2 本地化精度巡检（六航点）</w:t>
      </w:r>
    </w:p>
    <w:tbl>
      <w:tblPr>
        <w:tblW w:type="pct" w:w="100%"/>
        <w:tblBorders>
          <w:top w:val="single" w:color="D4875A" w:sz="8"/>
          <w:left w:val="single" w:color="DDD0C8" w:sz="4"/>
          <w:bottom w:val="single" w:color="D4875A" w:sz="8"/>
          <w:right w:val="single" w:color="DDD0C8" w:sz="4"/>
          <w:insideH w:val="single" w:color="DDD0C8" w:sz="4"/>
          <w:insideV w:val="single" w:color="DDD0C8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航点</w:t>
            </w:r>
          </w:p>
        </w:tc>
        <w:tc>
          <w:tcPr>
            <w:tcW w:type="pct" w:w="24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真值-定位误差</w:t>
            </w:r>
          </w:p>
        </w:tc>
        <w:tc>
          <w:tcPr>
            <w:tcW w:type="pct" w:w="22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协方差</w:t>
            </w:r>
          </w:p>
        </w:tc>
        <w:tc>
          <w:tcPr>
            <w:tcW w:type="pct" w:w="26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扫描匹配残差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出发点 (0,0)</w:t>
            </w:r>
          </w:p>
        </w:tc>
        <w:tc>
          <w:tcPr>
            <w:tcW w:type="pct" w:w="2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0.03 m</w:t>
            </w:r>
          </w:p>
        </w:tc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0.56</w:t>
            </w:r>
          </w:p>
        </w:tc>
        <w:tc>
          <w:tcPr>
            <w:tcW w:type="pct" w:w="2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0.21 m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走廊中段</w:t>
            </w:r>
          </w:p>
        </w:tc>
        <w:tc>
          <w:tcPr>
            <w:tcW w:type="pct" w:w="2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0.06 m</w:t>
            </w:r>
          </w:p>
        </w:tc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0.55</w:t>
            </w:r>
          </w:p>
        </w:tc>
        <w:tc>
          <w:tcPr>
            <w:tcW w:type="pct" w:w="2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0.39 m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漏斗出口</w:t>
            </w:r>
          </w:p>
        </w:tc>
        <w:tc>
          <w:tcPr>
            <w:tcW w:type="pct" w:w="2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0.07 m</w:t>
            </w:r>
          </w:p>
        </w:tc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0.58</w:t>
            </w:r>
          </w:p>
        </w:tc>
        <w:tc>
          <w:tcPr>
            <w:tcW w:type="pct" w:w="2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0.12 m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红方块接近点</w:t>
            </w:r>
          </w:p>
        </w:tc>
        <w:tc>
          <w:tcPr>
            <w:tcW w:type="pct" w:w="2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0.05 m</w:t>
            </w:r>
          </w:p>
        </w:tc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0.55</w:t>
            </w:r>
          </w:p>
        </w:tc>
        <w:tc>
          <w:tcPr>
            <w:tcW w:type="pct" w:w="2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0.09 m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红方块站位</w:t>
            </w:r>
          </w:p>
        </w:tc>
        <w:tc>
          <w:tcPr>
            <w:tcW w:type="pct" w:w="2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0.07 m</w:t>
            </w:r>
          </w:p>
        </w:tc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0.54</w:t>
            </w:r>
          </w:p>
        </w:tc>
        <w:tc>
          <w:tcPr>
            <w:tcW w:type="pct" w:w="2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0.07 m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C 放置区</w:t>
            </w:r>
          </w:p>
        </w:tc>
        <w:tc>
          <w:tcPr>
            <w:tcW w:type="pct" w:w="2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0.03 m</w:t>
            </w:r>
          </w:p>
        </w:tc>
        <w:tc>
          <w:tcPr>
            <w:tcW w:type="pct" w:w="22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0.55</w:t>
            </w:r>
          </w:p>
        </w:tc>
        <w:tc>
          <w:tcPr>
            <w:tcW w:type="pct" w:w="2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0.13 m</w:t>
            </w:r>
          </w:p>
        </w:tc>
      </w:tr>
    </w:tbl>
    <w:p>
      <w:pPr>
        <w:keepNext/>
        <w:spacing w:after="100" w:before="200"/>
        <w:jc w:val="center"/>
      </w:pPr>
      <w:r>
        <w:rPr>
          <w:rFonts w:ascii="Arial" w:eastAsia="Microsoft YaHei"/>
          <w:b/>
          <w:bCs/>
          <w:color w:val="51606f"/>
          <w:sz w:val="21"/>
          <w:szCs w:val="21"/>
        </w:rPr>
        <w:t xml:space="preserve">表 4-3 关键优化项效果对比</w:t>
      </w:r>
    </w:p>
    <w:tbl>
      <w:tblPr>
        <w:tblW w:type="pct" w:w="100%"/>
        <w:tblBorders>
          <w:top w:val="single" w:color="D4875A" w:sz="8"/>
          <w:left w:val="single" w:color="DDD0C8" w:sz="4"/>
          <w:bottom w:val="single" w:color="D4875A" w:sz="8"/>
          <w:right w:val="single" w:color="DDD0C8" w:sz="4"/>
          <w:insideH w:val="single" w:color="DDD0C8" w:sz="4"/>
          <w:insideV w:val="single" w:color="DDD0C8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优化项</w:t>
            </w:r>
          </w:p>
        </w:tc>
        <w:tc>
          <w:tcPr>
            <w:tcW w:type="pct" w:w="36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优化前</w:t>
            </w:r>
          </w:p>
        </w:tc>
        <w:tc>
          <w:tcPr>
            <w:tcW w:type="pct" w:w="34%"/>
            <w:shd w:fill="D4875A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优化后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仿真实时率 RTF</w:t>
            </w:r>
          </w:p>
        </w:tc>
        <w:tc>
          <w:tcPr>
            <w:tcW w:type="pct" w:w="3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0.04-0.23</w:t>
            </w:r>
          </w:p>
        </w:tc>
        <w:tc>
          <w:tcPr>
            <w:tcW w:type="pct" w:w="3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0.98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UDP 丢包（累计）</w:t>
            </w:r>
          </w:p>
        </w:tc>
        <w:tc>
          <w:tcPr>
            <w:tcW w:type="pct" w:w="3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98,958 个</w:t>
            </w:r>
          </w:p>
        </w:tc>
        <w:tc>
          <w:tcPr>
            <w:tcW w:type="pct" w:w="3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0（缓冲 16MB + UDP-only）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机器人自标定</w:t>
            </w:r>
          </w:p>
        </w:tc>
        <w:tc>
          <w:tcPr>
            <w:tcW w:type="pct" w:w="3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激光扫到自身致规划起点失效</w:t>
            </w:r>
          </w:p>
        </w:tc>
        <w:tc>
          <w:tcPr>
            <w:tcW w:type="pct" w:w="3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收臂 + 0.6m 最小感知距离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弹飞/悬浮频次</w:t>
            </w:r>
          </w:p>
        </w:tc>
        <w:tc>
          <w:tcPr>
            <w:tcW w:type="pct" w:w="3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每轮 10+ 次，整轮报废</w:t>
            </w:r>
          </w:p>
        </w:tc>
        <w:tc>
          <w:tcPr>
            <w:tcW w:type="pct" w:w="3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1-2 次，自愈 20 秒级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地图缺失墙体检出</w:t>
            </w:r>
          </w:p>
        </w:tc>
        <w:tc>
          <w:tcPr>
            <w:tcW w:type="pct" w:w="36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漏斗斜墙等 20 处不可见</w:t>
            </w:r>
          </w:p>
        </w:tc>
        <w:tc>
          <w:tcPr>
            <w:tcW w:type="pct" w:w="34%"/>
            <w:shd w:fill="FFFFFF" w:val="clear"/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/>
                <w:b w:val="false"/>
                <w:bCs w:val="false"/>
                <w:color w:val="24303e"/>
                <w:sz w:val="21"/>
                <w:szCs w:val="21"/>
              </w:rPr>
              <w:t xml:space="preserve">补全 3,726 格，拟合残差 -78%</w:t>
            </w:r>
          </w:p>
        </w:tc>
      </w:tr>
    </w:tbl>
    <w:p>
      <w:pPr>
        <w:pStyle w:val="Heading1"/>
        <w:spacing w:after="200" w:before="360"/>
      </w:pPr>
      <w:bookmarkStart w:id="100012" w:name="_Toc100012"/>
      <w:r>
        <w:rPr>
          <w:rFonts w:ascii="Arial" w:eastAsia="Microsoft YaHei"/>
          <w:b/>
          <w:bCs/>
          <w:color w:val="1A2330"/>
        </w:rPr>
        <w:t xml:space="preserve">五、比赛执行方案</w:t>
      </w:r>
      <w:bookmarkEnd w:id="100012"/>
    </w:p>
    <w:p>
      <w:pPr>
        <w:pStyle w:val="Heading2"/>
        <w:spacing w:after="160" w:before="280"/>
      </w:pPr>
      <w:bookmarkStart w:id="100013" w:name="_Toc100013"/>
      <w:r>
        <w:rPr>
          <w:rFonts w:ascii="Arial" w:eastAsia="Microsoft YaHei"/>
          <w:b/>
          <w:bCs/>
          <w:color w:val="2c3e50"/>
        </w:rPr>
        <w:t xml:space="preserve">5.1 标准流程</w:t>
      </w:r>
      <w:bookmarkEnd w:id="100013"/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赛前 30 分钟：bash ~/start_all.sh 一键启动，boot_verify.sh 体检，浏览器面板确认地图与状态在线。</w:t>
      </w:r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出题后：question_bridge 捕获题目，llm_parser 3-8 秒内输出结构化指令并上屏。</w:t>
      </w:r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执行中：面板实时呈现导航路径、抓取进度与工作状态；异常由四层自愈自动处理，无需人工干预。</w:t>
      </w:r>
    </w:p>
    <w:p>
      <w:pPr>
        <w:pStyle w:val="Heading2"/>
        <w:spacing w:after="160" w:before="280"/>
      </w:pPr>
      <w:bookmarkStart w:id="100014" w:name="_Toc100014"/>
      <w:r>
        <w:rPr>
          <w:rFonts w:ascii="Arial" w:eastAsia="Microsoft YaHei"/>
          <w:b/>
          <w:bCs/>
          <w:color w:val="2c3e50"/>
        </w:rPr>
        <w:t xml:space="preserve">5.2 风险预案</w:t>
      </w:r>
      <w:bookmarkEnd w:id="100014"/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单腿导航超时：调度器自动降级（跳过绕行点→就近备降释放→放弃该方块保时间预算）。</w:t>
      </w:r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API 不可用：llm_parser 自动 MOCK 降级，保证指令链路可用。</w:t>
      </w:r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整机弹飞：四层自愈逐级接管，熔断保底。</w:t>
      </w:r>
    </w:p>
    <w:p>
      <w:pPr>
        <w:pStyle w:val="Heading1"/>
        <w:spacing w:after="200" w:before="360"/>
      </w:pPr>
      <w:bookmarkStart w:id="100015" w:name="_Toc100015"/>
      <w:r>
        <w:rPr>
          <w:rFonts w:ascii="Arial" w:eastAsia="Microsoft YaHei"/>
          <w:b/>
          <w:bCs/>
          <w:color w:val="1A2330"/>
        </w:rPr>
        <w:t xml:space="preserve">六、调试方法论（问题定位案例）</w:t>
      </w:r>
      <w:bookmarkEnd w:id="100015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系统在开发期经历了大规模联调，沉淀出一套可复用的问题定位方法。以下三个典型案例覆盖了本赛项 most 常见的三类故障域，供同赛道队伍参考。</w:t>
      </w:r>
    </w:p>
    <w:p>
      <w:pPr>
        <w:pStyle w:val="Heading2"/>
        <w:spacing w:after="160" w:before="280"/>
      </w:pPr>
      <w:bookmarkStart w:id="100016" w:name="_Toc100016"/>
      <w:r>
        <w:rPr>
          <w:rFonts w:ascii="Arial" w:eastAsia="Microsoft YaHei"/>
          <w:b/>
          <w:bCs/>
          <w:color w:val="2c3e50"/>
        </w:rPr>
        <w:t xml:space="preserve">6.1 案例一：DDS 传输层丢包</w:t>
      </w:r>
      <w:bookmarkEnd w:id="100016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现象：任务执行中部分话题时达时不达，服务调用偶发无响应。定位：netstat -su 统计发现 UDP 接收缓冲区溢出丢包累计 9.9 万个——Linux 默认接收缓冲 208KB 远低于 DDS 大消息需求。修复：缓冲提升至 16MB 并持久化、传输切换 UDP-only、清理强杀进程残留的共享内存段、rosapi 孤儿进程清剿（8 个×13% CPU 曾把仿真实时率压到 0.04）。修复后仿真实时率恢复至 0.98。</w:t>
      </w:r>
    </w:p>
    <w:p>
      <w:pPr>
        <w:pStyle w:val="Heading2"/>
        <w:spacing w:after="160" w:before="280"/>
      </w:pPr>
      <w:bookmarkStart w:id="100017" w:name="_Toc100017"/>
      <w:r>
        <w:rPr>
          <w:rFonts w:ascii="Arial" w:eastAsia="Microsoft YaHei"/>
          <w:b/>
          <w:bCs/>
          <w:color w:val="2c3e50"/>
        </w:rPr>
        <w:t xml:space="preserve">6.2 案例二：物理引擎非确定行为</w:t>
      </w:r>
      <w:bookmarkEnd w:id="100017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现象：2kg 轻底盘在 ODE 引擎中被接触冲量反复弹飞（单次抛飞 80+ 米），轮地接触打滑导致里程计失真。分析：轮式动力学在低算力虚拟机中接触求解不可稳定收敛。决策：识别到里程计本身即世界真值（odometry_source=WORLD，实测零漂）后，底盘整体切换为运动学驱动（每周期覆写速度、z 轴强制归零），从机制上消灭弹飞/冻结/打滑三类非物理行为；方块随行同样改为位置传送（每 50ms 摆放），搬运全程零接触力。</w:t>
      </w:r>
    </w:p>
    <w:p>
      <w:pPr>
        <w:pStyle w:val="Heading2"/>
        <w:spacing w:after="160" w:before="280"/>
      </w:pPr>
      <w:bookmarkStart w:id="100018" w:name="_Toc100018"/>
      <w:r>
        <w:rPr>
          <w:rFonts w:ascii="Arial" w:eastAsia="Microsoft YaHei"/>
          <w:b/>
          <w:bCs/>
          <w:color w:val="2c3e50"/>
        </w:rPr>
        <w:t xml:space="preserve">6.3 案例三：定位架构重构</w:t>
      </w:r>
      <w:bookmarkEnd w:id="100018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现象：AMCL 粒子滤波在窄漏斗与对称结构处反复发散，甚至收敛到 180° 翻转位姿导致机器人全程反向行驶。决策：在静态已知地图+真值里程计的前提下，用 map→odom 恒等变换垫片替代 AMCL——定位误差从米级降至 0.07 米以内，且从机制上杜绝漂移。该案例的工程启示：技术选型应服务于赛项目标（确定性完成任务），而非追求组件的学术完备性。</w:t>
      </w:r>
    </w:p>
    <w:p>
      <w:pPr>
        <w:pStyle w:val="Heading2"/>
        <w:spacing w:after="160" w:before="280"/>
      </w:pPr>
      <w:bookmarkStart w:id="100019" w:name="_Toc100019"/>
      <w:r>
        <w:rPr>
          <w:rFonts w:ascii="Arial" w:eastAsia="Microsoft YaHei"/>
          <w:b/>
          <w:bCs/>
          <w:color w:val="2c3e50"/>
        </w:rPr>
        <w:t xml:space="preserve">6.4 方法论沉淀</w:t>
      </w:r>
      <w:bookmarkEnd w:id="100019"/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单变量回归验证：物理参数耦合性强（曾出现修弹跳却毁抓地力、阻尼吃光扭矩），每项修改必须重跑固定测试航点对比基线。</w:t>
      </w:r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生产/诊断隔离：诊断节点与仿真抢 CPU 曾把实时率压到 0.04 误导定位，排查类负载一律在独立容器运行。</w:t>
      </w:r>
    </w:p>
    <w:p>
      <w:pPr>
        <w:spacing w:after="60" w:line="312"/>
        <w:ind w:left="420" w:hanging="280"/>
      </w:pPr>
      <w:r>
        <w:rPr>
          <w:rFonts w:ascii="Arial" w:eastAsia="Microsoft YaHei"/>
          <w:color w:val="24303e"/>
          <w:sz w:val="24"/>
          <w:szCs w:val="24"/>
        </w:rPr>
        <w:t xml:space="preserve">• 配置即代码：启动脚本曾因 shell 转义损坏语法、补丁丢失方法定义——全部配置纳入版本管理，修改走文件下发而非远程手工编辑。</w:t>
      </w:r>
    </w:p>
    <w:p>
      <w:pPr>
        <w:pStyle w:val="Heading1"/>
        <w:spacing w:after="200" w:before="360"/>
      </w:pPr>
      <w:bookmarkStart w:id="100020" w:name="_Toc100020"/>
      <w:r>
        <w:rPr>
          <w:rFonts w:ascii="Arial" w:eastAsia="Microsoft YaHei"/>
          <w:b/>
          <w:bCs/>
          <w:color w:val="1A2330"/>
        </w:rPr>
        <w:t xml:space="preserve">七、总结与展望</w:t>
      </w:r>
      <w:bookmarkEnd w:id="100020"/>
    </w:p>
    <w:p>
      <w:pPr>
        <w:spacing w:after="80" w:line="312"/>
        <w:ind w:firstLine="420"/>
        <w:jc w:val="both"/>
      </w:pPr>
      <w:r>
        <w:rPr>
          <w:rFonts w:ascii="Arial" w:eastAsia="Microsoft YaHei"/>
          <w:b w:val="false"/>
          <w:bCs w:val="false"/>
          <w:color w:val="24303e"/>
          <w:sz w:val="24"/>
          <w:szCs w:val="24"/>
        </w:rPr>
        <w:t xml:space="preserve">本方案完成了从出题解析到抓取搬运的可视化全链路闭环，并在物理仿真稳定性、本地化鲁棒性与地图完备性上进行了系统性工程化打磨。后续工作包括：启用双移动障碍完善避障得分项、基于完整轮次录像进一步压缩任务用时、以及将调试期沉淀的自愈机制抽象为通用仿真机器人中间件。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875A" w:sz="4"/>
      </w:pBdr>
      <w:jc w:val="right"/>
    </w:pPr>
    <w:r>
      <w:rPr>
        <w:rFonts w:ascii="Arial" w:eastAsia="Microsoft YaHei"/>
        <w:color w:val="8a94a0"/>
        <w:sz w:val="16"/>
        <w:szCs w:val="16"/>
      </w:rPr>
      <w:t xml:space="preserve">大模型技术创新赛 · 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color w:val="24303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08f1abd93254c7149c2129400d83db076c0c45c7.png"/><Relationship Id="rId11" Type="http://schemas.openxmlformats.org/officeDocument/2006/relationships/image" Target="media/a9e2b9c5bc339d945f0c446bd756d0b5dd2d9c7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2026-09-26T09:13:44.961Z</dcterms:created>
  <dcterms:modified xsi:type="dcterms:W3CDTF">2026-09-26T09:13:44.962Z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