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E736" w14:textId="0BF0E85A" w:rsidR="005C7202" w:rsidRDefault="00A05CC2">
      <w:r w:rsidRPr="00A05CC2">
        <w:t>https://blog.csdn.net/weixin_45338443/article/details/130563102</w:t>
      </w:r>
    </w:p>
    <w:sectPr w:rsidR="005C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64"/>
    <w:rsid w:val="005C7202"/>
    <w:rsid w:val="00A05CC2"/>
    <w:rsid w:val="00B51297"/>
    <w:rsid w:val="00D57464"/>
    <w:rsid w:val="00E1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8D6D1-F4CC-4011-976E-4D96C31B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CC2"/>
    <w:pPr>
      <w:widowControl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2</cp:revision>
  <dcterms:created xsi:type="dcterms:W3CDTF">2024-09-02T01:35:00Z</dcterms:created>
  <dcterms:modified xsi:type="dcterms:W3CDTF">2024-09-02T01:36:00Z</dcterms:modified>
</cp:coreProperties>
</file>