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ind w:firstLine="0"/>
        <w:jc w:val="center"/>
      </w:pPr>
      <w:r>
        <w:rPr>
          <w:rFonts w:ascii="Palatino Linotype" w:hAnsi="Palatino Linotype"/>
          <w:b/>
          <w:i w:val="0"/>
          <w:sz w:val="28"/>
        </w:rPr>
        <w:t>서울시 저소득 독거노인의 소득 기반 거주지 분리 측도 분석</w:t>
      </w:r>
    </w:p>
    <w:p>
      <w:pPr>
        <w:spacing w:after="400"/>
        <w:ind w:firstLine="0"/>
        <w:jc w:val="center"/>
      </w:pPr>
      <w:r>
        <w:rPr>
          <w:rFonts w:ascii="Palatino Linotype" w:hAnsi="Palatino Linotype"/>
          <w:b w:val="0"/>
          <w:i/>
          <w:sz w:val="22"/>
        </w:rPr>
        <w:t>Measuring Income-based Residential Segregation of</w:t>
        <w:br/>
        <w:t>Low-income Elderly Living Alone in Seoul</w:t>
      </w:r>
    </w:p>
    <w:p>
      <w:pPr>
        <w:spacing w:before="280" w:after="120" w:line="240" w:lineRule="auto"/>
      </w:pPr>
      <w:r>
        <w:rPr>
          <w:rFonts w:ascii="Palatino Linotype" w:hAnsi="Palatino Linotype"/>
          <w:b/>
          <w:i w:val="0"/>
          <w:sz w:val="24"/>
        </w:rPr>
        <w:t>초록 (Abstract)</w:t>
      </w:r>
    </w:p>
    <w:p>
      <w:pPr>
        <w:spacing w:line="355" w:lineRule="auto" w:after="0"/>
        <w:ind w:firstLine="432"/>
        <w:jc w:val="both"/>
      </w:pPr>
      <w:r>
        <w:rPr>
          <w:rFonts w:ascii="Palatino Linotype" w:hAnsi="Palatino Linotype"/>
          <w:b w:val="0"/>
          <w:i w:val="0"/>
          <w:sz w:val="22"/>
        </w:rPr>
        <w:t>저소득 독거노인은 소득 제약으로 거주지 선택권이 극도로 제한된 집단으로, 특정 지역에 집중되는 거주지 분리가 심화될 경우 사회적 고립과 복지 서비스 접근성 불평등으로 이어질 수 있다.</w:t>
      </w:r>
    </w:p>
    <w:p>
      <w:pPr>
        <w:spacing w:line="355" w:lineRule="auto" w:after="0"/>
        <w:ind w:firstLine="432"/>
        <w:jc w:val="both"/>
      </w:pPr>
      <w:r>
        <w:rPr>
          <w:rFonts w:ascii="Palatino Linotype" w:hAnsi="Palatino Linotype"/>
          <w:b w:val="0"/>
          <w:i w:val="0"/>
          <w:sz w:val="22"/>
        </w:rPr>
        <w:t>본 연구는 서울시 424개 행정동을 대상으로 공간 가중 고립지수(Isolation Index)와 상이지수(Dissimilarity Index)를 적용하여 저소득 독거노인의 거주지 분리를 노출 축과 균등성 축에서 정량적으로 측정하였다.</w:t>
      </w:r>
    </w:p>
    <w:p>
      <w:pPr>
        <w:spacing w:line="355" w:lineRule="auto" w:after="0"/>
        <w:ind w:firstLine="432"/>
        <w:jc w:val="both"/>
      </w:pPr>
      <w:r>
        <w:rPr>
          <w:rFonts w:ascii="Palatino Linotype" w:hAnsi="Palatino Linotype"/>
          <w:b w:val="0"/>
          <w:i w:val="0"/>
          <w:sz w:val="22"/>
        </w:rPr>
        <w:t>분석 결과, 전역 고립지수(I = 0.0174)는 무작위 기대값 대비 약 14% 높았으며, 일반인구 대비 전역 상이지수(D = 0.1318)는 독거노인 내부 소득 분리(D = 0.0859)보다 크게 나타났다. 국지 분석에서는 강남·서초의 배제 극과 노원·강서의 집중 극이라는 뚜렷한 양극 분화가 확인되었다.</w:t>
      </w:r>
    </w:p>
    <w:p>
      <w:pPr>
        <w:spacing w:line="355" w:lineRule="auto" w:after="0"/>
        <w:ind w:firstLine="432"/>
        <w:jc w:val="both"/>
      </w:pPr>
      <w:r>
        <w:rPr>
          <w:rFonts w:ascii="Palatino Linotype" w:hAnsi="Palatino Linotype"/>
          <w:b w:val="0"/>
          <w:i w:val="0"/>
          <w:sz w:val="22"/>
        </w:rPr>
        <w:t>이 결과는 소득 제약이 거주지 정렬을 통해 공간적 불평등으로 번역됨을 실증하며, 행정동 단위의 미시적 복지 개입 근거를 제공한다.</w:t>
      </w:r>
    </w:p>
    <w:p>
      <w:pPr>
        <w:spacing w:before="280" w:after="120" w:line="240" w:lineRule="auto"/>
      </w:pPr>
      <w:r>
        <w:rPr>
          <w:rFonts w:ascii="Palatino Linotype" w:hAnsi="Palatino Linotype"/>
          <w:b/>
          <w:i w:val="0"/>
          <w:sz w:val="24"/>
        </w:rPr>
        <w:t>1. 서론 (Introduction)</w:t>
      </w:r>
    </w:p>
    <w:p>
      <w:pPr>
        <w:spacing w:line="355" w:lineRule="auto" w:after="0"/>
        <w:ind w:firstLine="432"/>
        <w:jc w:val="both"/>
      </w:pPr>
      <w:r>
        <w:rPr>
          <w:rFonts w:ascii="Palatino Linotype" w:hAnsi="Palatino Linotype"/>
          <w:b w:val="0"/>
          <w:i w:val="0"/>
          <w:sz w:val="22"/>
        </w:rPr>
        <w:t>한국의 독거노인 가구는 전체 고령자 가구의 36.1%로 가장 높은 비율을 차지하며, 이 중 상당수가 기초생활수급 대상인 저소득 계층이다(⚠️ 통계청/보건복지부). 거주지 정렬(residential sorting) 이론은 소득 수준에 따라 개인·가구가 특정 지역으로 집중하거나 배제되는 현상이 구조적으로 발생함을 설명한다(Tiebout 1956; Reardon &amp; Bischoff 2011). 저소득 독거노인은 낮은 소득(주거비 부담)과 독거(사회적 관계망 부재)라는 이중 제약을 동시에 가지므로, 거주지 정렬 메커니즘이 이 집단에게 특히 강하게 작동할 수 있다. 이러한 분리가 심화될 경우 사회적 교류 기회의 감소와 복지 서비스 접근성 불평등으로 이어지며, 결국 저소득 독거노인의 거주지 분리는 단순한 공간 패턴이 아닌 복지 불평등의 공간적 발현으로 이해될 필요가 있다.</w:t>
      </w:r>
    </w:p>
    <w:p>
      <w:pPr>
        <w:spacing w:line="355" w:lineRule="auto" w:after="0"/>
        <w:ind w:firstLine="432"/>
        <w:jc w:val="both"/>
      </w:pPr>
      <w:r>
        <w:rPr>
          <w:rFonts w:ascii="Palatino Linotype" w:hAnsi="Palatino Linotype"/>
          <w:b w:val="0"/>
          <w:i w:val="0"/>
          <w:sz w:val="22"/>
        </w:rPr>
        <w:t>저소득 독거노인의 공간적 분포에 관한 기존 연구는 크게 두 방향으로 진행되어 왔다. 첫째는 특정 집단이 어디에 집중되는지를 파악하는 공간 군집 분석으로, 노인 밀집 지역이나 고독사 위험 지역의 식별에 초점을 맞추어 왔다(⚠️ Ahn 2023; Lee 2011). 둘째는 해당 분포에 영향을 미치는 요인을 규명하는 회귀 기반 접근으로, 주거비, 교통 접근성 등의 변수와 노인 집중도의 관계를 분석하였다. 한편 거주지 분리의 측정 체계는 Massey &amp; Denton(1988)의 5차원 분류에서 출발하여, Reardon &amp; O'Sullivan(2004)이 균등성(evenness)과 노출(exposure)의 두 축으로 압축·정립하였으며, Feitosa(2007)는 이를 가우시안 커널 기반의 공간 가중 측도로 확장하여 행정 경계 의존성을 완화하였다.</w:t>
      </w:r>
    </w:p>
    <w:p>
      <w:pPr>
        <w:spacing w:line="355" w:lineRule="auto" w:after="0"/>
        <w:ind w:firstLine="432"/>
        <w:jc w:val="both"/>
      </w:pPr>
      <w:r>
        <w:rPr>
          <w:rFonts w:ascii="Palatino Linotype" w:hAnsi="Palatino Linotype"/>
          <w:b w:val="0"/>
          <w:i w:val="0"/>
          <w:sz w:val="22"/>
        </w:rPr>
        <w:t>그러나 기존 연구들은 두 가지 중요한 갭을 남긴다. 첫째, 국내 독거노인 연구는 분포의 군집 여부나 영향 요인 분석에 집중할 뿐, 집단 간 공간적 분리의 정도 자체를 정량적으로 측정하지 않았다. 특정 지역에 누가 얼마나 사는지는 알아도, 저소득 독거노인이 나머지 인구로부터 얼마나, 어떤 방식으로 분리되어 있는지는 측정된 바 없다. 둘째, 거주지 분리 측도를 적용한 연구들은 대부분 인종·민족 분리 맥락에 한정되어 있으며, 노출 축(고립지수)으로 저소득 독거노인의 사회적 고립 정도를 측정한 연구와, 균등성 축(상이지수)으로 독거노인 집단 내 소득 기반 분리를 측정한 연구는 국내외를 통틀어 확인되지 않는다.</w:t>
      </w:r>
    </w:p>
    <w:p>
      <w:pPr>
        <w:spacing w:line="355" w:lineRule="auto" w:after="0"/>
        <w:ind w:firstLine="432"/>
        <w:jc w:val="both"/>
      </w:pPr>
      <w:r>
        <w:rPr>
          <w:rFonts w:ascii="Palatino Linotype" w:hAnsi="Palatino Linotype"/>
          <w:b w:val="0"/>
          <w:i w:val="0"/>
          <w:sz w:val="22"/>
        </w:rPr>
        <w:t>최근 행정동 단위의 저소득 독거노인 및 일반 인구 구성 데이터의 가용성이 확보되었으며, 공간 가중 분리 측도를 계산할 수 있는 방법론적 도구의 발전으로 기존 연구의 갭을 실증적으로 채울 조건이 갖춰졌다.</w:t>
      </w:r>
    </w:p>
    <w:p>
      <w:pPr>
        <w:spacing w:line="355" w:lineRule="auto" w:after="0"/>
        <w:ind w:firstLine="432"/>
        <w:jc w:val="both"/>
      </w:pPr>
      <w:r>
        <w:rPr>
          <w:rFonts w:ascii="Palatino Linotype" w:hAnsi="Palatino Linotype"/>
          <w:b w:val="0"/>
          <w:i w:val="0"/>
          <w:sz w:val="22"/>
        </w:rPr>
        <w:t>이에 본 연구는 서울시 424개 행정동을 분석 단위로, 저소득 독거노인의 소득 기반 거주지 분리를 노출 축(공간 고립지수)과 균등성 축(공간 상이지수)으로 측정하고자 한다. 구체적인 연구 질문은 다음과 같다: "서울시 저소득 독거노인은 사회 전반으로부터 공간적으로 고립되어 있으며, 독거노인 집단 내부에서 소득 수준에 따라 거주지 분리가 존재하는가?" 이하 본 논문은 2장에서 선행연구를 검토하고, 3장에서 분석 방법론을 기술하며, 4장에서 결과 및 논의를 제시하고, 5장에서 결론을 도출한다.</w:t>
      </w:r>
    </w:p>
    <w:p>
      <w:pPr>
        <w:spacing w:before="280" w:after="120" w:line="240" w:lineRule="auto"/>
      </w:pPr>
      <w:r>
        <w:rPr>
          <w:rFonts w:ascii="Palatino Linotype" w:hAnsi="Palatino Linotype"/>
          <w:b/>
          <w:i w:val="0"/>
          <w:sz w:val="24"/>
        </w:rPr>
        <w:t>2. 선행연구</w:t>
      </w:r>
    </w:p>
    <w:p>
      <w:pPr>
        <w:spacing w:before="200" w:after="80" w:line="240" w:lineRule="auto"/>
      </w:pPr>
      <w:r>
        <w:rPr>
          <w:rFonts w:ascii="Palatino Linotype" w:hAnsi="Palatino Linotype"/>
          <w:b/>
          <w:i w:val="0"/>
          <w:sz w:val="22"/>
        </w:rPr>
        <w:t>2.1 거주지 분리의 이론적 배경 및 측도 체계</w:t>
      </w:r>
    </w:p>
    <w:p>
      <w:pPr>
        <w:spacing w:line="355" w:lineRule="auto" w:after="0"/>
        <w:ind w:firstLine="432"/>
        <w:jc w:val="both"/>
      </w:pPr>
      <w:r>
        <w:rPr>
          <w:rFonts w:ascii="Palatino Linotype" w:hAnsi="Palatino Linotype"/>
          <w:b w:val="0"/>
          <w:i w:val="0"/>
          <w:sz w:val="22"/>
        </w:rPr>
        <w:t>거주지 정렬(residential sorting)은 개인·가구가 소득과 제약 조건에 따라 주거지를 선택하고 그 선택이 누적되면서 도시 내 사회 집단이 공간적으로 분화되는 현상이다. Tiebout(1956)은 소득이 높을수록 양질의 공공서비스를 제공하는 지역으로 이동함을 설명하였으며, Schelling(1971)은 개인의 작은 선호가 누적될 경우 예상보다 큰 분리가 발생함을 보였다. Reardon &amp; Bischoff(2011)는 이 과정을 부유층의 배타적 입지와 저소득층의 선택지 제약이라는 두 경로로 구체화하였다.</w:t>
      </w:r>
    </w:p>
    <w:p>
      <w:pPr>
        <w:spacing w:line="355" w:lineRule="auto" w:after="0"/>
        <w:ind w:firstLine="432"/>
        <w:jc w:val="both"/>
      </w:pPr>
      <w:r>
        <w:rPr>
          <w:rFonts w:ascii="Palatino Linotype" w:hAnsi="Palatino Linotype"/>
          <w:b w:val="0"/>
          <w:i w:val="0"/>
          <w:sz w:val="22"/>
        </w:rPr>
        <w:t>거주지 분리의 측정 체계는 Massey &amp; Denton(1988)의 5차원 분류에서 출발하여, Reardon &amp; O'Sullivan(2004)이 균등성(evenness)과 노출(exposure)의 두 축으로 압축·정립하였다. Feitosa(2007)는 이를 가우시안 커널 기반의 공간 가중 측도로 확장하여 행정 경계의 자의성과 MAUP 문제를 완화하였으며, 본 연구에서 사용하는 공간 상이지수(D)와 공간 고립지수(I)의 이론적 기반을 제공한다.</w:t>
      </w:r>
    </w:p>
    <w:p>
      <w:pPr>
        <w:spacing w:before="200" w:after="80" w:line="240" w:lineRule="auto"/>
      </w:pPr>
      <w:r>
        <w:rPr>
          <w:rFonts w:ascii="Palatino Linotype" w:hAnsi="Palatino Linotype"/>
          <w:b/>
          <w:i w:val="0"/>
          <w:sz w:val="22"/>
        </w:rPr>
        <w:t>2.2 소득 기반 거주지 분리 연구 (균등성 축)</w:t>
      </w:r>
    </w:p>
    <w:p>
      <w:pPr>
        <w:spacing w:line="355" w:lineRule="auto" w:after="0"/>
        <w:ind w:firstLine="432"/>
        <w:jc w:val="both"/>
      </w:pPr>
      <w:r>
        <w:rPr>
          <w:rFonts w:ascii="Palatino Linotype" w:hAnsi="Palatino Linotype"/>
          <w:b w:val="0"/>
          <w:i w:val="0"/>
          <w:sz w:val="22"/>
        </w:rPr>
        <w:t>소득 기반 거주지 분리는 균등성 축의 대표적 연구 대상으로, ⚠️[Cartone et al.] 등이 상이지수를 활용하여 소득 집단 간 공간적 불균등 분포를 실증한 바 있다. 이 연구들은 소득 불평등이 심화될수록 거주지 분리가 강화되는 패턴을 일관되게 확인하였다.</w:t>
      </w:r>
    </w:p>
    <w:p>
      <w:pPr>
        <w:spacing w:line="355" w:lineRule="auto" w:after="0"/>
        <w:ind w:firstLine="432"/>
        <w:jc w:val="both"/>
      </w:pPr>
      <w:r>
        <w:rPr>
          <w:rFonts w:ascii="Palatino Linotype" w:hAnsi="Palatino Linotype"/>
          <w:b w:val="0"/>
          <w:i w:val="0"/>
          <w:sz w:val="22"/>
        </w:rPr>
        <w:t>국내에서는 저소득층의 주거 분포나 영향 요인을 다룬 연구(⚠️ Ahn 2023; Lee 2011)가 존재하나, 독거노인 가구를 소득 집단으로 구분하여 균등성 축의 분리 측도를 적용한 연구는 확인되지 않는다.</w:t>
      </w:r>
    </w:p>
    <w:p>
      <w:pPr>
        <w:spacing w:before="200" w:after="80" w:line="240" w:lineRule="auto"/>
      </w:pPr>
      <w:r>
        <w:rPr>
          <w:rFonts w:ascii="Palatino Linotype" w:hAnsi="Palatino Linotype"/>
          <w:b/>
          <w:i w:val="0"/>
          <w:sz w:val="22"/>
        </w:rPr>
        <w:t>2.3 저소득 노인의 공간적 고립 연구 (노출 축)</w:t>
      </w:r>
    </w:p>
    <w:p>
      <w:pPr>
        <w:spacing w:line="355" w:lineRule="auto" w:after="0"/>
        <w:ind w:firstLine="432"/>
        <w:jc w:val="both"/>
      </w:pPr>
      <w:r>
        <w:rPr>
          <w:rFonts w:ascii="Palatino Linotype" w:hAnsi="Palatino Linotype"/>
          <w:b w:val="0"/>
          <w:i w:val="0"/>
          <w:sz w:val="22"/>
        </w:rPr>
        <w:t>노인의 사회적 고립에 관한 연구는 주로 설문 기반의 개인 척도(외로움, 사회적 관계망)에 집중되어 왔으며(⚠️ 관련 문헌 확인 필요), 집단 수준에서 공간적 고립을 측정한 연구는 제한적이다. 공간적 맥락에서의 노출 지수 연구는 인종·민족 분리 문헌에서 주로 발전하였다(⚠️ Qin et al. 확인 필요).</w:t>
      </w:r>
    </w:p>
    <w:p>
      <w:pPr>
        <w:spacing w:line="355" w:lineRule="auto" w:after="0"/>
        <w:ind w:firstLine="432"/>
        <w:jc w:val="both"/>
      </w:pPr>
      <w:r>
        <w:rPr>
          <w:rFonts w:ascii="Palatino Linotype" w:hAnsi="Palatino Linotype"/>
          <w:b w:val="0"/>
          <w:i w:val="0"/>
          <w:sz w:val="22"/>
        </w:rPr>
        <w:t>저소득 독거노인을 관심 집단으로 설정하고, 전체 주민 대비 공간적 고립의 정도를 노출 축(고립지수)으로 측정한 연구는 국내외를 통틀어 확인되지 않는다.</w:t>
      </w:r>
    </w:p>
    <w:p>
      <w:pPr>
        <w:spacing w:before="280" w:after="120" w:line="240" w:lineRule="auto"/>
      </w:pPr>
      <w:r>
        <w:rPr>
          <w:rFonts w:ascii="Palatino Linotype" w:hAnsi="Palatino Linotype"/>
          <w:b/>
          <w:i w:val="0"/>
          <w:sz w:val="24"/>
        </w:rPr>
        <w:t>3. 연구 방법</w:t>
      </w:r>
    </w:p>
    <w:p>
      <w:pPr>
        <w:spacing w:before="200" w:after="80" w:line="240" w:lineRule="auto"/>
      </w:pPr>
      <w:r>
        <w:rPr>
          <w:rFonts w:ascii="Palatino Linotype" w:hAnsi="Palatino Linotype"/>
          <w:b/>
          <w:i w:val="0"/>
          <w:sz w:val="22"/>
        </w:rPr>
        <w:t>3.1 연구 대상 지역</w:t>
      </w:r>
    </w:p>
    <w:p>
      <w:pPr>
        <w:spacing w:line="355" w:lineRule="auto" w:after="0"/>
        <w:ind w:firstLine="432"/>
        <w:jc w:val="both"/>
      </w:pPr>
      <w:r>
        <w:rPr>
          <w:rFonts w:ascii="Palatino Linotype" w:hAnsi="Palatino Linotype"/>
          <w:b w:val="0"/>
          <w:i w:val="0"/>
          <w:sz w:val="22"/>
        </w:rPr>
        <w:t>본 연구의 공간적 분석 단위는 서울특별시 424개 행정동이다. 행정동은 복지 서비스 전달의 기본 단위로, 저소득 독거노인 인구 데이터가 이 수준에서 공개되어 있다. 공간 분리 측도 계산 시 미터 단위의 거리 계산이 필요하므로, 좌표계는 한국 측지계 기반의 EPSG:5179(Korea 2000 Unified CS)를 적용하였다.</w:t>
      </w:r>
    </w:p>
    <w:p>
      <w:pPr>
        <w:spacing w:before="160" w:after="40"/>
        <w:ind w:firstLine="0"/>
        <w:jc w:val="center"/>
        <w:shd w:val="clear" w:color="auto" w:fill="DCDCDC"/>
      </w:pPr>
      <w:r>
        <w:rPr>
          <w:rFonts w:ascii="Palatino Linotype" w:hAnsi="Palatino Linotype"/>
          <w:b w:val="0"/>
          <w:i w:val="0"/>
          <w:color w:val="555555"/>
          <w:sz w:val="18"/>
        </w:rPr>
        <w:t>[그림 1 자리: 서울시 424개 행정동 경계 및 저소득 독거노인 분포]</w:t>
      </w:r>
    </w:p>
    <w:p>
      <w:pPr>
        <w:spacing w:after="200"/>
        <w:ind w:firstLine="0"/>
        <w:jc w:val="center"/>
      </w:pPr>
      <w:r>
        <w:rPr>
          <w:rFonts w:ascii="Palatino Linotype" w:hAnsi="Palatino Linotype"/>
          <w:b w:val="0"/>
          <w:i w:val="0"/>
          <w:sz w:val="18"/>
        </w:rPr>
        <w:t>Figure 1. 서울시 424개 행정동 경계 및 저소득 독거노인 분포.</w:t>
      </w:r>
    </w:p>
    <w:p>
      <w:pPr>
        <w:spacing w:before="200" w:after="80" w:line="240" w:lineRule="auto"/>
      </w:pPr>
      <w:r>
        <w:rPr>
          <w:rFonts w:ascii="Palatino Linotype" w:hAnsi="Palatino Linotype"/>
          <w:b/>
          <w:i w:val="0"/>
          <w:sz w:val="22"/>
        </w:rPr>
        <w:t>3.2 데이터</w:t>
      </w:r>
    </w:p>
    <w:p>
      <w:pPr>
        <w:spacing w:line="355" w:lineRule="auto" w:after="0"/>
        <w:ind w:firstLine="432"/>
        <w:jc w:val="both"/>
      </w:pPr>
      <w:r>
        <w:rPr>
          <w:rFonts w:ascii="Palatino Linotype" w:hAnsi="Palatino Linotype"/>
          <w:b w:val="0"/>
          <w:i w:val="0"/>
          <w:sz w:val="22"/>
        </w:rPr>
        <w:t>분석 대상인 저소득 독거노인은 기초생활보장 수급자 중 65세 이상 1인 가구로 정의하였다. 비교 집단은 두 가지로 설정하였다. 첫째는 전체 주민으로, 고립지수(H1) 계산 시 저소득 독거노인이 사회 전반과 얼마나 분리되어 있는지를 측정하기 위함이다. 둘째는 일반소득 독거노인(비수급 독거노인)으로, 상이지수(H2-2) 계산 시 동일 가구 형태 내 소득 효과만을 분리하기 위함이다.</w:t>
      </w:r>
    </w:p>
    <w:p>
      <w:pPr>
        <w:spacing w:line="355" w:lineRule="auto" w:after="0"/>
        <w:ind w:firstLine="432"/>
        <w:jc w:val="both"/>
      </w:pPr>
      <w:r>
        <w:rPr>
          <w:rFonts w:ascii="Palatino Linotype" w:hAnsi="Palatino Linotype"/>
          <w:b w:val="0"/>
          <w:i w:val="0"/>
          <w:sz w:val="22"/>
        </w:rPr>
        <w:t>행정동별 독거노인 현황(저소득·일반)은 서울 열린데이터광장(2024)에서 수집하였으며, 행정동별 주민등록인구(연령별)는 행정안전부(2024)에서 취득하였다. 행정동 경계 shapefile은 SGIS를 통해 확보하였으며, 공간 분리 측도 계산을 위한 Gaussian 커널 가중치 적용 시 활용하였다.</w:t>
      </w:r>
    </w:p>
    <w:p>
      <w:pPr>
        <w:spacing w:before="160" w:after="80"/>
        <w:ind w:firstLine="0"/>
        <w:jc w:val="center"/>
      </w:pPr>
      <w:r>
        <w:rPr>
          <w:rFonts w:ascii="Palatino Linotype" w:hAnsi="Palatino Linotype"/>
          <w:b w:val="0"/>
          <w:i w:val="0"/>
          <w:sz w:val="18"/>
        </w:rPr>
        <w:t>Table 1. 데이터 목록 및 출처.</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Palatino Linotype" w:hAnsi="Palatino Linotype"/>
                <w:b/>
                <w:sz w:val="18"/>
              </w:rPr>
              <w:t>데이터명</w:t>
            </w:r>
          </w:p>
        </w:tc>
        <w:tc>
          <w:tcPr>
            <w:tcW w:type="dxa" w:w="2268"/>
          </w:tcPr>
          <w:p>
            <w:r>
              <w:rPr>
                <w:rFonts w:ascii="Palatino Linotype" w:hAnsi="Palatino Linotype"/>
                <w:b/>
                <w:sz w:val="18"/>
              </w:rPr>
              <w:t>출처</w:t>
            </w:r>
          </w:p>
        </w:tc>
        <w:tc>
          <w:tcPr>
            <w:tcW w:type="dxa" w:w="2268"/>
          </w:tcPr>
          <w:p>
            <w:r>
              <w:rPr>
                <w:rFonts w:ascii="Palatino Linotype" w:hAnsi="Palatino Linotype"/>
                <w:b/>
                <w:sz w:val="18"/>
              </w:rPr>
              <w:t>연도</w:t>
            </w:r>
          </w:p>
        </w:tc>
        <w:tc>
          <w:tcPr>
            <w:tcW w:type="dxa" w:w="2268"/>
          </w:tcPr>
          <w:p>
            <w:r>
              <w:rPr>
                <w:rFonts w:ascii="Palatino Linotype" w:hAnsi="Palatino Linotype"/>
                <w:b/>
                <w:sz w:val="18"/>
              </w:rPr>
              <w:t>용도</w:t>
            </w:r>
          </w:p>
        </w:tc>
      </w:tr>
      <w:tr>
        <w:tc>
          <w:tcPr>
            <w:tcW w:type="dxa" w:w="2268"/>
          </w:tcPr>
          <w:p>
            <w:r>
              <w:rPr>
                <w:rFonts w:ascii="Palatino Linotype" w:hAnsi="Palatino Linotype"/>
                <w:sz w:val="18"/>
              </w:rPr>
              <w:t>행정동별 독거노인 현황</w:t>
            </w:r>
          </w:p>
        </w:tc>
        <w:tc>
          <w:tcPr>
            <w:tcW w:type="dxa" w:w="2268"/>
          </w:tcPr>
          <w:p>
            <w:r>
              <w:rPr>
                <w:rFonts w:ascii="Palatino Linotype" w:hAnsi="Palatino Linotype"/>
                <w:sz w:val="18"/>
              </w:rPr>
              <w:t>서울 열린데이터광장</w:t>
            </w:r>
          </w:p>
        </w:tc>
        <w:tc>
          <w:tcPr>
            <w:tcW w:type="dxa" w:w="2268"/>
          </w:tcPr>
          <w:p>
            <w:r>
              <w:rPr>
                <w:rFonts w:ascii="Palatino Linotype" w:hAnsi="Palatino Linotype"/>
                <w:sz w:val="18"/>
              </w:rPr>
              <w:t>2024</w:t>
            </w:r>
          </w:p>
        </w:tc>
        <w:tc>
          <w:tcPr>
            <w:tcW w:type="dxa" w:w="2268"/>
          </w:tcPr>
          <w:p>
            <w:r>
              <w:rPr>
                <w:rFonts w:ascii="Palatino Linotype" w:hAnsi="Palatino Linotype"/>
                <w:sz w:val="18"/>
              </w:rPr>
              <w:t>저소득·일반소득 독거노인 인구</w:t>
            </w:r>
          </w:p>
        </w:tc>
      </w:tr>
      <w:tr>
        <w:tc>
          <w:tcPr>
            <w:tcW w:type="dxa" w:w="2268"/>
          </w:tcPr>
          <w:p>
            <w:r>
              <w:rPr>
                <w:rFonts w:ascii="Palatino Linotype" w:hAnsi="Palatino Linotype"/>
                <w:sz w:val="18"/>
              </w:rPr>
              <w:t>주민등록인구(연령별)</w:t>
            </w:r>
          </w:p>
        </w:tc>
        <w:tc>
          <w:tcPr>
            <w:tcW w:type="dxa" w:w="2268"/>
          </w:tcPr>
          <w:p>
            <w:r>
              <w:rPr>
                <w:rFonts w:ascii="Palatino Linotype" w:hAnsi="Palatino Linotype"/>
                <w:sz w:val="18"/>
              </w:rPr>
              <w:t>행정안전부</w:t>
            </w:r>
          </w:p>
        </w:tc>
        <w:tc>
          <w:tcPr>
            <w:tcW w:type="dxa" w:w="2268"/>
          </w:tcPr>
          <w:p>
            <w:r>
              <w:rPr>
                <w:rFonts w:ascii="Palatino Linotype" w:hAnsi="Palatino Linotype"/>
                <w:sz w:val="18"/>
              </w:rPr>
              <w:t>2024</w:t>
            </w:r>
          </w:p>
        </w:tc>
        <w:tc>
          <w:tcPr>
            <w:tcW w:type="dxa" w:w="2268"/>
          </w:tcPr>
          <w:p>
            <w:r>
              <w:rPr>
                <w:rFonts w:ascii="Palatino Linotype" w:hAnsi="Palatino Linotype"/>
                <w:sz w:val="18"/>
              </w:rPr>
              <w:t>전체 주민 인구</w:t>
            </w:r>
          </w:p>
        </w:tc>
      </w:tr>
      <w:tr>
        <w:tc>
          <w:tcPr>
            <w:tcW w:type="dxa" w:w="2268"/>
          </w:tcPr>
          <w:p>
            <w:r>
              <w:rPr>
                <w:rFonts w:ascii="Palatino Linotype" w:hAnsi="Palatino Linotype"/>
                <w:sz w:val="18"/>
              </w:rPr>
              <w:t>행정동 경계 shapefile</w:t>
            </w:r>
          </w:p>
        </w:tc>
        <w:tc>
          <w:tcPr>
            <w:tcW w:type="dxa" w:w="2268"/>
          </w:tcPr>
          <w:p>
            <w:r>
              <w:rPr>
                <w:rFonts w:ascii="Palatino Linotype" w:hAnsi="Palatino Linotype"/>
                <w:sz w:val="18"/>
              </w:rPr>
              <w:t>SGIS</w:t>
            </w:r>
          </w:p>
        </w:tc>
        <w:tc>
          <w:tcPr>
            <w:tcW w:type="dxa" w:w="2268"/>
          </w:tcPr>
          <w:p>
            <w:r>
              <w:rPr>
                <w:rFonts w:ascii="Palatino Linotype" w:hAnsi="Palatino Linotype"/>
                <w:sz w:val="18"/>
              </w:rPr>
              <w:t>2024</w:t>
            </w:r>
          </w:p>
        </w:tc>
        <w:tc>
          <w:tcPr>
            <w:tcW w:type="dxa" w:w="2268"/>
          </w:tcPr>
          <w:p>
            <w:r>
              <w:rPr>
                <w:rFonts w:ascii="Palatino Linotype" w:hAnsi="Palatino Linotype"/>
                <w:sz w:val="18"/>
              </w:rPr>
              <w:t>공간 단위 설정 및 거리 계산</w:t>
            </w:r>
          </w:p>
        </w:tc>
      </w:tr>
      <w:tr>
        <w:tc>
          <w:tcPr>
            <w:tcW w:type="dxa" w:w="2268"/>
          </w:tcPr>
          <w:p>
            <w:r>
              <w:rPr>
                <w:rFonts w:ascii="Palatino Linotype" w:hAnsi="Palatino Linotype"/>
                <w:sz w:val="18"/>
              </w:rPr>
              <w:t>좌표계 변환</w:t>
            </w:r>
          </w:p>
        </w:tc>
        <w:tc>
          <w:tcPr>
            <w:tcW w:type="dxa" w:w="2268"/>
          </w:tcPr>
          <w:p>
            <w:r>
              <w:rPr>
                <w:rFonts w:ascii="Palatino Linotype" w:hAnsi="Palatino Linotype"/>
                <w:sz w:val="18"/>
              </w:rPr>
              <w:t>EPSG:5179</w:t>
            </w:r>
          </w:p>
        </w:tc>
        <w:tc>
          <w:tcPr>
            <w:tcW w:type="dxa" w:w="2268"/>
          </w:tcPr>
          <w:p>
            <w:r>
              <w:rPr>
                <w:rFonts w:ascii="Palatino Linotype" w:hAnsi="Palatino Linotype"/>
                <w:sz w:val="18"/>
              </w:rPr>
              <w:t>-</w:t>
            </w:r>
          </w:p>
        </w:tc>
        <w:tc>
          <w:tcPr>
            <w:tcW w:type="dxa" w:w="2268"/>
          </w:tcPr>
          <w:p>
            <w:r>
              <w:rPr>
                <w:rFonts w:ascii="Palatino Linotype" w:hAnsi="Palatino Linotype"/>
                <w:sz w:val="18"/>
              </w:rPr>
              <w:t>Korea 2000 Unified CS 적용</w:t>
            </w:r>
          </w:p>
        </w:tc>
      </w:tr>
    </w:tbl>
    <w:p>
      <w:pPr>
        <w:spacing w:after="160"/>
      </w:pPr>
    </w:p>
    <w:p>
      <w:pPr>
        <w:spacing w:before="200" w:after="80" w:line="240" w:lineRule="auto"/>
      </w:pPr>
      <w:r>
        <w:rPr>
          <w:rFonts w:ascii="Palatino Linotype" w:hAnsi="Palatino Linotype"/>
          <w:b/>
          <w:i w:val="0"/>
          <w:sz w:val="22"/>
        </w:rPr>
        <w:t>3.3 분석 방법</w:t>
      </w:r>
    </w:p>
    <w:p>
      <w:pPr>
        <w:spacing w:before="160" w:after="60" w:line="240" w:lineRule="auto"/>
      </w:pPr>
      <w:r>
        <w:rPr>
          <w:rFonts w:ascii="Palatino Linotype" w:hAnsi="Palatino Linotype"/>
          <w:b w:val="0"/>
          <w:i/>
          <w:sz w:val="22"/>
        </w:rPr>
        <w:t>3.3.1 공간 가중치 설정</w:t>
      </w:r>
    </w:p>
    <w:p>
      <w:pPr>
        <w:spacing w:line="355" w:lineRule="auto" w:after="0"/>
        <w:ind w:firstLine="432"/>
        <w:jc w:val="both"/>
      </w:pPr>
      <w:r>
        <w:rPr>
          <w:rFonts w:ascii="Palatino Linotype" w:hAnsi="Palatino Linotype"/>
          <w:b w:val="0"/>
          <w:i w:val="0"/>
          <w:sz w:val="22"/>
        </w:rPr>
        <w:t>행정동 경계를 분석 단위로 직접 사용할 경우 경계 획정 방식에 따라 결과가 달라지는 수정 가능 면적 단위 문제(MAUP)가 발생한다. 이를 완화하기 위해 Feitosa(2007)가 제안한 가우시안 커널 기반 공간 가중치를 적용하였다.</w:t>
      </w:r>
    </w:p>
    <w:p>
      <w:pPr>
        <w:spacing w:line="355" w:lineRule="auto" w:after="0"/>
        <w:ind w:firstLine="432"/>
        <w:jc w:val="both"/>
      </w:pPr>
      <w:r>
        <w:rPr>
          <w:rFonts w:ascii="Palatino Linotype" w:hAnsi="Palatino Linotype"/>
          <w:b w:val="0"/>
          <w:i w:val="0"/>
          <w:sz w:val="22"/>
        </w:rPr>
        <w:t>공간 가중치는 식 (1)의 가우시안 커널 함수로 정의되며, 거리가 멀수록 가중치가 지수적으로 감소한다. Bandwidth는 1,500m로 설정하였는데, 이는 서울시 행정동의 평균 반경(약 1km)을 고려한 값으로, 근린 수준의 공간 상호작용을 포착하기에 적합하다.</w:t>
      </w:r>
    </w:p>
    <w:p>
      <w:pPr>
        <w:spacing w:before="80" w:after="160"/>
        <w:ind w:firstLine="0"/>
        <w:jc w:val="center"/>
      </w:pPr>
      <w:r>
        <w:rPr>
          <w:rFonts w:ascii="Cambria Math" w:hAnsi="Cambria Math"/>
          <w:sz w:val="22"/>
        </w:rPr>
        <w:t>W_ij = exp(−d²_ij / 2·bw²)    (1)</w:t>
      </w:r>
    </w:p>
    <w:p>
      <w:pPr>
        <w:spacing w:before="160" w:after="60" w:line="240" w:lineRule="auto"/>
      </w:pPr>
      <w:r>
        <w:rPr>
          <w:rFonts w:ascii="Palatino Linotype" w:hAnsi="Palatino Linotype"/>
          <w:b w:val="0"/>
          <w:i/>
          <w:sz w:val="22"/>
        </w:rPr>
        <w:t>3.3.2 공간 고립지수 (Spatial Isolation Index)</w:t>
      </w:r>
    </w:p>
    <w:p>
      <w:pPr>
        <w:spacing w:line="355" w:lineRule="auto" w:after="0"/>
        <w:ind w:firstLine="432"/>
        <w:jc w:val="both"/>
      </w:pPr>
      <w:r>
        <w:rPr>
          <w:rFonts w:ascii="Palatino Linotype" w:hAnsi="Palatino Linotype"/>
          <w:b w:val="0"/>
          <w:i w:val="0"/>
          <w:sz w:val="22"/>
        </w:rPr>
        <w:t>공간 고립지수(I)는 저소득 독거노인이 자신의 근린에서 같은 집단을 만날 확률로 정의되며(Bell 1954; Feitosa 2007), 노출(exposure) 차원의 분리를 측정한다. 노출형 지수는 집단의 규모에 민감하므로, 절대값보다 무작위 기대값(π: 저소득 독거노인의 도시 전체 비율)과의 비교를 통해 해석해야 한다.</w:t>
      </w:r>
    </w:p>
    <w:p>
      <w:pPr>
        <w:spacing w:before="80" w:after="160"/>
        <w:ind w:firstLine="0"/>
        <w:jc w:val="center"/>
      </w:pPr>
      <w:r>
        <w:rPr>
          <w:rFonts w:ascii="Cambria Math" w:hAnsi="Cambria Math"/>
          <w:sz w:val="22"/>
        </w:rPr>
        <w:t>I = Σᵢ (aᵢ/A) · (L̃ᵃᵢ / L̃ᵗᵢ)    (2)</w:t>
      </w:r>
    </w:p>
    <w:p>
      <w:pPr>
        <w:spacing w:before="160" w:after="60" w:line="240" w:lineRule="auto"/>
      </w:pPr>
      <w:r>
        <w:rPr>
          <w:rFonts w:ascii="Palatino Linotype" w:hAnsi="Palatino Linotype"/>
          <w:b w:val="0"/>
          <w:i/>
          <w:sz w:val="22"/>
        </w:rPr>
        <w:t>3.3.3 공간 상이지수 (Spatial Dissimilarity Index)</w:t>
      </w:r>
    </w:p>
    <w:p>
      <w:pPr>
        <w:spacing w:line="355" w:lineRule="auto" w:after="0"/>
        <w:ind w:firstLine="432"/>
        <w:jc w:val="both"/>
      </w:pPr>
      <w:r>
        <w:rPr>
          <w:rFonts w:ascii="Palatino Linotype" w:hAnsi="Palatino Linotype"/>
          <w:b w:val="0"/>
          <w:i w:val="0"/>
          <w:sz w:val="22"/>
        </w:rPr>
        <w:t>공간 상이지수(D)는 도시 전체에서 두 집단이 얼마나 불균등하게 분포하는지를 나타내는 균등성(evenness) 차원의 측도이다(Duncan &amp; Duncan 1955; Feitosa 2007). 국지 상이지수(Local D)의 부호는 방향을 나타내는데, 양수는 저소득 독거노인이 지역 평균보다 과대 집중된 상태를, 음수는 상대적으로 배제된 상태를 의미한다.</w:t>
      </w:r>
    </w:p>
    <w:p>
      <w:pPr>
        <w:spacing w:before="80" w:after="160"/>
        <w:ind w:firstLine="0"/>
        <w:jc w:val="center"/>
      </w:pPr>
      <w:r>
        <w:rPr>
          <w:rFonts w:ascii="Cambria Math" w:hAnsi="Cambria Math"/>
          <w:sz w:val="22"/>
        </w:rPr>
        <w:t>D = Σᵢ (tᵢ/T) · |p̃ᵢ − P_A| / (2·P_A·P_B)    (3)</w:t>
      </w:r>
    </w:p>
    <w:p>
      <w:pPr>
        <w:spacing w:before="160" w:after="60" w:line="240" w:lineRule="auto"/>
      </w:pPr>
      <w:r>
        <w:rPr>
          <w:rFonts w:ascii="Palatino Linotype" w:hAnsi="Palatino Linotype"/>
          <w:b w:val="0"/>
          <w:i/>
          <w:sz w:val="22"/>
        </w:rPr>
        <w:t>3.3.4 민감도 분석 (NSI + Bandwidth 비교)</w:t>
      </w:r>
    </w:p>
    <w:p>
      <w:pPr>
        <w:spacing w:line="355" w:lineRule="auto" w:after="0"/>
        <w:ind w:firstLine="432"/>
        <w:jc w:val="both"/>
      </w:pPr>
      <w:r>
        <w:rPr>
          <w:rFonts w:ascii="Palatino Linotype" w:hAnsi="Palatino Linotype"/>
          <w:b w:val="0"/>
          <w:i w:val="0"/>
          <w:sz w:val="22"/>
        </w:rPr>
        <w:t>Bandwidth 설정의 임의성을 검증하기 위해 500m부터 4,500m까지 다양한 bandwidth에서 전역 상이지수를 반복 계산하고 그 안정성을 확인하였다.</w:t>
      </w:r>
    </w:p>
    <w:p>
      <w:pPr>
        <w:spacing w:line="355" w:lineRule="auto" w:after="0"/>
        <w:ind w:firstLine="432"/>
        <w:jc w:val="both"/>
      </w:pPr>
      <w:r>
        <w:rPr>
          <w:rFonts w:ascii="Palatino Linotype" w:hAnsi="Palatino Linotype"/>
          <w:b w:val="0"/>
          <w:i w:val="0"/>
          <w:sz w:val="22"/>
        </w:rPr>
        <w:t>또한 근린 정렬 지수(NSI)를 통해 분리가 집중되는 공간적 스케일을 파악하였다. NSI는 각 bandwidth에서의 국지 분리 정도가 전체 분산에서 차지하는 비율로, 값이 높은 bandwidth가 분리의 주요 스케일임을 나타낸다.</w:t>
      </w:r>
    </w:p>
    <w:p>
      <w:pPr>
        <w:spacing w:before="80" w:after="160"/>
        <w:ind w:firstLine="0"/>
        <w:jc w:val="center"/>
      </w:pPr>
      <w:r>
        <w:rPr>
          <w:rFonts w:ascii="Cambria Math" w:hAnsi="Cambria Math"/>
          <w:sz w:val="22"/>
        </w:rPr>
        <w:t>NSI = [Σᵢ L̃ᵗᵢ(X̂ᵢ − X̄)² / Σᵢ L̃ᵗᵢ] / S²_total    (4)</w:t>
      </w:r>
    </w:p>
    <w:p>
      <w:pPr>
        <w:spacing w:before="160" w:after="40"/>
        <w:ind w:firstLine="0"/>
        <w:jc w:val="center"/>
        <w:shd w:val="clear" w:color="auto" w:fill="DCDCDC"/>
      </w:pPr>
      <w:r>
        <w:rPr>
          <w:rFonts w:ascii="Palatino Linotype" w:hAnsi="Palatino Linotype"/>
          <w:b w:val="0"/>
          <w:i w:val="0"/>
          <w:color w:val="555555"/>
          <w:sz w:val="18"/>
        </w:rPr>
        <w:t>[그림 2 자리: Bandwidth별 전역 D값 변화 및 NSI 곡선]</w:t>
      </w:r>
    </w:p>
    <w:p>
      <w:pPr>
        <w:spacing w:after="200"/>
        <w:ind w:firstLine="0"/>
        <w:jc w:val="center"/>
      </w:pPr>
      <w:r>
        <w:rPr>
          <w:rFonts w:ascii="Palatino Linotype" w:hAnsi="Palatino Linotype"/>
          <w:b w:val="0"/>
          <w:i w:val="0"/>
          <w:sz w:val="18"/>
        </w:rPr>
        <w:t>Figure 2. Bandwidth별 전역 D값 변화 및 NSI 곡선.</w:t>
      </w:r>
    </w:p>
    <w:p>
      <w:pPr>
        <w:spacing w:before="280" w:after="120" w:line="240" w:lineRule="auto"/>
      </w:pPr>
      <w:r>
        <w:rPr>
          <w:rFonts w:ascii="Palatino Linotype" w:hAnsi="Palatino Linotype"/>
          <w:b/>
          <w:i w:val="0"/>
          <w:sz w:val="24"/>
        </w:rPr>
        <w:t>4. 결과 및 논의</w:t>
      </w:r>
    </w:p>
    <w:p>
      <w:pPr>
        <w:spacing w:before="200" w:after="80" w:line="240" w:lineRule="auto"/>
      </w:pPr>
      <w:r>
        <w:rPr>
          <w:rFonts w:ascii="Palatino Linotype" w:hAnsi="Palatino Linotype"/>
          <w:b/>
          <w:i w:val="0"/>
          <w:sz w:val="22"/>
        </w:rPr>
        <w:t>4.1 저소득 독거노인의 공간적 고립 (H1: 노출 축)</w:t>
      </w:r>
    </w:p>
    <w:p>
      <w:pPr>
        <w:spacing w:line="355" w:lineRule="auto" w:after="0"/>
        <w:ind w:firstLine="432"/>
        <w:jc w:val="both"/>
      </w:pPr>
      <w:r>
        <w:rPr>
          <w:rFonts w:ascii="Palatino Linotype" w:hAnsi="Palatino Linotype"/>
          <w:b w:val="0"/>
          <w:i w:val="0"/>
          <w:sz w:val="22"/>
        </w:rPr>
        <w:t>전역 고립지수는 I = 0.0174로 나타났다. 이는 절대적으로 낮은 수준이나, 저소득 독거노인의 도시 전체 비율(π ≈ 1.52%)로 계산되는 무작위 기대값 대비 약 14% 높은 값으로, 집단 규모를 고려하면 통계적으로 유의미한 고립 수준이다(Feitosa 2007).</w:t>
      </w:r>
    </w:p>
    <w:p>
      <w:pPr>
        <w:spacing w:line="355" w:lineRule="auto" w:after="0"/>
        <w:ind w:firstLine="432"/>
        <w:jc w:val="both"/>
      </w:pPr>
      <w:r>
        <w:rPr>
          <w:rFonts w:ascii="Palatino Linotype" w:hAnsi="Palatino Linotype"/>
          <w:b w:val="0"/>
          <w:i w:val="0"/>
          <w:sz w:val="22"/>
        </w:rPr>
        <w:t>국지 고립지수 지도에서는 강서구, 노원구, 강남구 수서동에 국지 고립이 응축되어 나타났다.</w:t>
      </w:r>
    </w:p>
    <w:p>
      <w:pPr>
        <w:spacing w:before="160" w:after="40"/>
        <w:ind w:firstLine="0"/>
        <w:jc w:val="center"/>
        <w:shd w:val="clear" w:color="auto" w:fill="DCDCDC"/>
      </w:pPr>
      <w:r>
        <w:rPr>
          <w:rFonts w:ascii="Palatino Linotype" w:hAnsi="Palatino Linotype"/>
          <w:b w:val="0"/>
          <w:i w:val="0"/>
          <w:color w:val="555555"/>
          <w:sz w:val="18"/>
        </w:rPr>
        <w:t>[그림 3 자리: Local I 단계구분도 (서울시 424개 행정동)]</w:t>
      </w:r>
    </w:p>
    <w:p>
      <w:pPr>
        <w:spacing w:after="200"/>
        <w:ind w:firstLine="0"/>
        <w:jc w:val="center"/>
      </w:pPr>
      <w:r>
        <w:rPr>
          <w:rFonts w:ascii="Palatino Linotype" w:hAnsi="Palatino Linotype"/>
          <w:b w:val="0"/>
          <w:i w:val="0"/>
          <w:sz w:val="18"/>
        </w:rPr>
        <w:t>Figure 3. Local I 단계구분도 (서울시 424개 행정동).</w:t>
      </w:r>
    </w:p>
    <w:p>
      <w:pPr>
        <w:spacing w:line="355" w:lineRule="auto" w:after="0"/>
        <w:ind w:firstLine="432"/>
        <w:jc w:val="both"/>
      </w:pPr>
      <w:r>
        <w:rPr>
          <w:rFonts w:ascii="Palatino Linotype" w:hAnsi="Palatino Linotype"/>
          <w:b w:val="0"/>
          <w:i w:val="0"/>
          <w:sz w:val="22"/>
        </w:rPr>
        <w:t>강남·서초구에서는 Local I가 낮게 나타나는데, 이는 해당 지역의 저소득 독거노인 절대 수가 서울 평균 대비 극단적으로 적어 집단 내 접촉 확률 자체가 수학적으로 낮을 수밖에 없기 때문이다. 고립지수는 정의상 집단의 절대적 규모에 민감하게 반응하므로, 저소득 독거노인이 거의 없는 지역에서는 낮은 값이 필연적이다. 그러나 그 소수의 저소득 독거노인이 전체 인구 구성에서 차지하는 비율은 서울 평균에서 크게 이탈해 있어, Local D는 음수(배제 극)로 나타난다. 이는 고립지수와 상이지수가 독립적으로 움직이는 분리의 두 차원임을 실증적으로 보여주며, 두 지수를 동시에 적용해야만 분리의 전체 구조를 정확히 파악할 수 있음을 시사한다.</w:t>
      </w:r>
    </w:p>
    <w:p>
      <w:pPr>
        <w:spacing w:line="355" w:lineRule="auto" w:after="0"/>
        <w:ind w:firstLine="432"/>
        <w:jc w:val="both"/>
      </w:pPr>
      <w:r>
        <w:rPr>
          <w:rFonts w:ascii="Palatino Linotype" w:hAnsi="Palatino Linotype"/>
          <w:b w:val="0"/>
          <w:i w:val="0"/>
          <w:sz w:val="22"/>
        </w:rPr>
        <w:t>이 결과는 소득 제약이 거주지 선택을 제한하여 특정 지역으로의 집중을 낳는다는 Reardon &amp; Bischoff(2011)의 메커니즘과 일치하며, 강서·노원 지역의 저렴 주택 집중이 고립 응축의 공간적 기반임을 시사한다.</w:t>
      </w:r>
    </w:p>
    <w:p>
      <w:pPr>
        <w:spacing w:before="200" w:after="80" w:line="240" w:lineRule="auto"/>
      </w:pPr>
      <w:r>
        <w:rPr>
          <w:rFonts w:ascii="Palatino Linotype" w:hAnsi="Palatino Linotype"/>
          <w:b/>
          <w:i w:val="0"/>
          <w:sz w:val="22"/>
        </w:rPr>
        <w:t>4.2 일반인구 대비 거주지 분리 (H2-1: 균등성 축)</w:t>
      </w:r>
    </w:p>
    <w:p>
      <w:pPr>
        <w:spacing w:line="355" w:lineRule="auto" w:after="0"/>
        <w:ind w:firstLine="432"/>
        <w:jc w:val="both"/>
      </w:pPr>
      <w:r>
        <w:rPr>
          <w:rFonts w:ascii="Palatino Linotype" w:hAnsi="Palatino Linotype"/>
          <w:b w:val="0"/>
          <w:i w:val="0"/>
          <w:sz w:val="22"/>
        </w:rPr>
        <w:t>일반인구 대비 전역 상이지수는 D = 0.1318로 나타났다. 이는 독거노인 내부 소득 분리(D = 0.0859, 4.3절)보다 높은 값으로, 독거 여부 자체보다 소득·고령·1인 가구 특성이 복합적으로 결합된 분리가 더 강하게 작동함을 의미한다.</w:t>
      </w:r>
    </w:p>
    <w:p>
      <w:pPr>
        <w:spacing w:line="355" w:lineRule="auto" w:after="0"/>
        <w:ind w:firstLine="432"/>
        <w:jc w:val="both"/>
      </w:pPr>
      <w:r>
        <w:rPr>
          <w:rFonts w:ascii="Palatino Linotype" w:hAnsi="Palatino Linotype"/>
          <w:b w:val="0"/>
          <w:i w:val="0"/>
          <w:sz w:val="22"/>
        </w:rPr>
        <w:t>Local D 지도에서는 노원·강서구(양수, 집중 극)와 강남·서초구(음수, 배제 극)의 뚜렷한 양극 분화가 관찰되었다. 양수 지역은 저소득 독거노인이 지역 인구 구성 비율 기준으로 서울 평균보다 과대 집중된 공간이며, 음수 지역은 저소득 독거노인이 해당 지역 인구 비율 대비 현저히 낮아 상대적으로 배제된 공간을 의미한다. 이 양극 분화는 서울의 주거비 지리를 반영하는데, 저렴한 임대주택이 밀집한 노원·강서 지역은 소득 제약이 강한 집단의 집중처가 되는 반면, 고가 주거지인 강남·서초에서는 이 집단이 구조적으로 배제된다.</w:t>
      </w:r>
    </w:p>
    <w:p>
      <w:pPr>
        <w:spacing w:before="160" w:after="40"/>
        <w:ind w:firstLine="0"/>
        <w:jc w:val="center"/>
        <w:shd w:val="clear" w:color="auto" w:fill="DCDCDC"/>
      </w:pPr>
      <w:r>
        <w:rPr>
          <w:rFonts w:ascii="Palatino Linotype" w:hAnsi="Palatino Linotype"/>
          <w:b w:val="0"/>
          <w:i w:val="0"/>
          <w:color w:val="555555"/>
          <w:sz w:val="18"/>
        </w:rPr>
        <w:t>[그림 4 자리: Local D 단계구분도 — H2-1 (양수: 집중 극, 음수: 배제 극)]</w:t>
      </w:r>
    </w:p>
    <w:p>
      <w:pPr>
        <w:spacing w:after="200"/>
        <w:ind w:firstLine="0"/>
        <w:jc w:val="center"/>
      </w:pPr>
      <w:r>
        <w:rPr>
          <w:rFonts w:ascii="Palatino Linotype" w:hAnsi="Palatino Linotype"/>
          <w:b w:val="0"/>
          <w:i w:val="0"/>
          <w:sz w:val="18"/>
        </w:rPr>
        <w:t>Figure 4. Local D 단계구분도 — H2-1 (양수: 집중 극, 음수: 배제 극).</w:t>
      </w:r>
    </w:p>
    <w:p>
      <w:pPr>
        <w:spacing w:line="355" w:lineRule="auto" w:after="0"/>
        <w:ind w:firstLine="432"/>
        <w:jc w:val="both"/>
      </w:pPr>
      <w:r>
        <w:rPr>
          <w:rFonts w:ascii="Palatino Linotype" w:hAnsi="Palatino Linotype"/>
          <w:b w:val="0"/>
          <w:i w:val="0"/>
          <w:sz w:val="22"/>
        </w:rPr>
        <w:t>이 양극 패턴은 Reardon &amp; Bischoff(2011)가 제시한 소득 기반 거주지 분리의 두 경로, 즉 부유층의 배타적 입지 선택(강남·서초의 배제 패턴)과 저소득층의 선택지 제약(노원·강서의 집중 패턴)과 정확히 대응된다. 이는 저소득 독거노인의 거주지 분리가 개인의 선택이 아닌 주거비 장벽에 의한 구조적 배제의 결과임을 시사하며, 단순한 공간 집중을 넘어 사회경제적 불평등이 공간적으로 가시화된 것으로 해석된다.</w:t>
      </w:r>
    </w:p>
    <w:p>
      <w:pPr>
        <w:spacing w:before="200" w:after="80" w:line="240" w:lineRule="auto"/>
      </w:pPr>
      <w:r>
        <w:rPr>
          <w:rFonts w:ascii="Palatino Linotype" w:hAnsi="Palatino Linotype"/>
          <w:b/>
          <w:i w:val="0"/>
          <w:sz w:val="22"/>
        </w:rPr>
        <w:t>4.3 독거노인 내부 소득 기반 분리 (H2-2: 균등성 축)</w:t>
      </w:r>
    </w:p>
    <w:p>
      <w:pPr>
        <w:spacing w:line="355" w:lineRule="auto" w:after="0"/>
        <w:ind w:firstLine="432"/>
        <w:jc w:val="both"/>
      </w:pPr>
      <w:r>
        <w:rPr>
          <w:rFonts w:ascii="Palatino Linotype" w:hAnsi="Palatino Linotype"/>
          <w:b w:val="0"/>
          <w:i w:val="0"/>
          <w:sz w:val="22"/>
        </w:rPr>
        <w:t>독거노인 내부 소득 기반 전역 상이지수는 D = 0.0859로, H2-1(0.1318)보다 낮게 나타났다. 이는 서울 전역 평균으로는 독거노인 집단 안에서 소득에 따른 추가적 분리 효과가 상대적으로 제한적임을 시사한다.</w:t>
      </w:r>
    </w:p>
    <w:p>
      <w:pPr>
        <w:spacing w:line="355" w:lineRule="auto" w:after="0"/>
        <w:ind w:firstLine="432"/>
        <w:jc w:val="both"/>
      </w:pPr>
      <w:r>
        <w:rPr>
          <w:rFonts w:ascii="Palatino Linotype" w:hAnsi="Palatino Linotype"/>
          <w:b w:val="0"/>
          <w:i w:val="0"/>
          <w:sz w:val="22"/>
        </w:rPr>
        <w:t>그러나 국지 수준에서는 강남·서초(배제 극) vs 노원·강서(집중 극)의 양극 분화가 H2-1과 유사한 패턴으로 관찰되었다. Schelling(1971)의 누적 선호 이론에 따르면, 집단 구성원 각각의 작은 선호(비슷한 소득 집단과의 거주 선호)가 반복·누적될 경우 전역 평균이 낮더라도 국지적으로 큰 분화가 발생할 수 있다. 전역 D = 0.0859라는 수치는 서울 전체 평균에서 독거 형태 안에서의 소득 분리가 상대적으로 제한적임을 보여주지만, 국지 수준의 양극 분화는 이 분리가 특정 지역에 집중되어 있음을 나타낸다.</w:t>
      </w:r>
    </w:p>
    <w:p>
      <w:pPr>
        <w:spacing w:before="160" w:after="40"/>
        <w:ind w:firstLine="0"/>
        <w:jc w:val="center"/>
        <w:shd w:val="clear" w:color="auto" w:fill="DCDCDC"/>
      </w:pPr>
      <w:r>
        <w:rPr>
          <w:rFonts w:ascii="Palatino Linotype" w:hAnsi="Palatino Linotype"/>
          <w:b w:val="0"/>
          <w:i w:val="0"/>
          <w:color w:val="555555"/>
          <w:sz w:val="18"/>
        </w:rPr>
        <w:t>[그림 5 자리: Local D 단계구분도 — H2-2 (독거노인 내부 소득 분리)]</w:t>
      </w:r>
    </w:p>
    <w:p>
      <w:pPr>
        <w:spacing w:after="200"/>
        <w:ind w:firstLine="0"/>
        <w:jc w:val="center"/>
      </w:pPr>
      <w:r>
        <w:rPr>
          <w:rFonts w:ascii="Palatino Linotype" w:hAnsi="Palatino Linotype"/>
          <w:b w:val="0"/>
          <w:i w:val="0"/>
          <w:sz w:val="18"/>
        </w:rPr>
        <w:t>Figure 5. Local D 단계구분도 — H2-2 (독거노인 내부 소득 분리).</w:t>
      </w:r>
    </w:p>
    <w:p>
      <w:pPr>
        <w:spacing w:line="355" w:lineRule="auto" w:after="0"/>
        <w:ind w:firstLine="432"/>
        <w:jc w:val="both"/>
      </w:pPr>
      <w:r>
        <w:rPr>
          <w:rFonts w:ascii="Palatino Linotype" w:hAnsi="Palatino Linotype"/>
          <w:b w:val="0"/>
          <w:i w:val="0"/>
          <w:sz w:val="22"/>
        </w:rPr>
        <w:t>소득이 같은 가구 유형(독거노인) 안에서도 거주지를 분화시키는 독립 요인으로 작용한다는 점은 중요한 함의를 갖는다. 이는 독거라는 가구 형태를 통제한 후에도 소득이 거주지 정렬을 설명하는 독립 변수로 남음을 의미하며, 소득 기반 거주지 정렬이 가구 유형의 효과를 초월하여 작동하는 보편적 메커니즘임을 실증한다(⚠️ Cartone et al. 소득 기반 분리 연구와 연결).</w:t>
      </w:r>
    </w:p>
    <w:p>
      <w:pPr>
        <w:spacing w:before="200" w:after="80" w:line="240" w:lineRule="auto"/>
      </w:pPr>
      <w:r>
        <w:rPr>
          <w:rFonts w:ascii="Palatino Linotype" w:hAnsi="Palatino Linotype"/>
          <w:b/>
          <w:i w:val="0"/>
          <w:sz w:val="22"/>
        </w:rPr>
        <w:t>4.4 민감도 분석</w:t>
      </w:r>
    </w:p>
    <w:p>
      <w:pPr>
        <w:spacing w:line="355" w:lineRule="auto" w:after="0"/>
        <w:ind w:firstLine="432"/>
        <w:jc w:val="both"/>
      </w:pPr>
      <w:r>
        <w:rPr>
          <w:rFonts w:ascii="Palatino Linotype" w:hAnsi="Palatino Linotype"/>
          <w:b w:val="0"/>
          <w:i w:val="0"/>
          <w:sz w:val="22"/>
        </w:rPr>
        <w:t>Bandwidth를 500m에서 4,500m로 변화시켜도 전역 상이지수는 안정적으로 유지되었으며, 이는 분석 결과가 bandwidth 선택에 강건(robust)함을 나타낸다.</w:t>
      </w:r>
    </w:p>
    <w:p>
      <w:pPr>
        <w:spacing w:line="355" w:lineRule="auto" w:after="0"/>
        <w:ind w:firstLine="432"/>
        <w:jc w:val="both"/>
      </w:pPr>
      <w:r>
        <w:rPr>
          <w:rFonts w:ascii="Palatino Linotype" w:hAnsi="Palatino Linotype"/>
          <w:b w:val="0"/>
          <w:i w:val="0"/>
          <w:sz w:val="22"/>
        </w:rPr>
        <w:t>NSI 분석 결과, 분리는 약 1,500m 근린 스케일에 집중되어 있었다. 이는 자치구 단위의 광역 정책보다 행정동 단위의 미시적 복지 개입이 더 효율적임을 시사한다.</w:t>
      </w:r>
    </w:p>
    <w:p>
      <w:pPr>
        <w:spacing w:before="160" w:after="40"/>
        <w:ind w:firstLine="0"/>
        <w:jc w:val="center"/>
        <w:shd w:val="clear" w:color="auto" w:fill="DCDCDC"/>
      </w:pPr>
      <w:r>
        <w:rPr>
          <w:rFonts w:ascii="Palatino Linotype" w:hAnsi="Palatino Linotype"/>
          <w:b w:val="0"/>
          <w:i w:val="0"/>
          <w:color w:val="555555"/>
          <w:sz w:val="18"/>
        </w:rPr>
        <w:t>[그림 6 자리: Bandwidth별 전역 D값 변화 그래프 및 NSI 곡선]</w:t>
      </w:r>
    </w:p>
    <w:p>
      <w:pPr>
        <w:spacing w:after="200"/>
        <w:ind w:firstLine="0"/>
        <w:jc w:val="center"/>
      </w:pPr>
      <w:r>
        <w:rPr>
          <w:rFonts w:ascii="Palatino Linotype" w:hAnsi="Palatino Linotype"/>
          <w:b w:val="0"/>
          <w:i w:val="0"/>
          <w:sz w:val="18"/>
        </w:rPr>
        <w:t>Figure 6. Bandwidth별 전역 D값 변화 그래프 및 NSI 곡선.</w:t>
      </w:r>
    </w:p>
    <w:p>
      <w:pPr>
        <w:spacing w:before="280" w:after="120" w:line="240" w:lineRule="auto"/>
      </w:pPr>
      <w:r>
        <w:rPr>
          <w:rFonts w:ascii="Palatino Linotype" w:hAnsi="Palatino Linotype"/>
          <w:b/>
          <w:i w:val="0"/>
          <w:sz w:val="24"/>
        </w:rPr>
        <w:t>5. 결론</w:t>
      </w:r>
    </w:p>
    <w:p>
      <w:pPr>
        <w:spacing w:line="355" w:lineRule="auto" w:after="0"/>
        <w:ind w:firstLine="432"/>
        <w:jc w:val="both"/>
      </w:pPr>
      <w:r>
        <w:rPr>
          <w:rFonts w:ascii="Palatino Linotype" w:hAnsi="Palatino Linotype"/>
          <w:b w:val="0"/>
          <w:i w:val="0"/>
          <w:sz w:val="22"/>
        </w:rPr>
        <w:t>본 연구는 서울시 424개 행정동을 대상으로 저소득 독거노인의 거주지 분리를 노출 축(공간 고립지수)과 균등성 축(공간 상이지수)으로 측정하였다. 전역 고립지수 I = 0.0174는 무작위 기대값(π = 0.0152) 대비 약 14% 높아 약한 수준의 고립이 확인되었으며, 국지적으로는 강서·노원 지역에 고립이 응축되었다. 일반인구 대비 전역 상이지수(D = 0.1318)는 독거노인 내부 소득 분리(D = 0.0859)보다 높게 나타나, 소득·고령·1인 가구 특성이 결합된 분리가 더 강하게 작동함을 확인하였다. 이 패턴은 거주지 정렬 이론이 예측하는 부유층 배타 입지(강남·서초 배제)와 저소득층 선택지 제약(노원·강서 집중)의 두 경로와 정확히 대응된다.</w:t>
      </w:r>
    </w:p>
    <w:p>
      <w:pPr>
        <w:spacing w:line="355" w:lineRule="auto" w:after="0"/>
        <w:ind w:firstLine="432"/>
        <w:jc w:val="both"/>
      </w:pPr>
      <w:r>
        <w:rPr>
          <w:rFonts w:ascii="Palatino Linotype" w:hAnsi="Palatino Linotype"/>
          <w:b w:val="0"/>
          <w:i w:val="0"/>
          <w:sz w:val="22"/>
        </w:rPr>
        <w:t>본 연구는 세 가지 한계를 갖는다. 첫째, 2024년 단일 시점 데이터로 분리의 시계열적 변화를 파악하기 어렵다. 둘째, 기초생활수급자를 저소득 독거노인의 대리 변수로 사용하였으나, 차상위계층 등 수급 기준 외 실질적 빈곤층이 누락될 수 있다. 셋째, 노인여가복지시설의 공급 분포와의 교차 분석은 분리(수요 측) 연구의 범위를 벗어나는 공급 측 문제로 본 연구에서 제외하였다.</w:t>
      </w:r>
    </w:p>
    <w:p>
      <w:pPr>
        <w:spacing w:line="355" w:lineRule="auto" w:after="0"/>
        <w:ind w:firstLine="432"/>
        <w:jc w:val="both"/>
      </w:pPr>
      <w:r>
        <w:rPr>
          <w:rFonts w:ascii="Palatino Linotype" w:hAnsi="Palatino Linotype"/>
          <w:b w:val="0"/>
          <w:i w:val="0"/>
          <w:sz w:val="22"/>
        </w:rPr>
        <w:t>향후 연구는 다음 방향으로 확장될 수 있다. 다년도 데이터를 활용한 분리 추이 분석으로 정렬의 동태적 과정을 추적하거나, 차상위계층을 포함한 확장된 저소득 정의를 적용할 수 있다. 또한 본 연구에서 식별된 고위험 행정동을 대상으로 복지시설 접근성 분석을 연계하여 수요-공급 불일치 구조를 분석하는 것도 유망한 연구 방향이다.</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