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연구 방향 업데이트 — 2026-04-21</w:t>
      </w:r>
    </w:p>
    <w:p>
      <w:pPr>
        <w:pStyle w:val="Heading2"/>
      </w:pPr>
      <w:r>
        <w:rPr>
          <w:rFonts w:ascii="Malgun Gothic" w:hAnsi="Malgun Gothic"/>
        </w:rPr>
        <w:t>연구 제목 (잠정)</w:t>
      </w:r>
    </w:p>
    <w:p>
      <w:r>
        <w:rPr>
          <w:b/>
        </w:rPr>
        <w:t>Thermal Catchment Area: A Heat-Adjusted Spatial Accessibility Framework</w:t>
        <w:br/>
        <w:t>and Its Application to Subway Station Catchments in Seoul</w:t>
      </w:r>
    </w:p>
    <w:p>
      <w:pPr>
        <w:pStyle w:val="Heading2"/>
      </w:pPr>
      <w:r>
        <w:rPr>
          <w:rFonts w:ascii="Malgun Gothic" w:hAnsi="Malgun Gothic"/>
        </w:rPr>
        <w:t>핵심 변경사항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이전 방향 (TAVI_v2)</w:t>
            </w:r>
          </w:p>
        </w:tc>
        <w:tc>
          <w:tcPr>
            <w:tcW w:type="dxa" w:w="2880"/>
          </w:tcPr>
          <w:p>
            <w:r>
              <w:t>현재 방향</w:t>
            </w:r>
          </w:p>
        </w:tc>
      </w:tr>
      <w:tr>
        <w:tc>
          <w:tcPr>
            <w:tcW w:type="dxa" w:w="2880"/>
          </w:tcPr>
          <w:p>
            <w:r>
              <w:t>메인 기여</w:t>
            </w:r>
          </w:p>
        </w:tc>
        <w:tc>
          <w:tcPr>
            <w:tcW w:type="dxa" w:w="2880"/>
          </w:tcPr>
          <w:p>
            <w:r>
              <w:t>TAVI 지수 (H×E×V)</w:t>
            </w:r>
          </w:p>
        </w:tc>
        <w:tc>
          <w:tcPr>
            <w:tcW w:type="dxa" w:w="2880"/>
          </w:tcPr>
          <w:p>
            <w:r>
              <w:t>Thermal Catchment Area 개념 제안</w:t>
            </w:r>
          </w:p>
        </w:tc>
      </w:tr>
      <w:tr>
        <w:tc>
          <w:tcPr>
            <w:tcW w:type="dxa" w:w="2880"/>
          </w:tcPr>
          <w:p>
            <w:r>
              <w:t>H×E×V 프레임</w:t>
            </w:r>
          </w:p>
        </w:tc>
        <w:tc>
          <w:tcPr>
            <w:tcW w:type="dxa" w:w="2880"/>
          </w:tcPr>
          <w:p>
            <w:r>
              <w:t>논문 구조의 핵심</w:t>
            </w:r>
          </w:p>
        </w:tc>
        <w:tc>
          <w:tcPr>
            <w:tcW w:type="dxa" w:w="2880"/>
          </w:tcPr>
          <w:p>
            <w:r>
              <w:t>제거 (후속 연구로 이관)</w:t>
            </w:r>
          </w:p>
        </w:tc>
      </w:tr>
      <w:tr>
        <w:tc>
          <w:tcPr>
            <w:tcW w:type="dxa" w:w="2880"/>
          </w:tcPr>
          <w:p>
            <w:r>
              <w:t>V 컴포넌트</w:t>
            </w:r>
          </w:p>
        </w:tc>
        <w:tc>
          <w:tcPr>
            <w:tcW w:type="dxa" w:w="2880"/>
          </w:tcPr>
          <w:p>
            <w:r>
              <w:t>논문 포함</w:t>
            </w:r>
          </w:p>
        </w:tc>
        <w:tc>
          <w:tcPr>
            <w:tcW w:type="dxa" w:w="2880"/>
          </w:tcPr>
          <w:p>
            <w:r>
              <w:t>제거 (코드는 보존)</w:t>
            </w:r>
          </w:p>
        </w:tc>
      </w:tr>
      <w:tr>
        <w:tc>
          <w:tcPr>
            <w:tcW w:type="dxa" w:w="2880"/>
          </w:tcPr>
          <w:p>
            <w:r>
              <w:t>TAVI 지수</w:t>
            </w:r>
          </w:p>
        </w:tc>
        <w:tc>
          <w:tcPr>
            <w:tcW w:type="dxa" w:w="2880"/>
          </w:tcPr>
          <w:p>
            <w:r>
              <w:t>메인 산출물</w:t>
            </w:r>
          </w:p>
        </w:tc>
        <w:tc>
          <w:tcPr>
            <w:tcW w:type="dxa" w:w="2880"/>
          </w:tcPr>
          <w:p>
            <w:r>
              <w:t>제거 (코드는 보존)</w:t>
            </w:r>
          </w:p>
        </w:tc>
      </w:tr>
      <w:tr>
        <w:tc>
          <w:tcPr>
            <w:tcW w:type="dxa" w:w="2880"/>
          </w:tcPr>
          <w:p>
            <w:r>
              <w:t>케이스 시설</w:t>
            </w:r>
          </w:p>
        </w:tc>
        <w:tc>
          <w:tcPr>
            <w:tcW w:type="dxa" w:w="2880"/>
          </w:tcPr>
          <w:p>
            <w:r>
              <w:t>지하철역 (주요 분석 대상)</w:t>
            </w:r>
          </w:p>
        </w:tc>
        <w:tc>
          <w:tcPr>
            <w:tcW w:type="dxa" w:w="2880"/>
          </w:tcPr>
          <w:p>
            <w:r>
              <w:t>지하철역 (단순 케이스 스터디)</w:t>
            </w:r>
          </w:p>
        </w:tc>
      </w:tr>
      <w:tr>
        <w:tc>
          <w:tcPr>
            <w:tcW w:type="dxa" w:w="2880"/>
          </w:tcPr>
          <w:p>
            <w:r>
              <w:t>비교 분석</w:t>
            </w:r>
          </w:p>
        </w:tc>
        <w:tc>
          <w:tcPr>
            <w:tcW w:type="dxa" w:w="2880"/>
          </w:tcPr>
          <w:p>
            <w:r>
              <w:t>없음</w:t>
            </w:r>
          </w:p>
        </w:tc>
        <w:tc>
          <w:tcPr>
            <w:tcW w:type="dxa" w:w="2880"/>
          </w:tcPr>
          <w:p>
            <w:r>
              <w:t>Classic vs Thermal 2SFCA 비교</w:t>
            </w:r>
          </w:p>
        </w:tc>
      </w:tr>
    </w:tbl>
    <w:p/>
    <w:p>
      <w:pPr>
        <w:pStyle w:val="Heading2"/>
      </w:pPr>
      <w:r>
        <w:rPr>
          <w:rFonts w:ascii="Malgun Gothic" w:hAnsi="Malgun Gothic"/>
        </w:rPr>
        <w:t>연구 구조</w:t>
      </w:r>
    </w:p>
    <w:p>
      <w:pPr>
        <w:pStyle w:val="Heading3"/>
      </w:pPr>
      <w:r>
        <w:rPr>
          <w:rFonts w:ascii="Malgun Gothic" w:hAnsi="Malgun Gothic"/>
        </w:rPr>
        <w:t>메인 기여 (방법론 제안)</w:t>
      </w:r>
    </w:p>
    <w:p>
      <w:r>
        <w:t>Thermal Catchment Area</w:t>
        <w:br/>
        <w:t>"기존 Catchment는 물리적 이동 제약만 반영한다.</w:t>
        <w:br/>
        <w:t>우리는 UTCI 기반 열환경 임계값을 적용하여</w:t>
        <w:br/>
        <w:t>보행 불가 링크를 제거한 Thermal Catchment Area를 제안한다."</w:t>
        <w:br/>
        <w:t>→ 어떤 시설에도, 어떤 도시에도 적용 가능한 범용 개념</w:t>
      </w:r>
    </w:p>
    <w:p>
      <w:pPr>
        <w:pStyle w:val="Heading3"/>
      </w:pPr>
      <w:r>
        <w:rPr>
          <w:rFonts w:ascii="Malgun Gothic" w:hAnsi="Malgun Gothic"/>
        </w:rPr>
        <w:t>케이스 스터디 (개념 검증)</w:t>
      </w:r>
    </w:p>
    <w:p>
      <w:r>
        <w:t>대상: 서울 성동구 지하철역 7개 (왕십리·행당·응봉·뚝섬·성수·서울숲·옥수)</w:t>
      </w:r>
    </w:p>
    <w:p>
      <w:r>
        <w:t>왜 지하철: 폭염 취약 집단의 이동 의존 수단</w:t>
      </w:r>
    </w:p>
    <w:p>
      <w:r>
        <w:t>왜 성동구: 하천·녹지·밀집 도심 공존 → 공간 변이 큼</w:t>
      </w:r>
    </w:p>
    <w:p>
      <w:pPr>
        <w:pStyle w:val="Heading2"/>
      </w:pPr>
      <w:r>
        <w:rPr>
          <w:rFonts w:ascii="Malgun Gothic" w:hAnsi="Malgun Gothic"/>
        </w:rPr>
        <w:t>방법론</w:t>
      </w:r>
    </w:p>
    <w:p>
      <w:pPr>
        <w:pStyle w:val="Heading3"/>
      </w:pPr>
      <w:r>
        <w:rPr>
          <w:rFonts w:ascii="Malgun Gothic" w:hAnsi="Malgun Gothic"/>
        </w:rPr>
        <w:t>Thermal Catchment 계산</w:t>
      </w:r>
    </w:p>
    <w:p>
      <w:r>
        <w:t>Classic Catchment: 전체 네트워크 Dijkstra → 시간예산(15분) 내 도달 노드셋</w:t>
        <w:br/>
        <w:t>Thermal Catchment: UTCI ≥ 38°C 링크 제거 → 축소 네트워크 Dijkstra → 도달 노드셋</w:t>
        <w:br/>
        <w:t>reduction_pct = (Classic - Thermal) / Classic × 100</w:t>
      </w:r>
    </w:p>
    <w:p>
      <w:pPr>
        <w:pStyle w:val="Heading3"/>
      </w:pPr>
      <w:r>
        <w:rPr>
          <w:rFonts w:ascii="Malgun Gothic" w:hAnsi="Malgun Gothic"/>
        </w:rPr>
        <w:t>왜 하드 컷인가</w:t>
      </w:r>
    </w:p>
    <w:p>
      <w:r>
        <w:t>기존 소프트 패널티 방식:</w:t>
        <w:br/>
        <w:t xml:space="preserve">  - Basu et al.(2024): 경로 선택 확률 감소</w:t>
        <w:br/>
        <w:t xml:space="preserve">  - Aydin et al.(2026): PTT 증가 = 이동속도 감소</w:t>
        <w:br/>
        <w:br/>
        <w:t>하드 컷 정당성:</w:t>
        <w:br/>
        <w:t xml:space="preserve">  - UTCI 38°C = "very strong heat stress" (Bröde et al., 2012)</w:t>
        <w:br/>
        <w:t xml:space="preserve">  - 소프트 패널티는 극한 열환경에서도 도달 가능 전제 → 비현실적</w:t>
        <w:br/>
        <w:t xml:space="preserve">  - 공공보건 기관의 열 경보 방식(범주적 경보)과 일치</w:t>
        <w:br/>
        <w:t xml:space="preserve">  - 보수적(conservative) 추정 → 실제 손실은 이보다 더 클 수 있음</w:t>
      </w:r>
    </w:p>
    <w:p>
      <w:pPr>
        <w:pStyle w:val="Heading3"/>
      </w:pPr>
      <w:r>
        <w:rPr>
          <w:rFonts w:ascii="Malgun Gothic" w:hAnsi="Malgun Gothic"/>
        </w:rPr>
        <w:t>UTCI 계산</w:t>
      </w:r>
    </w:p>
    <w:p>
      <w:r>
        <w:t>MRT: Lindberg et al.(2008) 단순화</w:t>
        <w:br/>
        <w:t xml:space="preserve">  주간: MRT = Tair + 0.5 × √(GHI × cos_z) × SVF</w:t>
        <w:br/>
        <w:t xml:space="preserve">  야간: MRT = Tair - 2.0 × SVF</w:t>
        <w:br/>
        <w:t>UTCI: pythermalcomfort (Bröde et al. 2012 표준 다항식)</w:t>
        <w:br/>
        <w:t>캐노피 보정: Chen &amp; Ng(2012) (-2.5°C × canopy_ratio)</w:t>
        <w:br/>
        <w:br/>
        <w:t>방어 논리:</w:t>
        <w:br/>
        <w:t xml:space="preserve">  - MRT 단순화 → 과소추정(보수적) → 실제 손실은 더 클 것</w:t>
        <w:br/>
        <w:t xml:space="preserve">  - 공간 상대 패턴은 SVF가 결정 → 링크 간 순위 유효</w:t>
        <w:br/>
        <w:t xml:space="preserve">  - Dong·Wang(LST) 대비 오히려 더 정교한 방식</w:t>
        <w:br/>
        <w:t xml:space="preserve">  - 한계 명시 + 민감도 분석으로 방어</w:t>
      </w:r>
    </w:p>
    <w:p>
      <w:pPr>
        <w:pStyle w:val="Heading2"/>
      </w:pPr>
      <w:r>
        <w:rPr>
          <w:rFonts w:ascii="Malgun Gothic" w:hAnsi="Malgun Gothic"/>
        </w:rPr>
        <w:t>선행연구 대비 차별점</w:t>
      </w:r>
    </w:p>
    <w:p>
      <w:pPr>
        <w:pStyle w:val="ListBullet"/>
      </w:pPr>
      <w:r>
        <w:rPr>
          <w:rFonts w:ascii="Malgun Gothic" w:hAnsi="Malgun Gothic"/>
          <w:b/>
        </w:rPr>
        <w:t xml:space="preserve">새로운 공간 단위: </w:t>
      </w:r>
      <w:r>
        <w:rPr>
          <w:rFonts w:ascii="Malgun Gothic" w:hAnsi="Malgun Gothic"/>
        </w:rPr>
        <w:t>Thermal Catchment Area — 기존 어디에도 없는 신규 정의</w:t>
      </w:r>
    </w:p>
    <w:p>
      <w:pPr>
        <w:pStyle w:val="ListBullet"/>
      </w:pPr>
      <w:r>
        <w:rPr>
          <w:rFonts w:ascii="Malgun Gothic" w:hAnsi="Malgun Gothic"/>
          <w:b/>
        </w:rPr>
        <w:t xml:space="preserve">하드 컷: </w:t>
      </w:r>
      <w:r>
        <w:rPr>
          <w:rFonts w:ascii="Malgun Gothic" w:hAnsi="Malgun Gothic"/>
        </w:rPr>
        <w:t>소프트 패널티(기존) vs 이진 임계값(본 연구)</w:t>
      </w:r>
    </w:p>
    <w:p>
      <w:pPr>
        <w:pStyle w:val="ListBullet"/>
      </w:pPr>
      <w:r>
        <w:rPr>
          <w:rFonts w:ascii="Malgun Gothic" w:hAnsi="Malgun Gothic"/>
          <w:b/>
        </w:rPr>
        <w:t xml:space="preserve">대중교통 맥락: </w:t>
      </w:r>
      <w:r>
        <w:rPr>
          <w:rFonts w:ascii="Malgun Gothic" w:hAnsi="Malgun Gothic"/>
        </w:rPr>
        <w:t>녹지·POI(기존) vs 지하철 역세권(본 연구)</w:t>
      </w:r>
    </w:p>
    <w:p>
      <w:pPr>
        <w:pStyle w:val="ListBullet"/>
      </w:pPr>
      <w:r>
        <w:rPr>
          <w:rFonts w:ascii="Malgun Gothic" w:hAnsi="Malgun Gothic"/>
          <w:b/>
        </w:rPr>
        <w:t xml:space="preserve">범용성: </w:t>
      </w:r>
      <w:r>
        <w:rPr>
          <w:rFonts w:ascii="Malgun Gothic" w:hAnsi="Malgun Gothic"/>
        </w:rPr>
        <w:t>병원·공원·학교 등 어떤 시설에도 적용 가능</w:t>
      </w:r>
    </w:p>
    <w:p>
      <w:pPr>
        <w:pStyle w:val="ListBullet"/>
      </w:pPr>
      <w:r>
        <w:rPr>
          <w:rFonts w:ascii="Malgun Gothic" w:hAnsi="Malgun Gothic"/>
          <w:b/>
        </w:rPr>
        <w:t xml:space="preserve">재현 가능성: </w:t>
      </w:r>
      <w:r>
        <w:rPr>
          <w:rFonts w:ascii="Malgun Gothic" w:hAnsi="Malgun Gothic"/>
        </w:rPr>
        <w:t>SVF + 기상데이터만으로 어느 도시에서도 재현 가능</w:t>
      </w:r>
    </w:p>
    <w:p>
      <w:pPr>
        <w:pStyle w:val="Heading2"/>
      </w:pPr>
      <w:r>
        <w:rPr>
          <w:rFonts w:ascii="Malgun Gothic" w:hAnsi="Malgun Gothic"/>
        </w:rPr>
        <w:t>논문 구조 (안)</w:t>
      </w:r>
    </w:p>
    <w:p>
      <w:pPr>
        <w:pStyle w:val="ListNumber"/>
      </w:pPr>
      <w:r>
        <w:rPr>
          <w:rFonts w:ascii="Malgun Gothic" w:hAnsi="Malgun Gothic"/>
        </w:rPr>
        <w:t>1. Introduction — 기존 Catchment 한계 → Thermal Catchment 제안</w:t>
      </w:r>
    </w:p>
    <w:p>
      <w:pPr>
        <w:pStyle w:val="ListNumber"/>
      </w:pPr>
      <w:r>
        <w:rPr>
          <w:rFonts w:ascii="Malgun Gothic" w:hAnsi="Malgun Gothic"/>
        </w:rPr>
        <w:t>2. Methods — 2-1. Thermal Catchment 계산 / 2-2. UTCI 계산 / 2-3. 2SFCA 비교</w:t>
      </w:r>
    </w:p>
    <w:p>
      <w:pPr>
        <w:pStyle w:val="ListNumber"/>
      </w:pPr>
      <w:r>
        <w:rPr>
          <w:rFonts w:ascii="Malgun Gothic" w:hAnsi="Malgun Gothic"/>
        </w:rPr>
        <w:t>3. Case Study — 서울 성동구 지하철역 7개</w:t>
      </w:r>
    </w:p>
    <w:p>
      <w:pPr>
        <w:pStyle w:val="ListNumber"/>
      </w:pPr>
      <w:r>
        <w:rPr>
          <w:rFonts w:ascii="Malgun Gothic" w:hAnsi="Malgun Gothic"/>
        </w:rPr>
        <w:t>4. Results — 4-1. reduction_pct 패턴 / 4-2. 2SFCA 비교 / 4-3. 민감도 분석</w:t>
      </w:r>
    </w:p>
    <w:p>
      <w:pPr>
        <w:pStyle w:val="ListNumber"/>
      </w:pPr>
      <w:r>
        <w:rPr>
          <w:rFonts w:ascii="Malgun Gothic" w:hAnsi="Malgun Gothic"/>
        </w:rPr>
        <w:t>5. Discussion — 일반화 가능성, 한계, 향후 연구</w:t>
      </w:r>
    </w:p>
    <w:p>
      <w:pPr>
        <w:pStyle w:val="ListNumber"/>
      </w:pPr>
      <w:r>
        <w:rPr>
          <w:rFonts w:ascii="Malgun Gothic" w:hAnsi="Malgun Gothic"/>
        </w:rPr>
        <w:t>6. Conclusion</w:t>
      </w:r>
    </w:p>
    <w:p>
      <w:pPr>
        <w:pStyle w:val="Heading2"/>
      </w:pPr>
      <w:r>
        <w:rPr>
          <w:rFonts w:ascii="Malgun Gothic" w:hAnsi="Malgun Gothic"/>
        </w:rPr>
        <w:t>남은 작업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우선순위</w:t>
            </w:r>
          </w:p>
        </w:tc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상태</w:t>
            </w:r>
          </w:p>
        </w:tc>
      </w:tr>
      <w:tr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일별 승하차 데이터 수집 (OA-12914)</w:t>
            </w:r>
          </w:p>
        </w:tc>
        <w:tc>
          <w:tcPr>
            <w:tcW w:type="dxa" w:w="2880"/>
          </w:tcPr>
          <w:p>
            <w:r>
              <w:t>미완</w:t>
            </w:r>
          </w:p>
        </w:tc>
      </w:tr>
      <w:tr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폭염일 vs 비폭염일 승하차 검증 분석</w:t>
            </w:r>
          </w:p>
        </w:tc>
        <w:tc>
          <w:tcPr>
            <w:tcW w:type="dxa" w:w="2880"/>
          </w:tcPr>
          <w:p>
            <w:r>
              <w:t>미완</w:t>
            </w:r>
          </w:p>
        </w:tc>
      </w:tr>
      <w:tr>
        <w:tc>
          <w:tcPr>
            <w:tcW w:type="dxa" w:w="2880"/>
          </w:tcPr>
          <w:p>
            <w:r>
              <w:t>★★</w:t>
            </w:r>
          </w:p>
        </w:tc>
        <w:tc>
          <w:tcPr>
            <w:tcW w:type="dxa" w:w="2880"/>
          </w:tcPr>
          <w:p>
            <w:r>
              <w:t>Classic vs Thermal 2SFCA 비교 코드</w:t>
            </w:r>
          </w:p>
        </w:tc>
        <w:tc>
          <w:tcPr>
            <w:tcW w:type="dxa" w:w="2880"/>
          </w:tcPr>
          <w:p>
            <w:r>
              <w:t>미완</w:t>
            </w:r>
          </w:p>
        </w:tc>
      </w:tr>
      <w:tr>
        <w:tc>
          <w:tcPr>
            <w:tcW w:type="dxa" w:w="2880"/>
          </w:tcPr>
          <w:p>
            <w:r>
              <w:t>★★</w:t>
            </w:r>
          </w:p>
        </w:tc>
        <w:tc>
          <w:tcPr>
            <w:tcW w:type="dxa" w:w="2880"/>
          </w:tcPr>
          <w:p>
            <w:r>
              <w:t>민감도 분석 (임계값·시간예산)</w:t>
            </w:r>
          </w:p>
        </w:tc>
        <w:tc>
          <w:tcPr>
            <w:tcW w:type="dxa" w:w="2880"/>
          </w:tcPr>
          <w:p>
            <w:r>
              <w:t>미완</w:t>
            </w:r>
          </w:p>
        </w:tc>
      </w:tr>
      <w:tr>
        <w:tc>
          <w:tcPr>
            <w:tcW w:type="dxa" w:w="2880"/>
          </w:tcPr>
          <w:p>
            <w:r>
              <w:t>★</w:t>
            </w:r>
          </w:p>
        </w:tc>
        <w:tc>
          <w:tcPr>
            <w:tcW w:type="dxa" w:w="2880"/>
          </w:tcPr>
          <w:p>
            <w:r>
              <w:t>LST 공간 패턴 검증 (지도 교수 협의 후)</w:t>
            </w:r>
          </w:p>
        </w:tc>
        <w:tc>
          <w:tcPr>
            <w:tcW w:type="dxa" w:w="2880"/>
          </w:tcPr>
          <w:p>
            <w:r>
              <w:t>보류</w:t>
            </w:r>
          </w:p>
        </w:tc>
      </w:tr>
      <w:tr>
        <w:tc>
          <w:tcPr>
            <w:tcW w:type="dxa" w:w="2880"/>
          </w:tcPr>
          <w:p>
            <w:r>
              <w:t>★</w:t>
            </w:r>
          </w:p>
        </w:tc>
        <w:tc>
          <w:tcPr>
            <w:tcW w:type="dxa" w:w="2880"/>
          </w:tcPr>
          <w:p>
            <w:r>
              <w:t>영어 논문 초안 작성</w:t>
            </w:r>
          </w:p>
        </w:tc>
        <w:tc>
          <w:tcPr>
            <w:tcW w:type="dxa" w:w="2880"/>
          </w:tcPr>
          <w:p>
            <w:r>
              <w:t>미완</w:t>
            </w:r>
          </w:p>
        </w:tc>
      </w:tr>
    </w:tbl>
    <w:p/>
    <w:p>
      <w:pPr>
        <w:pStyle w:val="Heading2"/>
      </w:pPr>
      <w:r>
        <w:rPr>
          <w:rFonts w:ascii="Malgun Gothic" w:hAnsi="Malgun Gothic"/>
        </w:rPr>
        <w:t>보존 코드 (후속 연구용)</w:t>
      </w:r>
    </w:p>
    <w:p>
      <w:r>
        <w:t>25_vulnerability_component.py — V 컴포넌트 (취약인구 비율)</w:t>
      </w:r>
    </w:p>
    <w:p>
      <w:r>
        <w:t>26_tavi_index.py — TAVI 지수 (reduction_pct × vulnerability_ratio)</w:t>
      </w:r>
    </w:p>
    <w:p>
      <w:r>
        <w:t>27_link_criticality.py — 링크 임계성 분석</w:t>
      </w:r>
    </w:p>
    <w:p>
      <w:pPr>
        <w:pStyle w:val="Heading2"/>
      </w:pPr>
      <w:r>
        <w:rPr>
          <w:rFonts w:ascii="Malgun Gothic" w:hAnsi="Malgun Gothic"/>
        </w:rPr>
        <w:t>투고 목표</w:t>
      </w:r>
    </w:p>
    <w:p>
      <w:r>
        <w:t>1순위: Landscape and Urban Planning (SCI Q1, IF ~8)</w:t>
      </w:r>
    </w:p>
    <w:p>
      <w:r>
        <w:t>2순위: Urban Climate (SCI Q1, IF ~6)</w:t>
      </w:r>
    </w:p>
    <w:p>
      <w:r>
        <w:t>일정: 2026년 7월 중순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