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CE3729" w14:textId="77777777" w:rsidR="001B298D" w:rsidRPr="00207071" w:rsidRDefault="001B298D" w:rsidP="001B298D">
      <w:pPr>
        <w:pStyle w:val="FirstParagraph"/>
        <w:rPr>
          <w:rFonts w:ascii="바탕체" w:eastAsia="바탕체" w:hAnsi="바탕체"/>
          <w:sz w:val="20"/>
          <w:szCs w:val="20"/>
        </w:rPr>
      </w:pPr>
      <w:bookmarkStart w:id="0" w:name="study-area"/>
      <w:r w:rsidRPr="00207071">
        <w:rPr>
          <w:rFonts w:ascii="바탕체" w:eastAsia="바탕체" w:hAnsi="바탕체"/>
          <w:b/>
          <w:bCs/>
          <w:sz w:val="20"/>
          <w:szCs w:val="20"/>
        </w:rPr>
        <w:t>2. Case Study</w:t>
      </w:r>
    </w:p>
    <w:p w14:paraId="1C2704D4" w14:textId="77777777" w:rsidR="001B298D" w:rsidRPr="00207071" w:rsidRDefault="001B298D" w:rsidP="001B298D">
      <w:pPr>
        <w:pStyle w:val="a0"/>
        <w:rPr>
          <w:rFonts w:ascii="바탕체" w:eastAsia="바탕체" w:hAnsi="바탕체"/>
          <w:sz w:val="20"/>
          <w:szCs w:val="20"/>
        </w:rPr>
      </w:pPr>
      <w:r w:rsidRPr="00207071">
        <w:rPr>
          <w:rFonts w:ascii="바탕체" w:eastAsia="바탕체" w:hAnsi="바탕체"/>
          <w:sz w:val="20"/>
          <w:szCs w:val="20"/>
        </w:rPr>
        <w:t>본 절에서는 연구지역과 입력자료를 기술한다. 구체적인 산출 절차(MRT· UTCI 산출, 이진적 제거 및 SEAR 산출)는 §3(Methods)에서 다룬다.</w:t>
      </w:r>
    </w:p>
    <w:p w14:paraId="1FF0F6D5" w14:textId="77777777" w:rsidR="001B298D" w:rsidRPr="00207071" w:rsidRDefault="001B298D" w:rsidP="001B298D">
      <w:pPr>
        <w:pStyle w:val="3"/>
        <w:rPr>
          <w:rFonts w:ascii="바탕체" w:eastAsia="바탕체" w:hAnsi="바탕체"/>
          <w:sz w:val="20"/>
          <w:szCs w:val="20"/>
        </w:rPr>
      </w:pPr>
      <w:r w:rsidRPr="00207071">
        <w:rPr>
          <w:rFonts w:ascii="바탕체" w:eastAsia="바탕체" w:hAnsi="바탕체"/>
          <w:sz w:val="20"/>
          <w:szCs w:val="20"/>
        </w:rPr>
        <w:t>2.1 Study Area</w:t>
      </w:r>
    </w:p>
    <w:p w14:paraId="7A3A1D98" w14:textId="77777777" w:rsidR="001B298D" w:rsidRPr="00207071" w:rsidRDefault="001B298D" w:rsidP="001B298D">
      <w:pPr>
        <w:pStyle w:val="FirstParagraph"/>
        <w:rPr>
          <w:rFonts w:ascii="바탕체" w:eastAsia="바탕체" w:hAnsi="바탕체"/>
          <w:sz w:val="20"/>
          <w:szCs w:val="20"/>
        </w:rPr>
      </w:pPr>
      <w:r w:rsidRPr="00207071">
        <w:rPr>
          <w:rFonts w:ascii="바탕체" w:eastAsia="바탕체" w:hAnsi="바탕체"/>
          <w:sz w:val="20"/>
          <w:szCs w:val="20"/>
        </w:rPr>
        <w:t>서울의 폭염은 최근 수십 년간 뚜렷하게 심화되고 있다. 서울의 폭염일수 (일 최고기온 33°C 이상인 날)는 1970년대 연평균 5.5일에서 2020년대 20.0일로 약 3.6배 증가하였다</w:t>
      </w:r>
      <w:r w:rsidR="00391510" w:rsidRPr="00207071">
        <w:rPr>
          <w:rFonts w:ascii="바탕체" w:eastAsia="바탕체" w:hAnsi="바탕체" w:hint="eastAsia"/>
          <w:sz w:val="20"/>
          <w:szCs w:val="20"/>
          <w:lang w:eastAsia="ko-KR"/>
        </w:rPr>
        <w:t xml:space="preserve">. </w:t>
      </w:r>
      <w:r w:rsidRPr="00207071">
        <w:rPr>
          <w:rFonts w:ascii="바탕체" w:eastAsia="바탕체" w:hAnsi="바탕체"/>
          <w:sz w:val="20"/>
          <w:szCs w:val="20"/>
        </w:rPr>
        <w:t>같은 기간 열대야일수는 5.0일에서 29.5일로 약 5.9배 증가하여, 폭염일수보다도 더 가파른 증가세를 보인다(기상청, 2025). 국내 폭염 발생 특성을 다룬 선행연구 역시 2000~2018년의 폭염일수가 1981~1999년 대비 95% 신뢰수준에서 유의하게 증가했음을 실증하였다(Yoon et al., 2020). 이러한 추세는 본 연구가 다루는 폭염 조건의 보행 열노출 문제가 일시적 현상이 아니라 서울이 구조적으로 직면한 지속적 위협임을 뒷받침하며, 본 연구의 필요성을 시사한다.</w:t>
      </w:r>
    </w:p>
    <w:p w14:paraId="228E56B8" w14:textId="77777777" w:rsidR="001B298D" w:rsidRPr="00207071" w:rsidRDefault="001B298D" w:rsidP="001B298D">
      <w:pPr>
        <w:pStyle w:val="a0"/>
        <w:rPr>
          <w:rFonts w:ascii="바탕체" w:eastAsia="바탕체" w:hAnsi="바탕체"/>
          <w:sz w:val="20"/>
          <w:szCs w:val="20"/>
        </w:rPr>
      </w:pPr>
      <w:r w:rsidRPr="00207071">
        <w:rPr>
          <w:rFonts w:ascii="바탕체" w:eastAsia="바탕체" w:hAnsi="바탕체"/>
          <w:sz w:val="20"/>
          <w:szCs w:val="20"/>
        </w:rPr>
        <w:t>서울은 단일 도시 안에 열노출 평가 방법론을 다양한 조건에서 시험할 수 있는 이질적인 건조·자연 환경을 포함한다. 한강이라는 대형 수공간, 서울숲· 어린이대공원과 같은 대형 녹지시설, 고층 건축 밀집지역과 저층 노후 주거지역, 대형 지하철 역사와 국지적 버스정류장이 혼재하는 대중교통 인프라가 갖춰져 있다. 또한 보행 이동의 실질적 목적지는 아니지만, 방법론이 극단적으로 다른 지표면·개방도 조건에서도 타당하게 작동하는지 확인할 수 있는 북한산·관악산과 같은 산림지역까지 포함되어 있다.</w:t>
      </w:r>
    </w:p>
    <w:p w14:paraId="49A1861E" w14:textId="77777777" w:rsidR="001B298D" w:rsidRPr="00207071" w:rsidRDefault="001B298D" w:rsidP="001B298D">
      <w:pPr>
        <w:pStyle w:val="a0"/>
        <w:rPr>
          <w:rFonts w:ascii="바탕체" w:eastAsia="바탕체" w:hAnsi="바탕체"/>
          <w:sz w:val="20"/>
          <w:szCs w:val="20"/>
          <w:lang w:eastAsia="ko-KR"/>
        </w:rPr>
      </w:pPr>
      <w:r w:rsidRPr="00207071">
        <w:rPr>
          <w:rFonts w:ascii="바탕체" w:eastAsia="바탕체" w:hAnsi="바탕체"/>
          <w:sz w:val="20"/>
          <w:szCs w:val="20"/>
        </w:rPr>
        <w:t>서울 25개 자치구 중 성동구(16.82km²)를 보조 연구지역으로 선정하였다. 성동구는 고가도로, 산림, 하천, 고층 건물, 저층 주거지역을 하나의 자치구 안에 모두 포함하고 있어, 서울 전역이 지닌 환경적 다양성의 축소판 역할을 한다. 이러한 특성 덕분에 서울 전역에서는 계산 비용상 실행하기 어려운 세밀한 검증(예: 1m 해상도 산출)을 성동구 단위에서 수행할 수 있다.</w:t>
      </w:r>
      <w:r w:rsidR="00391510" w:rsidRPr="00207071">
        <w:rPr>
          <w:rFonts w:ascii="바탕체" w:eastAsia="바탕체" w:hAnsi="바탕체" w:hint="eastAsia"/>
          <w:sz w:val="20"/>
          <w:szCs w:val="20"/>
          <w:lang w:eastAsia="ko-KR"/>
        </w:rPr>
        <w:t xml:space="preserve"> (교수님께서 보시고 </w:t>
      </w:r>
      <w:proofErr w:type="spellStart"/>
      <w:r w:rsidR="00391510" w:rsidRPr="00207071">
        <w:rPr>
          <w:rFonts w:ascii="바탕체" w:eastAsia="바탕체" w:hAnsi="바탕체" w:hint="eastAsia"/>
          <w:sz w:val="20"/>
          <w:szCs w:val="20"/>
          <w:lang w:eastAsia="ko-KR"/>
        </w:rPr>
        <w:t>빼도된다</w:t>
      </w:r>
      <w:proofErr w:type="spellEnd"/>
      <w:r w:rsidR="00391510" w:rsidRPr="00207071">
        <w:rPr>
          <w:rFonts w:ascii="바탕체" w:eastAsia="바탕체" w:hAnsi="바탕체" w:hint="eastAsia"/>
          <w:sz w:val="20"/>
          <w:szCs w:val="20"/>
          <w:lang w:eastAsia="ko-KR"/>
        </w:rPr>
        <w:t xml:space="preserve"> 생각하시면 제거) </w:t>
      </w:r>
    </w:p>
    <w:p w14:paraId="54A30C5B" w14:textId="77777777" w:rsidR="001B298D" w:rsidRPr="00207071" w:rsidRDefault="001B298D" w:rsidP="001B298D">
      <w:pPr>
        <w:pStyle w:val="a0"/>
        <w:rPr>
          <w:rFonts w:ascii="바탕체" w:eastAsia="바탕체" w:hAnsi="바탕체"/>
          <w:sz w:val="20"/>
          <w:szCs w:val="20"/>
        </w:rPr>
      </w:pPr>
      <w:r w:rsidRPr="00207071">
        <w:rPr>
          <w:rFonts w:ascii="바탕체" w:eastAsia="바탕체" w:hAnsi="바탕체"/>
          <w:sz w:val="20"/>
          <w:szCs w:val="20"/>
        </w:rPr>
        <w:t xml:space="preserve">서울(605.70km²)은 UTCI 기반 보행 접근성 관련 최근 선행연구의 대상 규모를 크게 상회한다. </w:t>
      </w:r>
      <w:proofErr w:type="spellStart"/>
      <w:r w:rsidRPr="00207071">
        <w:rPr>
          <w:rFonts w:ascii="바탕체" w:eastAsia="바탕체" w:hAnsi="바탕체"/>
          <w:sz w:val="20"/>
          <w:szCs w:val="20"/>
        </w:rPr>
        <w:t>Colaninno</w:t>
      </w:r>
      <w:proofErr w:type="spellEnd"/>
      <w:r w:rsidRPr="00207071">
        <w:rPr>
          <w:rFonts w:ascii="바탕체" w:eastAsia="바탕체" w:hAnsi="바탕체"/>
          <w:sz w:val="20"/>
          <w:szCs w:val="20"/>
        </w:rPr>
        <w:t xml:space="preserve"> </w:t>
      </w:r>
      <w:proofErr w:type="gramStart"/>
      <w:r w:rsidRPr="00207071">
        <w:rPr>
          <w:rFonts w:ascii="바탕체" w:eastAsia="바탕체" w:hAnsi="바탕체"/>
          <w:sz w:val="20"/>
          <w:szCs w:val="20"/>
        </w:rPr>
        <w:t>et al.(2024)의</w:t>
      </w:r>
      <w:proofErr w:type="gramEnd"/>
      <w:r w:rsidRPr="00207071">
        <w:rPr>
          <w:rFonts w:ascii="바탕체" w:eastAsia="바탕체" w:hAnsi="바탕체"/>
          <w:sz w:val="20"/>
          <w:szCs w:val="20"/>
        </w:rPr>
        <w:t xml:space="preserve"> 로스앤젤레스는 36km², Basu </w:t>
      </w:r>
      <w:proofErr w:type="gramStart"/>
      <w:r w:rsidRPr="00207071">
        <w:rPr>
          <w:rFonts w:ascii="바탕체" w:eastAsia="바탕체" w:hAnsi="바탕체"/>
          <w:sz w:val="20"/>
          <w:szCs w:val="20"/>
        </w:rPr>
        <w:t>et al.(2024)의</w:t>
      </w:r>
      <w:proofErr w:type="gramEnd"/>
      <w:r w:rsidRPr="00207071">
        <w:rPr>
          <w:rFonts w:ascii="바탕체" w:eastAsia="바탕체" w:hAnsi="바탕체"/>
          <w:sz w:val="20"/>
          <w:szCs w:val="20"/>
        </w:rPr>
        <w:t xml:space="preserve"> 보스턴은 125km², Buo </w:t>
      </w:r>
      <w:proofErr w:type="gramStart"/>
      <w:r w:rsidRPr="00207071">
        <w:rPr>
          <w:rFonts w:ascii="바탕체" w:eastAsia="바탕체" w:hAnsi="바탕체"/>
          <w:sz w:val="20"/>
          <w:szCs w:val="20"/>
        </w:rPr>
        <w:t>et al.(2026)의</w:t>
      </w:r>
      <w:proofErr w:type="gramEnd"/>
      <w:r w:rsidRPr="00207071">
        <w:rPr>
          <w:rFonts w:ascii="바탕체" w:eastAsia="바탕체" w:hAnsi="바탕체"/>
          <w:sz w:val="20"/>
          <w:szCs w:val="20"/>
        </w:rPr>
        <w:t xml:space="preserve"> ASU Tempe 캠퍼스는 7.01km², Aydin </w:t>
      </w:r>
      <w:proofErr w:type="gramStart"/>
      <w:r w:rsidRPr="00207071">
        <w:rPr>
          <w:rFonts w:ascii="바탕체" w:eastAsia="바탕체" w:hAnsi="바탕체"/>
          <w:sz w:val="20"/>
          <w:szCs w:val="20"/>
        </w:rPr>
        <w:t>et al.(2026)의</w:t>
      </w:r>
      <w:proofErr w:type="gramEnd"/>
      <w:r w:rsidRPr="00207071">
        <w:rPr>
          <w:rFonts w:ascii="바탕체" w:eastAsia="바탕체" w:hAnsi="바탕체"/>
          <w:sz w:val="20"/>
          <w:szCs w:val="20"/>
        </w:rPr>
        <w:t xml:space="preserve"> 싱가포르 </w:t>
      </w:r>
      <w:proofErr w:type="gramStart"/>
      <w:r w:rsidRPr="00207071">
        <w:rPr>
          <w:rFonts w:ascii="바탕체" w:eastAsia="바탕체" w:hAnsi="바탕체"/>
          <w:sz w:val="20"/>
          <w:szCs w:val="20"/>
        </w:rPr>
        <w:t>풍갈(</w:t>
      </w:r>
      <w:proofErr w:type="gramEnd"/>
      <w:r w:rsidRPr="00207071">
        <w:rPr>
          <w:rFonts w:ascii="바탕체" w:eastAsia="바탕체" w:hAnsi="바탕체"/>
          <w:sz w:val="20"/>
          <w:szCs w:val="20"/>
        </w:rPr>
        <w:t>Punggol) 지역은 112</w:t>
      </w:r>
      <w:proofErr w:type="gramStart"/>
      <w:r w:rsidRPr="00207071">
        <w:rPr>
          <w:rFonts w:ascii="바탕체" w:eastAsia="바탕체" w:hAnsi="바탕체"/>
          <w:sz w:val="20"/>
          <w:szCs w:val="20"/>
        </w:rPr>
        <w:t>ha(</w:t>
      </w:r>
      <w:proofErr w:type="gramEnd"/>
      <w:r w:rsidRPr="00207071">
        <w:rPr>
          <w:rFonts w:ascii="바탕체" w:eastAsia="바탕체" w:hAnsi="바탕체"/>
          <w:sz w:val="20"/>
          <w:szCs w:val="20"/>
        </w:rPr>
        <w:t>약 1.12km</w:t>
      </w:r>
      <w:proofErr w:type="gramStart"/>
      <w:r w:rsidRPr="00207071">
        <w:rPr>
          <w:rFonts w:ascii="바탕체" w:eastAsia="바탕체" w:hAnsi="바탕체"/>
          <w:sz w:val="20"/>
          <w:szCs w:val="20"/>
        </w:rPr>
        <w:t>²)에</w:t>
      </w:r>
      <w:proofErr w:type="gramEnd"/>
      <w:r w:rsidRPr="00207071">
        <w:rPr>
          <w:rFonts w:ascii="바탕체" w:eastAsia="바탕체" w:hAnsi="바탕체"/>
          <w:sz w:val="20"/>
          <w:szCs w:val="20"/>
        </w:rPr>
        <w:t xml:space="preserve"> </w:t>
      </w:r>
      <w:proofErr w:type="gramStart"/>
      <w:r w:rsidRPr="00207071">
        <w:rPr>
          <w:rFonts w:ascii="바탕체" w:eastAsia="바탕체" w:hAnsi="바탕체"/>
          <w:sz w:val="20"/>
          <w:szCs w:val="20"/>
        </w:rPr>
        <w:t>그친다(</w:t>
      </w:r>
      <w:proofErr w:type="gramEnd"/>
      <w:r w:rsidRPr="00207071">
        <w:rPr>
          <w:rFonts w:ascii="바탕체" w:eastAsia="바탕체" w:hAnsi="바탕체"/>
          <w:sz w:val="20"/>
          <w:szCs w:val="20"/>
        </w:rPr>
        <w:t>표 1). 서울은 이들 중 가장 넓은 보스턴보다도 약 4.8배, 가장 좁은 싱가포르 사례보다는 약 540배 넓다.</w:t>
      </w:r>
    </w:p>
    <w:p w14:paraId="0E1DE8A3" w14:textId="77777777" w:rsidR="003B6E21" w:rsidRPr="00207071" w:rsidRDefault="00000000">
      <w:pPr>
        <w:pStyle w:val="a0"/>
        <w:rPr>
          <w:rFonts w:ascii="바탕체" w:eastAsia="바탕체" w:hAnsi="바탕체"/>
          <w:sz w:val="20"/>
          <w:szCs w:val="20"/>
        </w:rPr>
      </w:pPr>
      <w:r w:rsidRPr="00207071">
        <w:rPr>
          <w:rFonts w:ascii="바탕체" w:eastAsia="바탕체" w:hAnsi="바탕체"/>
          <w:b/>
          <w:bCs/>
          <w:sz w:val="20"/>
          <w:szCs w:val="20"/>
        </w:rPr>
        <w:t>표 1.</w:t>
      </w:r>
      <w:r w:rsidRPr="00207071">
        <w:rPr>
          <w:rFonts w:ascii="바탕체" w:eastAsia="바탕체" w:hAnsi="바탕체"/>
          <w:sz w:val="20"/>
          <w:szCs w:val="20"/>
        </w:rPr>
        <w:t xml:space="preserve"> 선행연구와의 연구 지역 규모 및 결과 해상도 비교</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3B6E21" w:rsidRPr="00207071" w14:paraId="3B7BB725" w14:textId="77777777" w:rsidTr="003B6E21">
        <w:trPr>
          <w:cnfStyle w:val="100000000000" w:firstRow="1" w:lastRow="0" w:firstColumn="0" w:lastColumn="0" w:oddVBand="0" w:evenVBand="0" w:oddHBand="0" w:evenHBand="0" w:firstRowFirstColumn="0" w:firstRowLastColumn="0" w:lastRowFirstColumn="0" w:lastRowLastColumn="0"/>
          <w:tblHeader/>
        </w:trPr>
        <w:tc>
          <w:tcPr>
            <w:tcW w:w="1584" w:type="dxa"/>
          </w:tcPr>
          <w:p w14:paraId="2C72661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연구</w:t>
            </w:r>
          </w:p>
        </w:tc>
        <w:tc>
          <w:tcPr>
            <w:tcW w:w="1584" w:type="dxa"/>
          </w:tcPr>
          <w:p w14:paraId="3BC28480"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연구지역</w:t>
            </w:r>
          </w:p>
        </w:tc>
        <w:tc>
          <w:tcPr>
            <w:tcW w:w="1584" w:type="dxa"/>
          </w:tcPr>
          <w:p w14:paraId="3061F2AD"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면적</w:t>
            </w:r>
          </w:p>
        </w:tc>
        <w:tc>
          <w:tcPr>
            <w:tcW w:w="1584" w:type="dxa"/>
          </w:tcPr>
          <w:p w14:paraId="38A797F6"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서울 대비 면적 비율</w:t>
            </w:r>
          </w:p>
        </w:tc>
        <w:tc>
          <w:tcPr>
            <w:tcW w:w="1584" w:type="dxa"/>
          </w:tcPr>
          <w:p w14:paraId="107D8C4A"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계산 해상도</w:t>
            </w:r>
          </w:p>
        </w:tc>
      </w:tr>
      <w:tr w:rsidR="003B6E21" w:rsidRPr="00207071" w14:paraId="620529D4" w14:textId="77777777">
        <w:tc>
          <w:tcPr>
            <w:tcW w:w="1584" w:type="dxa"/>
          </w:tcPr>
          <w:p w14:paraId="142DCC21"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본 연구(서울, 메인)</w:t>
            </w:r>
          </w:p>
        </w:tc>
        <w:tc>
          <w:tcPr>
            <w:tcW w:w="1584" w:type="dxa"/>
          </w:tcPr>
          <w:p w14:paraId="3BFCBE9E"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서울</w:t>
            </w:r>
          </w:p>
        </w:tc>
        <w:tc>
          <w:tcPr>
            <w:tcW w:w="1584" w:type="dxa"/>
          </w:tcPr>
          <w:p w14:paraId="6A2988D0"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605.70 km²</w:t>
            </w:r>
          </w:p>
        </w:tc>
        <w:tc>
          <w:tcPr>
            <w:tcW w:w="1584" w:type="dxa"/>
          </w:tcPr>
          <w:p w14:paraId="56729676"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100.00%</w:t>
            </w:r>
          </w:p>
        </w:tc>
        <w:tc>
          <w:tcPr>
            <w:tcW w:w="1584" w:type="dxa"/>
          </w:tcPr>
          <w:p w14:paraId="0503133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5m</w:t>
            </w:r>
          </w:p>
        </w:tc>
      </w:tr>
      <w:tr w:rsidR="003B6E21" w:rsidRPr="00207071" w14:paraId="7290FD73" w14:textId="77777777">
        <w:tc>
          <w:tcPr>
            <w:tcW w:w="1584" w:type="dxa"/>
          </w:tcPr>
          <w:p w14:paraId="7B2285B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본 연구(성동구, 보조)</w:t>
            </w:r>
          </w:p>
        </w:tc>
        <w:tc>
          <w:tcPr>
            <w:tcW w:w="1584" w:type="dxa"/>
          </w:tcPr>
          <w:p w14:paraId="767116FF"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성동구</w:t>
            </w:r>
          </w:p>
        </w:tc>
        <w:tc>
          <w:tcPr>
            <w:tcW w:w="1584" w:type="dxa"/>
          </w:tcPr>
          <w:p w14:paraId="6B8C1A2A"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16.82 km²</w:t>
            </w:r>
          </w:p>
        </w:tc>
        <w:tc>
          <w:tcPr>
            <w:tcW w:w="1584" w:type="dxa"/>
          </w:tcPr>
          <w:p w14:paraId="78D49BE4"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2.78%</w:t>
            </w:r>
          </w:p>
        </w:tc>
        <w:tc>
          <w:tcPr>
            <w:tcW w:w="1584" w:type="dxa"/>
          </w:tcPr>
          <w:p w14:paraId="0F6D638E"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1/5/10/15/30m</w:t>
            </w:r>
          </w:p>
        </w:tc>
      </w:tr>
      <w:tr w:rsidR="003B6E21" w:rsidRPr="00207071" w14:paraId="3749C349" w14:textId="77777777">
        <w:tc>
          <w:tcPr>
            <w:tcW w:w="1584" w:type="dxa"/>
          </w:tcPr>
          <w:p w14:paraId="3F580DD4" w14:textId="77777777" w:rsidR="003B6E21" w:rsidRPr="00207071" w:rsidRDefault="00000000">
            <w:pPr>
              <w:pStyle w:val="Compact"/>
              <w:rPr>
                <w:rFonts w:ascii="바탕체" w:eastAsia="바탕체" w:hAnsi="바탕체"/>
                <w:sz w:val="20"/>
                <w:szCs w:val="20"/>
              </w:rPr>
            </w:pPr>
            <w:proofErr w:type="spellStart"/>
            <w:r w:rsidRPr="00207071">
              <w:rPr>
                <w:rFonts w:ascii="바탕체" w:eastAsia="바탕체" w:hAnsi="바탕체"/>
                <w:sz w:val="20"/>
                <w:szCs w:val="20"/>
              </w:rPr>
              <w:t>Colaninno</w:t>
            </w:r>
            <w:proofErr w:type="spellEnd"/>
            <w:r w:rsidRPr="00207071">
              <w:rPr>
                <w:rFonts w:ascii="바탕체" w:eastAsia="바탕체" w:hAnsi="바탕체"/>
                <w:sz w:val="20"/>
                <w:szCs w:val="20"/>
              </w:rPr>
              <w:t xml:space="preserve"> </w:t>
            </w:r>
            <w:proofErr w:type="gramStart"/>
            <w:r w:rsidRPr="00207071">
              <w:rPr>
                <w:rFonts w:ascii="바탕체" w:eastAsia="바탕체" w:hAnsi="바탕체"/>
                <w:sz w:val="20"/>
                <w:szCs w:val="20"/>
              </w:rPr>
              <w:t>et al.(</w:t>
            </w:r>
            <w:proofErr w:type="gramEnd"/>
            <w:r w:rsidRPr="00207071">
              <w:rPr>
                <w:rFonts w:ascii="바탕체" w:eastAsia="바탕체" w:hAnsi="바탕체"/>
                <w:sz w:val="20"/>
                <w:szCs w:val="20"/>
              </w:rPr>
              <w:t>2024)</w:t>
            </w:r>
          </w:p>
        </w:tc>
        <w:tc>
          <w:tcPr>
            <w:tcW w:w="1584" w:type="dxa"/>
          </w:tcPr>
          <w:p w14:paraId="30174AD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로스앤젤레스</w:t>
            </w:r>
          </w:p>
        </w:tc>
        <w:tc>
          <w:tcPr>
            <w:tcW w:w="1584" w:type="dxa"/>
          </w:tcPr>
          <w:p w14:paraId="089E14BD"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36 km²</w:t>
            </w:r>
          </w:p>
        </w:tc>
        <w:tc>
          <w:tcPr>
            <w:tcW w:w="1584" w:type="dxa"/>
          </w:tcPr>
          <w:p w14:paraId="338E3DD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5.94%</w:t>
            </w:r>
          </w:p>
        </w:tc>
        <w:tc>
          <w:tcPr>
            <w:tcW w:w="1584" w:type="dxa"/>
          </w:tcPr>
          <w:p w14:paraId="72E78798"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1m</w:t>
            </w:r>
          </w:p>
        </w:tc>
      </w:tr>
      <w:tr w:rsidR="003B6E21" w:rsidRPr="00207071" w14:paraId="1922F880" w14:textId="77777777">
        <w:tc>
          <w:tcPr>
            <w:tcW w:w="1584" w:type="dxa"/>
          </w:tcPr>
          <w:p w14:paraId="23D5A51B"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 xml:space="preserve">Basu </w:t>
            </w:r>
            <w:proofErr w:type="gramStart"/>
            <w:r w:rsidRPr="00207071">
              <w:rPr>
                <w:rFonts w:ascii="바탕체" w:eastAsia="바탕체" w:hAnsi="바탕체"/>
                <w:sz w:val="20"/>
                <w:szCs w:val="20"/>
              </w:rPr>
              <w:t>et al.(</w:t>
            </w:r>
            <w:proofErr w:type="gramEnd"/>
            <w:r w:rsidRPr="00207071">
              <w:rPr>
                <w:rFonts w:ascii="바탕체" w:eastAsia="바탕체" w:hAnsi="바탕체"/>
                <w:sz w:val="20"/>
                <w:szCs w:val="20"/>
              </w:rPr>
              <w:t>2024)</w:t>
            </w:r>
          </w:p>
        </w:tc>
        <w:tc>
          <w:tcPr>
            <w:tcW w:w="1584" w:type="dxa"/>
          </w:tcPr>
          <w:p w14:paraId="562BD1A0"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보스턴</w:t>
            </w:r>
          </w:p>
        </w:tc>
        <w:tc>
          <w:tcPr>
            <w:tcW w:w="1584" w:type="dxa"/>
          </w:tcPr>
          <w:p w14:paraId="6A15D8A4"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125 km²</w:t>
            </w:r>
          </w:p>
        </w:tc>
        <w:tc>
          <w:tcPr>
            <w:tcW w:w="1584" w:type="dxa"/>
          </w:tcPr>
          <w:p w14:paraId="6324EC8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20.64%</w:t>
            </w:r>
          </w:p>
        </w:tc>
        <w:tc>
          <w:tcPr>
            <w:tcW w:w="1584" w:type="dxa"/>
          </w:tcPr>
          <w:p w14:paraId="1A931F4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2.5m</w:t>
            </w:r>
          </w:p>
        </w:tc>
      </w:tr>
      <w:tr w:rsidR="003B6E21" w:rsidRPr="00207071" w14:paraId="2B7D9B96" w14:textId="77777777">
        <w:tc>
          <w:tcPr>
            <w:tcW w:w="1584" w:type="dxa"/>
          </w:tcPr>
          <w:p w14:paraId="6DA411F3"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 xml:space="preserve">Buo </w:t>
            </w:r>
            <w:proofErr w:type="gramStart"/>
            <w:r w:rsidRPr="00207071">
              <w:rPr>
                <w:rFonts w:ascii="바탕체" w:eastAsia="바탕체" w:hAnsi="바탕체"/>
                <w:sz w:val="20"/>
                <w:szCs w:val="20"/>
              </w:rPr>
              <w:t>et al.(</w:t>
            </w:r>
            <w:proofErr w:type="gramEnd"/>
            <w:r w:rsidRPr="00207071">
              <w:rPr>
                <w:rFonts w:ascii="바탕체" w:eastAsia="바탕체" w:hAnsi="바탕체"/>
                <w:sz w:val="20"/>
                <w:szCs w:val="20"/>
              </w:rPr>
              <w:t>2026)</w:t>
            </w:r>
          </w:p>
        </w:tc>
        <w:tc>
          <w:tcPr>
            <w:tcW w:w="1584" w:type="dxa"/>
          </w:tcPr>
          <w:p w14:paraId="4A51941C"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ASU Tempe 캠퍼스</w:t>
            </w:r>
          </w:p>
        </w:tc>
        <w:tc>
          <w:tcPr>
            <w:tcW w:w="1584" w:type="dxa"/>
          </w:tcPr>
          <w:p w14:paraId="36ABC12D"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7.01 km²</w:t>
            </w:r>
          </w:p>
        </w:tc>
        <w:tc>
          <w:tcPr>
            <w:tcW w:w="1584" w:type="dxa"/>
          </w:tcPr>
          <w:p w14:paraId="761EAE5D"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1.16%</w:t>
            </w:r>
          </w:p>
        </w:tc>
        <w:tc>
          <w:tcPr>
            <w:tcW w:w="1584" w:type="dxa"/>
          </w:tcPr>
          <w:p w14:paraId="12142FE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1m</w:t>
            </w:r>
          </w:p>
        </w:tc>
      </w:tr>
      <w:tr w:rsidR="003B6E21" w:rsidRPr="00207071" w14:paraId="3FFA482A" w14:textId="77777777">
        <w:tc>
          <w:tcPr>
            <w:tcW w:w="1584" w:type="dxa"/>
          </w:tcPr>
          <w:p w14:paraId="0CC6A2F6"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lastRenderedPageBreak/>
              <w:t xml:space="preserve">Aydin </w:t>
            </w:r>
            <w:proofErr w:type="gramStart"/>
            <w:r w:rsidRPr="00207071">
              <w:rPr>
                <w:rFonts w:ascii="바탕체" w:eastAsia="바탕체" w:hAnsi="바탕체"/>
                <w:sz w:val="20"/>
                <w:szCs w:val="20"/>
              </w:rPr>
              <w:t>et al.(</w:t>
            </w:r>
            <w:proofErr w:type="gramEnd"/>
            <w:r w:rsidRPr="00207071">
              <w:rPr>
                <w:rFonts w:ascii="바탕체" w:eastAsia="바탕체" w:hAnsi="바탕체"/>
                <w:sz w:val="20"/>
                <w:szCs w:val="20"/>
              </w:rPr>
              <w:t>2026)</w:t>
            </w:r>
          </w:p>
        </w:tc>
        <w:tc>
          <w:tcPr>
            <w:tcW w:w="1584" w:type="dxa"/>
          </w:tcPr>
          <w:p w14:paraId="3B666633"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싱가포르 풍갈(Punggol)</w:t>
            </w:r>
          </w:p>
        </w:tc>
        <w:tc>
          <w:tcPr>
            <w:tcW w:w="1584" w:type="dxa"/>
          </w:tcPr>
          <w:p w14:paraId="626B7A28"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1.12 km²</w:t>
            </w:r>
          </w:p>
        </w:tc>
        <w:tc>
          <w:tcPr>
            <w:tcW w:w="1584" w:type="dxa"/>
          </w:tcPr>
          <w:p w14:paraId="503A433F"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0.18%</w:t>
            </w:r>
          </w:p>
        </w:tc>
        <w:tc>
          <w:tcPr>
            <w:tcW w:w="1584" w:type="dxa"/>
          </w:tcPr>
          <w:p w14:paraId="6632A53F"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2m 간격</w:t>
            </w:r>
          </w:p>
        </w:tc>
      </w:tr>
    </w:tbl>
    <w:p w14:paraId="7FAF4AC5" w14:textId="77777777" w:rsidR="003B6E21" w:rsidRPr="00207071" w:rsidRDefault="00000000">
      <w:pPr>
        <w:pStyle w:val="3"/>
        <w:rPr>
          <w:rFonts w:ascii="바탕체" w:eastAsia="바탕체" w:hAnsi="바탕체"/>
          <w:sz w:val="20"/>
          <w:szCs w:val="20"/>
        </w:rPr>
      </w:pPr>
      <w:bookmarkStart w:id="1" w:name="data"/>
      <w:bookmarkEnd w:id="0"/>
      <w:r w:rsidRPr="00207071">
        <w:rPr>
          <w:rFonts w:ascii="바탕체" w:eastAsia="바탕체" w:hAnsi="바탕체"/>
          <w:sz w:val="20"/>
          <w:szCs w:val="20"/>
        </w:rPr>
        <w:t>2.2 Data</w:t>
      </w:r>
    </w:p>
    <w:p w14:paraId="02D46DC4" w14:textId="77777777" w:rsidR="002C416F" w:rsidRPr="00207071" w:rsidRDefault="00000000" w:rsidP="002C416F">
      <w:pPr>
        <w:pStyle w:val="FirstParagraph"/>
        <w:rPr>
          <w:rFonts w:ascii="바탕체" w:eastAsia="바탕체" w:hAnsi="바탕체"/>
          <w:sz w:val="20"/>
          <w:szCs w:val="20"/>
          <w:lang w:eastAsia="ko-KR"/>
        </w:rPr>
      </w:pPr>
      <w:r w:rsidRPr="00207071">
        <w:rPr>
          <w:rFonts w:ascii="바탕체" w:eastAsia="바탕체" w:hAnsi="바탕체"/>
          <w:sz w:val="20"/>
          <w:szCs w:val="20"/>
        </w:rPr>
        <w:t>본 연구는 지형·건조환경·수목·토지피복·기상·보행 네트워크 여섯 종류의 입력자료를 사용한다(그림 X). 지면 표고는 국토지리정보원의 1m 해상도 실측 DEM(공개제한 자료)을 사용하며, 오픈소스 Copernicus GLO-30(30m; European Space Agency, 2024) 기반 산출물과 비교</w:t>
      </w:r>
      <w:r w:rsidR="00445990" w:rsidRPr="00207071">
        <w:rPr>
          <w:rFonts w:ascii="바탕체" w:eastAsia="바탕체" w:hAnsi="바탕체" w:hint="eastAsia"/>
          <w:sz w:val="20"/>
          <w:szCs w:val="20"/>
          <w:lang w:eastAsia="ko-KR"/>
        </w:rPr>
        <w:t xml:space="preserve">해 </w:t>
      </w:r>
      <w:r w:rsidRPr="00207071">
        <w:rPr>
          <w:rFonts w:ascii="바탕체" w:eastAsia="바탕체" w:hAnsi="바탕체"/>
          <w:sz w:val="20"/>
          <w:szCs w:val="20"/>
        </w:rPr>
        <w:t xml:space="preserve">본 연구의 방법론이 제한된 접근 권한 없이도 재현 가능함을 </w:t>
      </w:r>
      <w:r w:rsidR="00445990" w:rsidRPr="00207071">
        <w:rPr>
          <w:rFonts w:ascii="바탕체" w:eastAsia="바탕체" w:hAnsi="바탕체" w:hint="eastAsia"/>
          <w:sz w:val="20"/>
          <w:szCs w:val="20"/>
          <w:lang w:eastAsia="ko-KR"/>
        </w:rPr>
        <w:t>확인한다</w:t>
      </w:r>
      <w:r w:rsidRPr="00207071">
        <w:rPr>
          <w:rFonts w:ascii="바탕체" w:eastAsia="바탕체" w:hAnsi="바탕체"/>
          <w:sz w:val="20"/>
          <w:szCs w:val="20"/>
        </w:rPr>
        <w:t xml:space="preserve">. </w:t>
      </w:r>
      <w:r w:rsidR="002C416F" w:rsidRPr="00207071">
        <w:rPr>
          <w:rFonts w:ascii="바탕체" w:eastAsia="바탕체" w:hAnsi="바탕체"/>
          <w:sz w:val="20"/>
          <w:szCs w:val="20"/>
        </w:rPr>
        <w:t>건물 높이는 건축물대장 실측 층수(층당 3m)로, 수목 캐노피는 산림청 임상도(1:5,000)의 실측 수고 값으로, 토지피복은 환경부 세분류(41클래스)를 UMEP 5클래스 체계로 재분류하여 산출한다(각 자료의 상세 처리 절차는 공개 코드 참고).</w:t>
      </w:r>
      <w:r w:rsidR="002C416F" w:rsidRPr="00207071">
        <w:rPr>
          <w:rFonts w:ascii="바탕체" w:eastAsia="바탕체" w:hAnsi="바탕체" w:hint="eastAsia"/>
          <w:sz w:val="20"/>
          <w:szCs w:val="20"/>
          <w:lang w:eastAsia="ko-KR"/>
        </w:rPr>
        <w:t xml:space="preserve"> </w:t>
      </w:r>
    </w:p>
    <w:p w14:paraId="2A83B7F8" w14:textId="77777777" w:rsidR="003B6E21" w:rsidRPr="00207071" w:rsidRDefault="00000000" w:rsidP="002C416F">
      <w:pPr>
        <w:pStyle w:val="FirstParagraph"/>
        <w:rPr>
          <w:rFonts w:ascii="바탕체" w:eastAsia="바탕체" w:hAnsi="바탕체"/>
          <w:sz w:val="20"/>
          <w:szCs w:val="20"/>
          <w:lang w:eastAsia="ko-KR"/>
        </w:rPr>
      </w:pPr>
      <w:r w:rsidRPr="00207071">
        <w:rPr>
          <w:rFonts w:ascii="바탕체" w:eastAsia="바탕체" w:hAnsi="바탕체"/>
          <w:sz w:val="20"/>
          <w:szCs w:val="20"/>
        </w:rPr>
        <w:t>분석 기간은 2025년 폭염일 12일(2025-07-23~08-03)이며, 06~19시 매 시각에 대해 12일간 값을 각각 평균하여 사용한다.</w:t>
      </w:r>
    </w:p>
    <w:p w14:paraId="1A356EAE" w14:textId="77777777" w:rsidR="003B6E21" w:rsidRPr="00207071" w:rsidRDefault="00000000">
      <w:pPr>
        <w:pStyle w:val="a0"/>
        <w:rPr>
          <w:rFonts w:ascii="바탕체" w:eastAsia="바탕체" w:hAnsi="바탕체"/>
          <w:sz w:val="20"/>
          <w:szCs w:val="20"/>
        </w:rPr>
      </w:pPr>
      <w:proofErr w:type="gramStart"/>
      <w:r w:rsidRPr="00207071">
        <w:rPr>
          <w:rFonts w:ascii="바탕체" w:eastAsia="바탕체" w:hAnsi="바탕체"/>
          <w:sz w:val="20"/>
          <w:szCs w:val="20"/>
        </w:rPr>
        <w:t>SOLWEIG(</w:t>
      </w:r>
      <w:proofErr w:type="gramEnd"/>
      <w:r w:rsidRPr="00207071">
        <w:rPr>
          <w:rFonts w:ascii="바탕체" w:eastAsia="바탕체" w:hAnsi="바탕체"/>
          <w:sz w:val="20"/>
          <w:szCs w:val="20"/>
        </w:rPr>
        <w:t xml:space="preserve">Lindberg et al., 2008; Lindberg et al., </w:t>
      </w:r>
      <w:proofErr w:type="gramStart"/>
      <w:r w:rsidRPr="00207071">
        <w:rPr>
          <w:rFonts w:ascii="바탕체" w:eastAsia="바탕체" w:hAnsi="바탕체"/>
          <w:sz w:val="20"/>
          <w:szCs w:val="20"/>
        </w:rPr>
        <w:t>2018)는</w:t>
      </w:r>
      <w:proofErr w:type="gramEnd"/>
      <w:r w:rsidRPr="00207071">
        <w:rPr>
          <w:rFonts w:ascii="바탕체" w:eastAsia="바탕체" w:hAnsi="바탕체"/>
          <w:sz w:val="20"/>
          <w:szCs w:val="20"/>
        </w:rPr>
        <w:t xml:space="preserve"> 도메인 전체에 단일 기상 시계열만 입력받는 구조적 제약이 있어, </w:t>
      </w:r>
      <w:proofErr w:type="spellStart"/>
      <w:r w:rsidRPr="00207071">
        <w:rPr>
          <w:rFonts w:ascii="바탕체" w:eastAsia="바탕체" w:hAnsi="바탕체"/>
          <w:sz w:val="20"/>
          <w:szCs w:val="20"/>
        </w:rPr>
        <w:t>Tmrt</w:t>
      </w:r>
      <w:proofErr w:type="spellEnd"/>
      <w:r w:rsidRPr="00207071">
        <w:rPr>
          <w:rFonts w:ascii="바탕체" w:eastAsia="바탕체" w:hAnsi="바탕체"/>
          <w:sz w:val="20"/>
          <w:szCs w:val="20"/>
        </w:rPr>
        <w:t xml:space="preserve"> 산출에는 도메인 대표 단일값 기상을 사용한다</w:t>
      </w:r>
      <w:r w:rsidR="00CD2FF1" w:rsidRPr="00207071">
        <w:rPr>
          <w:rFonts w:ascii="바탕체" w:eastAsia="바탕체" w:hAnsi="바탕체" w:hint="eastAsia"/>
          <w:sz w:val="20"/>
          <w:szCs w:val="20"/>
          <w:lang w:eastAsia="ko-KR"/>
        </w:rPr>
        <w:t xml:space="preserve">. </w:t>
      </w:r>
      <w:r w:rsidRPr="00207071">
        <w:rPr>
          <w:rFonts w:ascii="바탕체" w:eastAsia="바탕체" w:hAnsi="바탕체"/>
          <w:sz w:val="20"/>
          <w:szCs w:val="20"/>
        </w:rPr>
        <w:t xml:space="preserve"> </w:t>
      </w:r>
      <w:proofErr w:type="spellStart"/>
      <w:r w:rsidRPr="00207071">
        <w:rPr>
          <w:rFonts w:ascii="바탕체" w:eastAsia="바탕체" w:hAnsi="바탕체"/>
          <w:sz w:val="20"/>
          <w:szCs w:val="20"/>
        </w:rPr>
        <w:t>Ta·RH</w:t>
      </w:r>
      <w:proofErr w:type="spellEnd"/>
      <w:r w:rsidRPr="00207071">
        <w:rPr>
          <w:rFonts w:ascii="바탕체" w:eastAsia="바탕체" w:hAnsi="바탕체"/>
          <w:sz w:val="20"/>
          <w:szCs w:val="20"/>
        </w:rPr>
        <w:t xml:space="preserve">는 S-DoT 서울 전체 센서 단순평균, 풍속은 AWS 서울 전체 관측소(27개) 단순평균, 일사량은 ASOS 108(서울) 단일 관측소값이다. 이는 동일한 제약 하에서 SOLWEIG로 공간 MRT를 산출한 선행연구(Basu et al., 2024; </w:t>
      </w:r>
      <w:proofErr w:type="spellStart"/>
      <w:r w:rsidRPr="00207071">
        <w:rPr>
          <w:rFonts w:ascii="바탕체" w:eastAsia="바탕체" w:hAnsi="바탕체"/>
          <w:sz w:val="20"/>
          <w:szCs w:val="20"/>
        </w:rPr>
        <w:t>Colaninno</w:t>
      </w:r>
      <w:proofErr w:type="spellEnd"/>
      <w:r w:rsidRPr="00207071">
        <w:rPr>
          <w:rFonts w:ascii="바탕체" w:eastAsia="바탕체" w:hAnsi="바탕체"/>
          <w:sz w:val="20"/>
          <w:szCs w:val="20"/>
        </w:rPr>
        <w:t xml:space="preserve"> et al., </w:t>
      </w:r>
      <w:proofErr w:type="gramStart"/>
      <w:r w:rsidRPr="00207071">
        <w:rPr>
          <w:rFonts w:ascii="바탕체" w:eastAsia="바탕체" w:hAnsi="바탕체"/>
          <w:sz w:val="20"/>
          <w:szCs w:val="20"/>
        </w:rPr>
        <w:t>2024)의</w:t>
      </w:r>
      <w:proofErr w:type="gramEnd"/>
      <w:r w:rsidRPr="00207071">
        <w:rPr>
          <w:rFonts w:ascii="바탕체" w:eastAsia="바탕체" w:hAnsi="바탕체"/>
          <w:sz w:val="20"/>
          <w:szCs w:val="20"/>
        </w:rPr>
        <w:t xml:space="preserve"> 접근과 같다. </w:t>
      </w:r>
      <w:r w:rsidR="00CD2FF1" w:rsidRPr="00207071">
        <w:rPr>
          <w:rFonts w:ascii="바탕체" w:eastAsia="바탕체" w:hAnsi="바탕체" w:hint="eastAsia"/>
          <w:sz w:val="20"/>
          <w:szCs w:val="20"/>
          <w:lang w:eastAsia="ko-KR"/>
        </w:rPr>
        <w:t xml:space="preserve">그러나, </w:t>
      </w:r>
      <w:r w:rsidRPr="00207071">
        <w:rPr>
          <w:rFonts w:ascii="바탕체" w:eastAsia="바탕체" w:hAnsi="바탕체"/>
          <w:sz w:val="20"/>
          <w:szCs w:val="20"/>
        </w:rPr>
        <w:t>UTCI 산출 단계에서</w:t>
      </w:r>
      <w:r w:rsidR="00CD2FF1" w:rsidRPr="00207071">
        <w:rPr>
          <w:rFonts w:ascii="바탕체" w:eastAsia="바탕체" w:hAnsi="바탕체" w:hint="eastAsia"/>
          <w:sz w:val="20"/>
          <w:szCs w:val="20"/>
          <w:lang w:eastAsia="ko-KR"/>
        </w:rPr>
        <w:t>는 선행연구들과 달리 연구지역 스케일의 확장으로 인해 기상요인의 공간적 차이에 따른 영향을 반영하고자,</w:t>
      </w:r>
      <w:r w:rsidRPr="00207071">
        <w:rPr>
          <w:rFonts w:ascii="바탕체" w:eastAsia="바탕체" w:hAnsi="바탕체"/>
          <w:sz w:val="20"/>
          <w:szCs w:val="20"/>
        </w:rPr>
        <w:t xml:space="preserve"> 기온·상대습도·풍속을 기상청 API 허브의 500m 해상도 융합기상 격자자료로 링크별 공간화하여 투입한다. </w:t>
      </w:r>
      <w:r w:rsidR="00CD2FF1" w:rsidRPr="00207071">
        <w:rPr>
          <w:rFonts w:ascii="바탕체" w:eastAsia="바탕체" w:hAnsi="바탕체" w:hint="eastAsia"/>
          <w:sz w:val="20"/>
          <w:szCs w:val="20"/>
          <w:lang w:eastAsia="ko-KR"/>
        </w:rPr>
        <w:t xml:space="preserve">보행 네트워크는 서울시 도보 네트워크 API 및 </w:t>
      </w:r>
      <w:r w:rsidR="00CD2FF1" w:rsidRPr="00207071">
        <w:rPr>
          <w:rFonts w:ascii="바탕체" w:eastAsia="바탕체" w:hAnsi="바탕체"/>
          <w:sz w:val="20"/>
          <w:szCs w:val="20"/>
          <w:lang w:eastAsia="ko-KR"/>
        </w:rPr>
        <w:t>OpenStreetMap</w:t>
      </w:r>
      <w:r w:rsidR="00CD2FF1" w:rsidRPr="00207071">
        <w:rPr>
          <w:rFonts w:ascii="바탕체" w:eastAsia="바탕체" w:hAnsi="바탕체" w:hint="eastAsia"/>
          <w:sz w:val="20"/>
          <w:szCs w:val="20"/>
          <w:lang w:eastAsia="ko-KR"/>
        </w:rPr>
        <w:t>(</w:t>
      </w:r>
      <w:r w:rsidR="00CD2FF1" w:rsidRPr="00207071">
        <w:rPr>
          <w:rFonts w:ascii="바탕체" w:eastAsia="바탕체" w:hAnsi="바탕체"/>
          <w:sz w:val="20"/>
          <w:szCs w:val="20"/>
          <w:lang w:eastAsia="ko-KR"/>
        </w:rPr>
        <w:t>Boeing, 2017)</w:t>
      </w:r>
      <w:r w:rsidR="00CD2FF1" w:rsidRPr="00207071">
        <w:rPr>
          <w:rFonts w:ascii="바탕체" w:eastAsia="바탕체" w:hAnsi="바탕체" w:hint="eastAsia"/>
          <w:sz w:val="20"/>
          <w:szCs w:val="20"/>
          <w:lang w:eastAsia="ko-KR"/>
        </w:rPr>
        <w:t>을 사용한다.</w:t>
      </w:r>
    </w:p>
    <w:p w14:paraId="0EE3BB91" w14:textId="77777777" w:rsidR="003D0E4C" w:rsidRPr="00207071" w:rsidRDefault="003D0E4C">
      <w:pPr>
        <w:pStyle w:val="3"/>
        <w:rPr>
          <w:rFonts w:ascii="바탕체" w:eastAsia="바탕체" w:hAnsi="바탕체" w:cstheme="minorBidi"/>
          <w:b/>
          <w:bCs/>
          <w:color w:val="auto"/>
          <w:sz w:val="20"/>
          <w:szCs w:val="20"/>
        </w:rPr>
      </w:pPr>
      <w:bookmarkStart w:id="2" w:name="code-and-data-availability"/>
      <w:bookmarkEnd w:id="1"/>
      <w:r w:rsidRPr="00207071">
        <w:rPr>
          <w:rFonts w:ascii="Segoe UI Symbol" w:eastAsia="바탕체" w:hAnsi="Segoe UI Symbol" w:cs="Segoe UI Symbol"/>
          <w:b/>
          <w:bCs/>
          <w:color w:val="auto"/>
          <w:sz w:val="20"/>
          <w:szCs w:val="20"/>
        </w:rPr>
        <w:t>▎</w:t>
      </w:r>
      <w:r w:rsidRPr="00207071">
        <w:rPr>
          <w:rFonts w:ascii="바탕체" w:eastAsia="바탕체" w:hAnsi="바탕체" w:cstheme="minorBidi"/>
          <w:b/>
          <w:bCs/>
          <w:color w:val="auto"/>
          <w:sz w:val="20"/>
          <w:szCs w:val="20"/>
        </w:rPr>
        <w:t xml:space="preserve"> [그림 X 자리 — 입력데이터 레이어 시각화(등각투영, 성동구 기준): DEM, 건물높이(DSM), 수목캐노피, 토지피복, 보행네트워크+정류장을 레이어별로 제시. 기상은 공간 레이어가 아니라 별도 방식으로 표기 — MRT용 기상(</w:t>
      </w:r>
      <w:proofErr w:type="spellStart"/>
      <w:r w:rsidRPr="00207071">
        <w:rPr>
          <w:rFonts w:ascii="바탕체" w:eastAsia="바탕체" w:hAnsi="바탕체" w:cstheme="minorBidi"/>
          <w:b/>
          <w:bCs/>
          <w:color w:val="auto"/>
          <w:sz w:val="20"/>
          <w:szCs w:val="20"/>
        </w:rPr>
        <w:t>Ta·RH</w:t>
      </w:r>
      <w:proofErr w:type="spellEnd"/>
      <w:r w:rsidRPr="00207071">
        <w:rPr>
          <w:rFonts w:ascii="바탕체" w:eastAsia="바탕체" w:hAnsi="바탕체" w:cstheme="minorBidi"/>
          <w:b/>
          <w:bCs/>
          <w:color w:val="auto"/>
          <w:sz w:val="20"/>
          <w:szCs w:val="20"/>
        </w:rPr>
        <w:t>·풍속)은 도메인 대표 단일값이므로 수치 패널로, UTCI용 기상(KMA 500m 격자)은 공간적으로 변하는 값이므로 격자 지도로 별도 제시(발표용_20260805/2d/</w:t>
      </w:r>
      <w:proofErr w:type="spellStart"/>
      <w:r w:rsidRPr="00207071">
        <w:rPr>
          <w:rFonts w:ascii="바탕체" w:eastAsia="바탕체" w:hAnsi="바탕체" w:cstheme="minorBidi"/>
          <w:b/>
          <w:bCs/>
          <w:color w:val="auto"/>
          <w:sz w:val="20"/>
          <w:szCs w:val="20"/>
        </w:rPr>
        <w:t>kma_weather</w:t>
      </w:r>
      <w:proofErr w:type="spellEnd"/>
      <w:r w:rsidRPr="00207071">
        <w:rPr>
          <w:rFonts w:ascii="바탕체" w:eastAsia="바탕체" w:hAnsi="바탕체" w:cstheme="minorBidi"/>
          <w:b/>
          <w:bCs/>
          <w:color w:val="auto"/>
          <w:sz w:val="20"/>
          <w:szCs w:val="20"/>
        </w:rPr>
        <w:t>/ 기존 산출물 재활용 가능). 삽입 예정 — 표2(입력자료 요약)를 대체]</w:t>
      </w:r>
    </w:p>
    <w:p w14:paraId="519F5F8C" w14:textId="77777777" w:rsidR="003B6E21" w:rsidRPr="00207071" w:rsidRDefault="00000000">
      <w:pPr>
        <w:pStyle w:val="3"/>
        <w:rPr>
          <w:rFonts w:ascii="바탕체" w:eastAsia="바탕체" w:hAnsi="바탕체"/>
          <w:sz w:val="20"/>
          <w:szCs w:val="20"/>
          <w:lang w:eastAsia="ko-KR"/>
        </w:rPr>
      </w:pPr>
      <w:r w:rsidRPr="00207071">
        <w:rPr>
          <w:rFonts w:ascii="바탕체" w:eastAsia="바탕체" w:hAnsi="바탕체"/>
          <w:sz w:val="20"/>
          <w:szCs w:val="20"/>
        </w:rPr>
        <w:t>2.3 Code and Data Availability</w:t>
      </w:r>
      <w:r w:rsidR="00FD30E2" w:rsidRPr="00207071">
        <w:rPr>
          <w:rFonts w:ascii="바탕체" w:eastAsia="바탕체" w:hAnsi="바탕체" w:hint="eastAsia"/>
          <w:sz w:val="20"/>
          <w:szCs w:val="20"/>
          <w:lang w:eastAsia="ko-KR"/>
        </w:rPr>
        <w:t xml:space="preserve">(논문 </w:t>
      </w:r>
      <w:proofErr w:type="spellStart"/>
      <w:r w:rsidR="00FD30E2" w:rsidRPr="00207071">
        <w:rPr>
          <w:rFonts w:ascii="바탕체" w:eastAsia="바탕체" w:hAnsi="바탕체" w:hint="eastAsia"/>
          <w:sz w:val="20"/>
          <w:szCs w:val="20"/>
          <w:lang w:eastAsia="ko-KR"/>
        </w:rPr>
        <w:t>다쓰고</w:t>
      </w:r>
      <w:proofErr w:type="spellEnd"/>
      <w:r w:rsidR="00FD30E2" w:rsidRPr="00207071">
        <w:rPr>
          <w:rFonts w:ascii="바탕체" w:eastAsia="바탕체" w:hAnsi="바탕체" w:hint="eastAsia"/>
          <w:sz w:val="20"/>
          <w:szCs w:val="20"/>
          <w:lang w:eastAsia="ko-KR"/>
        </w:rPr>
        <w:t xml:space="preserve"> 마지막에 꼭 만들자. 까먹지 말기)</w:t>
      </w:r>
    </w:p>
    <w:p w14:paraId="6A216EB3"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본 연구에서 실제로 쓴 전처리·산출 코드는 GitHub에 공개한다</w:t>
      </w:r>
      <w:r w:rsidRPr="00207071">
        <w:rPr>
          <w:rFonts w:ascii="바탕체" w:eastAsia="바탕체" w:hAnsi="바탕체"/>
          <w:sz w:val="20"/>
          <w:szCs w:val="20"/>
          <w:highlight w:val="yellow"/>
        </w:rPr>
        <w:t>(저장소 URL 확정 예정)</w:t>
      </w:r>
      <w:r w:rsidRPr="00207071">
        <w:rPr>
          <w:rFonts w:ascii="바탕체" w:eastAsia="바탕체" w:hAnsi="바탕체"/>
          <w:sz w:val="20"/>
          <w:szCs w:val="20"/>
        </w:rPr>
        <w:t>. 제한된 접근 권한이 필요한 자료(국토지리정보원 1m DEM, 서울시 도보 네트워크 API 등)는 저장소에 원자료 자체를 포함하지 않으며, 대신 오픈데이터만으로 응봉역·성수역 사례를 전처리부터 SEAR 산출까지 end-to-end로 재현하는 Jupyter 노트북을 별도로 제공한다. SOLWEIG 산출 단계는 QGIS/UMEP 환경이 필요해 노트북 자체에서 실행되지 않으며, 별도 스크립트 실행 안내와 함께 그 결과물을 노트북에 불러와 이후 단계 (UTCI 산출→이진적 제거→SEAR 산출)를 이어서 실행할 수 있도록 구성한다.</w:t>
      </w:r>
    </w:p>
    <w:p w14:paraId="1FA0B800" w14:textId="77777777" w:rsidR="003B6E21" w:rsidRPr="00207071" w:rsidRDefault="003D0E4C">
      <w:pPr>
        <w:rPr>
          <w:rFonts w:ascii="바탕체" w:eastAsia="바탕체" w:hAnsi="바탕체"/>
          <w:sz w:val="20"/>
          <w:szCs w:val="20"/>
        </w:rPr>
      </w:pPr>
      <w:r w:rsidRPr="00207071">
        <w:rPr>
          <w:rFonts w:ascii="바탕체" w:eastAsia="바탕체" w:hAnsi="바탕체"/>
          <w:noProof/>
          <w:sz w:val="20"/>
          <w:szCs w:val="20"/>
        </w:rPr>
        <mc:AlternateContent>
          <mc:Choice Requires="wps">
            <w:drawing>
              <wp:inline distT="0" distB="0" distL="0" distR="0" wp14:anchorId="6A03EF70" wp14:editId="1A915611">
                <wp:extent cx="5943600" cy="13970"/>
                <wp:effectExtent l="0" t="0" r="0" b="0"/>
                <wp:docPr id="753255380"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B62327F"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73BF8BD9"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b/>
          <w:bCs/>
          <w:sz w:val="20"/>
          <w:szCs w:val="20"/>
        </w:rPr>
        <w:t>3. Methods</w:t>
      </w:r>
    </w:p>
    <w:p w14:paraId="1664F859"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 xml:space="preserve">본 연구는 과열 링크의 이진적 제거를 통해 열노출을 반영하는 보행 네트워크를 수정하는 절차를 제안한다. 그 결과로 산출되는 열노출 반영 보행 네트워크를 SEAR(Stress-Exposure Adjusted Reach)로 명명한다. 본 연구에서는 누적기회형 접근성 측정치 중 단순한 방법인 </w:t>
      </w:r>
      <w:r w:rsidRPr="00207071">
        <w:rPr>
          <w:rFonts w:ascii="바탕체" w:eastAsia="바탕체" w:hAnsi="바탕체"/>
          <w:sz w:val="20"/>
          <w:szCs w:val="20"/>
          <w:highlight w:val="yellow"/>
        </w:rPr>
        <w:t>컨투어 메저(</w:t>
      </w:r>
      <w:proofErr w:type="spellStart"/>
      <w:r w:rsidRPr="00207071">
        <w:rPr>
          <w:rFonts w:ascii="바탕체" w:eastAsia="바탕체" w:hAnsi="바탕체"/>
          <w:sz w:val="20"/>
          <w:szCs w:val="20"/>
          <w:highlight w:val="yellow"/>
        </w:rPr>
        <w:t>Geurs</w:t>
      </w:r>
      <w:proofErr w:type="spellEnd"/>
      <w:r w:rsidRPr="00207071">
        <w:rPr>
          <w:rFonts w:ascii="바탕체" w:eastAsia="바탕체" w:hAnsi="바탕체"/>
          <w:sz w:val="20"/>
          <w:szCs w:val="20"/>
          <w:highlight w:val="yellow"/>
        </w:rPr>
        <w:t xml:space="preserve"> </w:t>
      </w:r>
      <w:r w:rsidRPr="00207071">
        <w:rPr>
          <w:rFonts w:ascii="바탕체" w:eastAsia="바탕체" w:hAnsi="바탕체"/>
          <w:sz w:val="20"/>
          <w:szCs w:val="20"/>
          <w:highlight w:val="yellow"/>
        </w:rPr>
        <w:lastRenderedPageBreak/>
        <w:t>and van Wee, 2004)</w:t>
      </w:r>
      <w:r w:rsidRPr="00207071">
        <w:rPr>
          <w:rFonts w:ascii="바탕체" w:eastAsia="바탕체" w:hAnsi="바탕체"/>
          <w:sz w:val="20"/>
          <w:szCs w:val="20"/>
        </w:rPr>
        <w:t>를 통해 SEAR의 활용을 예시로 보인다. 본 연구의 절차는 도달 가능 영역 개념을 차용하는 다른 접근성 측정 방법에도 동일하게 적용 가능하다. 이 절차는 MRT 산출, UTCI 계산, 과열 링크의 이진적 제거, 컨투어 메저 기반 접근성 비교 단계로 구성된 방법론적 파이프라인으로 구현된다(그림 1). 아래에서는 §2(Case Study)에서 소개한 서울·성동구 데이터에 이 절차를 적용한 구체적 산출 방법을 순서대로 기술한다.</w:t>
      </w:r>
    </w:p>
    <w:p w14:paraId="3A983331" w14:textId="77777777" w:rsidR="003B6E21" w:rsidRPr="00207071" w:rsidRDefault="00000000">
      <w:pPr>
        <w:pStyle w:val="a0"/>
        <w:rPr>
          <w:rFonts w:ascii="바탕체" w:eastAsia="바탕체" w:hAnsi="바탕체"/>
          <w:sz w:val="20"/>
          <w:szCs w:val="20"/>
        </w:rPr>
      </w:pPr>
      <w:r w:rsidRPr="00207071">
        <w:rPr>
          <w:rFonts w:ascii="바탕체" w:eastAsia="바탕체" w:hAnsi="바탕체"/>
          <w:b/>
          <w:bCs/>
          <w:sz w:val="20"/>
          <w:szCs w:val="20"/>
          <w:highlight w:val="yellow"/>
        </w:rPr>
        <w:t>[그림 1 — 파이프라인 모식도: 삽입 예정]</w:t>
      </w:r>
    </w:p>
    <w:p w14:paraId="7BF0B5DD" w14:textId="77777777" w:rsidR="003B6E21" w:rsidRPr="00207071" w:rsidRDefault="00000000">
      <w:pPr>
        <w:pStyle w:val="3"/>
        <w:rPr>
          <w:rFonts w:ascii="바탕체" w:eastAsia="바탕체" w:hAnsi="바탕체"/>
          <w:sz w:val="20"/>
          <w:szCs w:val="20"/>
        </w:rPr>
      </w:pPr>
      <w:bookmarkStart w:id="3" w:name="mrt-estimation-solweig"/>
      <w:bookmarkEnd w:id="2"/>
      <w:r w:rsidRPr="00207071">
        <w:rPr>
          <w:rFonts w:ascii="바탕체" w:eastAsia="바탕체" w:hAnsi="바탕체"/>
          <w:sz w:val="20"/>
          <w:szCs w:val="20"/>
        </w:rPr>
        <w:t>3.1 MRT Estimation (SOLWEIG)</w:t>
      </w:r>
    </w:p>
    <w:p w14:paraId="5C7DE209"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 xml:space="preserve">MRT는 SOLWEIG(Solar and </w:t>
      </w:r>
      <w:proofErr w:type="spellStart"/>
      <w:r w:rsidRPr="00207071">
        <w:rPr>
          <w:rFonts w:ascii="바탕체" w:eastAsia="바탕체" w:hAnsi="바탕체"/>
          <w:sz w:val="20"/>
          <w:szCs w:val="20"/>
        </w:rPr>
        <w:t>LongWave</w:t>
      </w:r>
      <w:proofErr w:type="spellEnd"/>
      <w:r w:rsidRPr="00207071">
        <w:rPr>
          <w:rFonts w:ascii="바탕체" w:eastAsia="바탕체" w:hAnsi="바탕체"/>
          <w:sz w:val="20"/>
          <w:szCs w:val="20"/>
        </w:rPr>
        <w:t xml:space="preserve"> Environmental Irradiance Geometry; Lindberg et al., 2008)로 산출한다. SOLWEIG는 DSM에서 픽셀 단위로 하늘시야율(Sky View Factor)과 그림자 패턴을 계산해 6방향 단파·장파 복사 플럭스를 합산하는 방식으로 MRT의 공간 분포를 산출하며, 예테보리 현장 검증에서 R²=0.94, RMSE=4.8K의 성능을 보였다. Lindberg &amp; Grimmond(2011)는 캐노피·수간부를 별도 DSM으로 분리 입력하는 식생 스킴을 추가해 SOLWEIG 2.0으로 발전시켰다(R²=0.91, RMSE=3.1K). 본 연구는 UMEP SOLWEIG 처리도구의 기본 투과율(τ=0.03)을 그대로 적용하였다 (</w:t>
      </w:r>
      <w:r w:rsidRPr="00207071">
        <w:rPr>
          <w:rFonts w:ascii="Apple Color Emoji" w:eastAsia="바탕체" w:hAnsi="Apple Color Emoji" w:cs="Apple Color Emoji"/>
          <w:sz w:val="20"/>
          <w:szCs w:val="20"/>
        </w:rPr>
        <w:t>⚠️</w:t>
      </w:r>
      <w:r w:rsidRPr="00207071">
        <w:rPr>
          <w:rFonts w:ascii="바탕체" w:eastAsia="바탕체" w:hAnsi="바탕체"/>
          <w:sz w:val="20"/>
          <w:szCs w:val="20"/>
        </w:rPr>
        <w:t xml:space="preserve"> 0.03 자체의 문헌 근거는 미확보 — 서치 필요). SOLWEIG는 QGIS 기반 오픈소스 플랫폼 UMEP(Lindberg et al., 2018)에 통합 배포되며, 본 연구는 이 배포판의 SOLWEIG 알고리즘을 수정 없이 그대로 사용한다.</w:t>
      </w:r>
    </w:p>
    <w:p w14:paraId="64554BC2" w14:textId="77777777" w:rsidR="003B6E21" w:rsidRPr="00207071" w:rsidRDefault="00000000">
      <w:pPr>
        <w:pStyle w:val="4"/>
        <w:rPr>
          <w:rFonts w:ascii="바탕체" w:eastAsia="바탕체" w:hAnsi="바탕체"/>
          <w:sz w:val="20"/>
          <w:szCs w:val="20"/>
        </w:rPr>
      </w:pPr>
      <w:bookmarkStart w:id="4" w:name="태양기하학-기반-버퍼-타일링"/>
      <w:r w:rsidRPr="00207071">
        <w:rPr>
          <w:rFonts w:ascii="바탕체" w:eastAsia="바탕체" w:hAnsi="바탕체"/>
          <w:sz w:val="20"/>
          <w:szCs w:val="20"/>
        </w:rPr>
        <w:t>3.1.1 태양기하학 기반 버퍼 타일링</w:t>
      </w:r>
    </w:p>
    <w:p w14:paraId="37483F2C"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 xml:space="preserve">UMEP SOLWEIG 알고리즘은 DSM·CDSM·토지피복·SVF 등 모든 입력 래스터를 </w:t>
      </w:r>
      <w:proofErr w:type="spellStart"/>
      <w:r w:rsidRPr="00207071">
        <w:rPr>
          <w:rStyle w:val="VerbatimChar"/>
          <w:rFonts w:ascii="바탕체" w:eastAsia="바탕체" w:hAnsi="바탕체"/>
          <w:sz w:val="20"/>
          <w:szCs w:val="20"/>
        </w:rPr>
        <w:t>ReadAsArray</w:t>
      </w:r>
      <w:proofErr w:type="spellEnd"/>
      <w:r w:rsidRPr="00207071">
        <w:rPr>
          <w:rStyle w:val="VerbatimChar"/>
          <w:rFonts w:ascii="바탕체" w:eastAsia="바탕체" w:hAnsi="바탕체"/>
          <w:sz w:val="20"/>
          <w:szCs w:val="20"/>
        </w:rPr>
        <w:t>()</w:t>
      </w:r>
      <w:r w:rsidRPr="00207071">
        <w:rPr>
          <w:rFonts w:ascii="바탕체" w:eastAsia="바탕체" w:hAnsi="바탕체"/>
          <w:sz w:val="20"/>
          <w:szCs w:val="20"/>
        </w:rPr>
        <w:t>(GDAL)로 한 번에 전체를 메모리에 올려 계산하며, 코드 전체에 도메인을 타일·청크 단위로 나눠 처리하는 로직이 없다 (</w:t>
      </w:r>
      <w:r w:rsidRPr="00207071">
        <w:rPr>
          <w:rStyle w:val="VerbatimChar"/>
          <w:rFonts w:ascii="바탕체" w:eastAsia="바탕체" w:hAnsi="바탕체"/>
          <w:sz w:val="20"/>
          <w:szCs w:val="20"/>
        </w:rPr>
        <w:t>processing_umep/processor/solweig_algorithm.py</w:t>
      </w:r>
      <w:r w:rsidRPr="00207071">
        <w:rPr>
          <w:rFonts w:ascii="바탕체" w:eastAsia="바탕체" w:hAnsi="바탕체"/>
          <w:sz w:val="20"/>
          <w:szCs w:val="20"/>
        </w:rPr>
        <w:t xml:space="preserve"> 직접 확인). 실제로 무타일 상태로 성동구 1m 해상도를 시도한 결과 SOLWEIG가 메모리 부족 (OOM)으로 실행되지 않았고, 2분할로도 동일하게 실패해 9분할까지 나눈 뒤에야 전량 성공하였다. 이는 본 연구만의 제약이 아니다 — 도시 규모 SOLWEIG 실행은 이 분야에서 아직 풀리지 않은 과제로 지적된다 (Buo et al., 2026, 캠퍼스 규모 ASU Tempe 7.01km²에서도 32GB RAM·약 4시간 소요; 선행연구와의 상세 비교는 Discussion 참고).</w:t>
      </w:r>
    </w:p>
    <w:p w14:paraId="69AC51D3"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 xml:space="preserve">본 연구는 SOLWEIG 알고리즘 자체는 수정하지 않고, 태양기하학으로 유도한 버퍼 타일링만으로 이 문제를 해결하였다(그림 2). 타일 경계 버퍼거리 </w:t>
      </w:r>
      <m:oMath>
        <m:sSub>
          <m:sSubPr>
            <m:ctrlPr>
              <w:rPr>
                <w:rFonts w:ascii="Cambria Math" w:eastAsia="바탕체" w:hAnsi="Cambria Math"/>
                <w:sz w:val="20"/>
                <w:szCs w:val="20"/>
              </w:rPr>
            </m:ctrlPr>
          </m:sSubPr>
          <m:e>
            <m:r>
              <w:rPr>
                <w:rFonts w:ascii="Cambria Math" w:eastAsia="바탕체" w:hAnsi="Cambria Math"/>
                <w:sz w:val="20"/>
                <w:szCs w:val="20"/>
              </w:rPr>
              <m:t>d</m:t>
            </m:r>
          </m:e>
          <m:sub>
            <m:r>
              <w:rPr>
                <w:rFonts w:ascii="Cambria Math" w:eastAsia="바탕체" w:hAnsi="Cambria Math"/>
                <w:sz w:val="20"/>
                <w:szCs w:val="20"/>
              </w:rPr>
              <m:t>buffer</m:t>
            </m:r>
          </m:sub>
        </m:sSub>
      </m:oMath>
      <w:r w:rsidRPr="00207071">
        <w:rPr>
          <w:rFonts w:ascii="바탕체" w:eastAsia="바탕체" w:hAnsi="바탕체"/>
          <w:sz w:val="20"/>
          <w:szCs w:val="20"/>
        </w:rPr>
        <w:t>는 그림자가 인접 타일로 도달할 수 있는 최대 수평거리를 태양기하학으로부터 직접 유도한다:</w:t>
      </w:r>
    </w:p>
    <w:p w14:paraId="12CBF980" w14:textId="77777777" w:rsidR="003B6E21" w:rsidRPr="00207071" w:rsidRDefault="00000000">
      <w:pPr>
        <w:pStyle w:val="a0"/>
        <w:rPr>
          <w:rFonts w:ascii="바탕체" w:eastAsia="바탕체" w:hAnsi="바탕체"/>
          <w:sz w:val="20"/>
          <w:szCs w:val="20"/>
        </w:rPr>
      </w:pPr>
      <m:oMathPara>
        <m:oMathParaPr>
          <m:jc m:val="center"/>
        </m:oMathParaPr>
        <m:oMath>
          <m:sSub>
            <m:sSubPr>
              <m:ctrlPr>
                <w:rPr>
                  <w:rFonts w:ascii="Cambria Math" w:eastAsia="바탕체" w:hAnsi="Cambria Math"/>
                  <w:sz w:val="20"/>
                  <w:szCs w:val="20"/>
                </w:rPr>
              </m:ctrlPr>
            </m:sSubPr>
            <m:e>
              <m:r>
                <w:rPr>
                  <w:rFonts w:ascii="Cambria Math" w:eastAsia="바탕체" w:hAnsi="Cambria Math"/>
                  <w:sz w:val="20"/>
                  <w:szCs w:val="20"/>
                </w:rPr>
                <m:t>d</m:t>
              </m:r>
            </m:e>
            <m:sub>
              <m:r>
                <w:rPr>
                  <w:rFonts w:ascii="Cambria Math" w:eastAsia="바탕체" w:hAnsi="Cambria Math"/>
                  <w:sz w:val="20"/>
                  <w:szCs w:val="20"/>
                </w:rPr>
                <m:t>buffer</m:t>
              </m:r>
            </m:sub>
          </m:sSub>
          <m:r>
            <m:rPr>
              <m:sty m:val="p"/>
            </m:rPr>
            <w:rPr>
              <w:rFonts w:ascii="Cambria Math" w:eastAsia="바탕체" w:hAnsi="Cambria Math"/>
              <w:sz w:val="20"/>
              <w:szCs w:val="20"/>
            </w:rPr>
            <m:t>=</m:t>
          </m:r>
          <m:f>
            <m:fPr>
              <m:ctrlPr>
                <w:rPr>
                  <w:rFonts w:ascii="Cambria Math" w:eastAsia="바탕체" w:hAnsi="Cambria Math"/>
                  <w:sz w:val="20"/>
                  <w:szCs w:val="20"/>
                </w:rPr>
              </m:ctrlPr>
            </m:fPr>
            <m:num>
              <m:r>
                <w:rPr>
                  <w:rFonts w:ascii="Cambria Math" w:eastAsia="바탕체" w:hAnsi="Cambria Math"/>
                  <w:sz w:val="20"/>
                  <w:szCs w:val="20"/>
                </w:rPr>
                <m:t>H</m:t>
              </m:r>
            </m:num>
            <m:den>
              <m:r>
                <m:rPr>
                  <m:sty m:val="p"/>
                </m:rPr>
                <w:rPr>
                  <w:rFonts w:ascii="Cambria Math" w:eastAsia="바탕체" w:hAnsi="Cambria Math"/>
                  <w:sz w:val="20"/>
                  <w:szCs w:val="20"/>
                </w:rPr>
                <m:t>tan</m:t>
              </m:r>
              <m:r>
                <w:rPr>
                  <w:rFonts w:ascii="Cambria Math" w:eastAsia="바탕체" w:hAnsi="Cambria Math"/>
                  <w:sz w:val="20"/>
                  <w:szCs w:val="20"/>
                </w:rPr>
                <m:t>θ</m:t>
              </m:r>
            </m:den>
          </m:f>
          <m:r>
            <w:rPr>
              <w:rFonts w:ascii="Cambria Math" w:eastAsia="바탕체" w:hAnsi="Cambria Math"/>
              <w:sz w:val="20"/>
              <w:szCs w:val="20"/>
            </w:rPr>
            <m:t>  </m:t>
          </m:r>
          <m:r>
            <m:rPr>
              <m:sty m:val="p"/>
            </m:rPr>
            <w:rPr>
              <w:rFonts w:ascii="Cambria Math" w:eastAsia="바탕체" w:hAnsi="Cambria Math"/>
              <w:sz w:val="20"/>
              <w:szCs w:val="20"/>
            </w:rPr>
            <m:t>(</m:t>
          </m:r>
          <m:r>
            <w:rPr>
              <w:rFonts w:ascii="Cambria Math" w:eastAsia="바탕체" w:hAnsi="Cambria Math"/>
              <w:sz w:val="20"/>
              <w:szCs w:val="20"/>
            </w:rPr>
            <m:t>1</m:t>
          </m:r>
          <m:r>
            <m:rPr>
              <m:sty m:val="p"/>
            </m:rPr>
            <w:rPr>
              <w:rFonts w:ascii="Cambria Math" w:eastAsia="바탕체" w:hAnsi="Cambria Math"/>
              <w:sz w:val="20"/>
              <w:szCs w:val="20"/>
            </w:rPr>
            <m:t>)</m:t>
          </m:r>
        </m:oMath>
      </m:oMathPara>
    </w:p>
    <w:p w14:paraId="362F61EB"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 xml:space="preserve">여기서 </w:t>
      </w:r>
      <m:oMath>
        <m:r>
          <w:rPr>
            <w:rFonts w:ascii="Cambria Math" w:eastAsia="바탕체" w:hAnsi="Cambria Math"/>
            <w:sz w:val="20"/>
            <w:szCs w:val="20"/>
          </w:rPr>
          <m:t>H</m:t>
        </m:r>
      </m:oMath>
      <w:r w:rsidRPr="00207071">
        <w:rPr>
          <w:rFonts w:ascii="바탕체" w:eastAsia="바탕체" w:hAnsi="바탕체"/>
          <w:sz w:val="20"/>
          <w:szCs w:val="20"/>
        </w:rPr>
        <w:t xml:space="preserve">는 대표 건물높이(=100m), </w:t>
      </w:r>
      <m:oMath>
        <m:r>
          <w:rPr>
            <w:rFonts w:ascii="Cambria Math" w:eastAsia="바탕체" w:hAnsi="Cambria Math"/>
            <w:sz w:val="20"/>
            <w:szCs w:val="20"/>
          </w:rPr>
          <m:t>θ</m:t>
        </m:r>
      </m:oMath>
      <w:r w:rsidRPr="00207071">
        <w:rPr>
          <w:rFonts w:ascii="바탕체" w:eastAsia="바탕체" w:hAnsi="바탕체"/>
          <w:sz w:val="20"/>
          <w:szCs w:val="20"/>
        </w:rPr>
        <w:t xml:space="preserve">는 분석시간대(06~19시) 중 최저 태양고도(≈6°)이며, </w:t>
      </w:r>
      <m:oMath>
        <m:sSub>
          <m:sSubPr>
            <m:ctrlPr>
              <w:rPr>
                <w:rFonts w:ascii="Cambria Math" w:eastAsia="바탕체" w:hAnsi="Cambria Math"/>
                <w:sz w:val="20"/>
                <w:szCs w:val="20"/>
              </w:rPr>
            </m:ctrlPr>
          </m:sSubPr>
          <m:e>
            <m:r>
              <w:rPr>
                <w:rFonts w:ascii="Cambria Math" w:eastAsia="바탕체" w:hAnsi="Cambria Math"/>
                <w:sz w:val="20"/>
                <w:szCs w:val="20"/>
              </w:rPr>
              <m:t>d</m:t>
            </m:r>
          </m:e>
          <m:sub>
            <m:r>
              <w:rPr>
                <w:rFonts w:ascii="Cambria Math" w:eastAsia="바탕체" w:hAnsi="Cambria Math"/>
                <w:sz w:val="20"/>
                <w:szCs w:val="20"/>
              </w:rPr>
              <m:t>buffer</m:t>
            </m:r>
          </m:sub>
        </m:sSub>
        <m:r>
          <m:rPr>
            <m:sty m:val="p"/>
          </m:rPr>
          <w:rPr>
            <w:rFonts w:ascii="Cambria Math" w:eastAsia="바탕체" w:hAnsi="Cambria Math"/>
            <w:sz w:val="20"/>
            <w:szCs w:val="20"/>
          </w:rPr>
          <m:t>≈</m:t>
        </m:r>
        <m:r>
          <w:rPr>
            <w:rFonts w:ascii="Cambria Math" w:eastAsia="바탕체" w:hAnsi="Cambria Math"/>
            <w:sz w:val="20"/>
            <w:szCs w:val="20"/>
          </w:rPr>
          <m:t>950</m:t>
        </m:r>
      </m:oMath>
      <w:r w:rsidRPr="00207071">
        <w:rPr>
          <w:rFonts w:ascii="바탕체" w:eastAsia="바탕체" w:hAnsi="바탕체"/>
          <w:sz w:val="20"/>
          <w:szCs w:val="20"/>
        </w:rPr>
        <w:t>m로 산출된다(5m 해상도에서 190픽셀).</w:t>
      </w:r>
    </w:p>
    <w:p w14:paraId="52CC339C"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 xml:space="preserve">서울 전역 래스터(가로 7,410픽셀)를 8등분(코어 폭 926픽셀)한 뒤, 각 타일 경계에 190픽셀(950m) 버퍼를 좌우로 추가해 SOLWEIG를 독립적으로 실행하고, 코어 영역만 잘라내 모자이크한다. 이 버퍼 폭은 해상도와 무관하게 물리량(그림자 도달거리)으로 고정되므로, 예컨대 1m 해상도로 동일한 방식을 적용하면 950픽셀 버퍼가 되어 메모리 예산을 초과한다. </w:t>
      </w:r>
      <m:oMath>
        <m:r>
          <w:rPr>
            <w:rFonts w:ascii="Cambria Math" w:eastAsia="바탕체" w:hAnsi="Cambria Math"/>
            <w:sz w:val="20"/>
            <w:szCs w:val="20"/>
          </w:rPr>
          <m:t>H</m:t>
        </m:r>
        <m:r>
          <m:rPr>
            <m:sty m:val="p"/>
          </m:rPr>
          <w:rPr>
            <w:rFonts w:ascii="Cambria Math" w:eastAsia="바탕체" w:hAnsi="Cambria Math"/>
            <w:sz w:val="20"/>
            <w:szCs w:val="20"/>
          </w:rPr>
          <m:t>=</m:t>
        </m:r>
        <m:r>
          <w:rPr>
            <w:rFonts w:ascii="Cambria Math" w:eastAsia="바탕체" w:hAnsi="Cambria Math"/>
            <w:sz w:val="20"/>
            <w:szCs w:val="20"/>
          </w:rPr>
          <m:t>100</m:t>
        </m:r>
      </m:oMath>
      <w:r w:rsidRPr="00207071">
        <w:rPr>
          <w:rFonts w:ascii="바탕체" w:eastAsia="바탕체" w:hAnsi="바탕체"/>
          <w:sz w:val="20"/>
          <w:szCs w:val="20"/>
        </w:rPr>
        <w:t>m 가정의 한계(초고층 건물·고지형 근처)는 Discussion에서 다룬다.</w:t>
      </w:r>
    </w:p>
    <w:p w14:paraId="7EE4CD32" w14:textId="77777777" w:rsidR="00451E5C" w:rsidRPr="00207071" w:rsidRDefault="00A653A8">
      <w:pPr>
        <w:pStyle w:val="4"/>
        <w:rPr>
          <w:rFonts w:ascii="바탕체" w:eastAsia="바탕체" w:hAnsi="바탕체"/>
          <w:sz w:val="20"/>
          <w:szCs w:val="20"/>
          <w:lang w:eastAsia="ko-KR"/>
        </w:rPr>
      </w:pPr>
      <w:bookmarkStart w:id="5" w:name="계산-해상도-선택"/>
      <w:bookmarkEnd w:id="4"/>
      <w:r w:rsidRPr="00207071">
        <w:rPr>
          <w:rFonts w:ascii="바탕체" w:eastAsia="바탕체" w:hAnsi="바탕체"/>
          <w:noProof/>
          <w:sz w:val="20"/>
          <w:szCs w:val="20"/>
        </w:rPr>
        <w:lastRenderedPageBreak/>
        <w:drawing>
          <wp:inline distT="0" distB="0" distL="0" distR="0" wp14:anchorId="3469CF30" wp14:editId="52105A30">
            <wp:extent cx="5943600" cy="2711450"/>
            <wp:effectExtent l="0" t="0" r="0" b="6350"/>
            <wp:docPr id="11351392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39277" name=""/>
                    <pic:cNvPicPr/>
                  </pic:nvPicPr>
                  <pic:blipFill>
                    <a:blip r:embed="rId5"/>
                    <a:stretch>
                      <a:fillRect/>
                    </a:stretch>
                  </pic:blipFill>
                  <pic:spPr>
                    <a:xfrm>
                      <a:off x="0" y="0"/>
                      <a:ext cx="5943600" cy="2711450"/>
                    </a:xfrm>
                    <a:prstGeom prst="rect">
                      <a:avLst/>
                    </a:prstGeom>
                  </pic:spPr>
                </pic:pic>
              </a:graphicData>
            </a:graphic>
          </wp:inline>
        </w:drawing>
      </w:r>
    </w:p>
    <w:p w14:paraId="2AA0FC17" w14:textId="77777777" w:rsidR="00451E5C" w:rsidRPr="00207071" w:rsidRDefault="00451E5C" w:rsidP="00451E5C">
      <w:pPr>
        <w:pStyle w:val="aa"/>
        <w:jc w:val="center"/>
        <w:rPr>
          <w:rFonts w:ascii="바탕체" w:eastAsia="바탕체" w:hAnsi="바탕체"/>
          <w:sz w:val="20"/>
          <w:szCs w:val="20"/>
          <w:lang w:eastAsia="ko-KR"/>
        </w:rPr>
      </w:pPr>
      <w:r w:rsidRPr="00207071">
        <w:rPr>
          <w:rFonts w:ascii="바탕체" w:eastAsia="바탕체" w:hAnsi="바탕체"/>
          <w:sz w:val="20"/>
          <w:szCs w:val="20"/>
          <w:lang w:eastAsia="ko-KR"/>
        </w:rPr>
        <w:t xml:space="preserve">Figure </w:t>
      </w:r>
      <w:r w:rsidRPr="00207071">
        <w:rPr>
          <w:rFonts w:ascii="바탕체" w:eastAsia="바탕체" w:hAnsi="바탕체" w:hint="eastAsia"/>
          <w:sz w:val="20"/>
          <w:szCs w:val="20"/>
          <w:lang w:eastAsia="ko-KR"/>
        </w:rPr>
        <w:t xml:space="preserve">2. 태양기하학 기반 버퍼 </w:t>
      </w:r>
      <w:proofErr w:type="spellStart"/>
      <w:r w:rsidRPr="00207071">
        <w:rPr>
          <w:rFonts w:ascii="바탕체" w:eastAsia="바탕체" w:hAnsi="바탕체" w:hint="eastAsia"/>
          <w:sz w:val="20"/>
          <w:szCs w:val="20"/>
          <w:lang w:eastAsia="ko-KR"/>
        </w:rPr>
        <w:t>타일링</w:t>
      </w:r>
      <w:proofErr w:type="spellEnd"/>
    </w:p>
    <w:p w14:paraId="7CF3BAAB" w14:textId="77777777" w:rsidR="003B6E21" w:rsidRPr="00207071" w:rsidRDefault="00000000">
      <w:pPr>
        <w:pStyle w:val="4"/>
        <w:rPr>
          <w:rFonts w:ascii="바탕체" w:eastAsia="바탕체" w:hAnsi="바탕체"/>
          <w:sz w:val="20"/>
          <w:szCs w:val="20"/>
        </w:rPr>
      </w:pPr>
      <w:r w:rsidRPr="00207071">
        <w:rPr>
          <w:rFonts w:ascii="바탕체" w:eastAsia="바탕체" w:hAnsi="바탕체"/>
          <w:sz w:val="20"/>
          <w:szCs w:val="20"/>
        </w:rPr>
        <w:t>3.1.2 계산 해상도 선택</w:t>
      </w:r>
    </w:p>
    <w:p w14:paraId="2D4D3ACB"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계산 해상도는 임의로 정하지 않고, 성동구를 대상으로 완전히 동일한 지형·건물·수목 입력 데이터(1m 원본을 각 해상도로 다운샘플링한 소스)에서 1/5/10/15/30m 5개 해상도로 SOLWEIG→UTCI 전체 파이프라인을 각각 실행해 실증 비교하였다(비교 결과는 Results 4.4 참고). 그 결과에 근거해 계산 가능성과 정밀도를 동시에 만족하는 5m을 서울 전역 계산 해상도로 채택하였다. 국토지리정보원 1m 실측 DEM과 오픈소스 GLO-30(30m) 기반 산출물의 비교 결과(Results 4.4) 역시, 제한된 접근 권한이 필요한 1m 실측 DEM 없이도 오픈소스 자료만으로 본 연구의 결론을 재현할 수 있음을 뒷받침한다.</w:t>
      </w:r>
    </w:p>
    <w:p w14:paraId="06D53D37" w14:textId="77777777" w:rsidR="003B6E21" w:rsidRPr="00207071" w:rsidRDefault="00000000">
      <w:pPr>
        <w:pStyle w:val="3"/>
        <w:rPr>
          <w:rFonts w:ascii="바탕체" w:eastAsia="바탕체" w:hAnsi="바탕체"/>
          <w:sz w:val="20"/>
          <w:szCs w:val="20"/>
        </w:rPr>
      </w:pPr>
      <w:bookmarkStart w:id="6" w:name="utci-calculation"/>
      <w:bookmarkEnd w:id="3"/>
      <w:bookmarkEnd w:id="5"/>
      <w:r w:rsidRPr="00207071">
        <w:rPr>
          <w:rFonts w:ascii="바탕체" w:eastAsia="바탕체" w:hAnsi="바탕체"/>
          <w:sz w:val="20"/>
          <w:szCs w:val="20"/>
        </w:rPr>
        <w:t>3.2 UTCI Calculation</w:t>
      </w:r>
    </w:p>
    <w:p w14:paraId="3D9A14B0"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 xml:space="preserve">MRT 공간 분포와 기온·상대습도·풍속을 </w:t>
      </w:r>
      <w:proofErr w:type="spellStart"/>
      <w:r w:rsidRPr="00207071">
        <w:rPr>
          <w:rFonts w:ascii="바탕체" w:eastAsia="바탕체" w:hAnsi="바탕체"/>
          <w:sz w:val="20"/>
          <w:szCs w:val="20"/>
        </w:rPr>
        <w:t>Bröde</w:t>
      </w:r>
      <w:proofErr w:type="spellEnd"/>
      <w:r w:rsidRPr="00207071">
        <w:rPr>
          <w:rFonts w:ascii="바탕체" w:eastAsia="바탕체" w:hAnsi="바탕체"/>
          <w:sz w:val="20"/>
          <w:szCs w:val="20"/>
        </w:rPr>
        <w:t xml:space="preserve"> et al.(2012)의 표준 UTCI 회귀식(</w:t>
      </w:r>
      <w:proofErr w:type="spellStart"/>
      <w:r w:rsidRPr="00207071">
        <w:rPr>
          <w:rStyle w:val="VerbatimChar"/>
          <w:rFonts w:ascii="바탕체" w:eastAsia="바탕체" w:hAnsi="바탕체"/>
          <w:sz w:val="20"/>
          <w:szCs w:val="20"/>
        </w:rPr>
        <w:t>pythermalcomfort</w:t>
      </w:r>
      <w:proofErr w:type="spellEnd"/>
      <w:r w:rsidRPr="00207071">
        <w:rPr>
          <w:rFonts w:ascii="바탕체" w:eastAsia="바탕체" w:hAnsi="바탕체"/>
          <w:sz w:val="20"/>
          <w:szCs w:val="20"/>
        </w:rPr>
        <w:t xml:space="preserve"> 라이브러리 구현)으로 결합해 픽셀·링크 단위 UTCI를 산출한다:</w:t>
      </w:r>
    </w:p>
    <w:p w14:paraId="5B187622" w14:textId="77777777" w:rsidR="003B6E21" w:rsidRPr="00207071" w:rsidRDefault="00000000">
      <w:pPr>
        <w:pStyle w:val="a0"/>
        <w:rPr>
          <w:rFonts w:ascii="바탕체" w:eastAsia="바탕체" w:hAnsi="바탕체"/>
          <w:sz w:val="20"/>
          <w:szCs w:val="20"/>
        </w:rPr>
      </w:pPr>
      <m:oMathPara>
        <m:oMathParaPr>
          <m:jc m:val="center"/>
        </m:oMathParaPr>
        <m:oMath>
          <m:r>
            <w:rPr>
              <w:rFonts w:ascii="Cambria Math" w:eastAsia="바탕체" w:hAnsi="Cambria Math"/>
              <w:sz w:val="20"/>
              <w:szCs w:val="20"/>
            </w:rPr>
            <m:t>UTCI</m:t>
          </m:r>
          <m:r>
            <m:rPr>
              <m:sty m:val="p"/>
            </m:rPr>
            <w:rPr>
              <w:rFonts w:ascii="Cambria Math" w:eastAsia="바탕체" w:hAnsi="Cambria Math"/>
              <w:sz w:val="20"/>
              <w:szCs w:val="20"/>
            </w:rPr>
            <m:t>=</m:t>
          </m:r>
          <m:sSub>
            <m:sSubPr>
              <m:ctrlPr>
                <w:rPr>
                  <w:rFonts w:ascii="Cambria Math" w:eastAsia="바탕체" w:hAnsi="Cambria Math"/>
                  <w:sz w:val="20"/>
                  <w:szCs w:val="20"/>
                </w:rPr>
              </m:ctrlPr>
            </m:sSubPr>
            <m:e>
              <m:r>
                <w:rPr>
                  <w:rFonts w:ascii="Cambria Math" w:eastAsia="바탕체" w:hAnsi="Cambria Math"/>
                  <w:sz w:val="20"/>
                  <w:szCs w:val="20"/>
                </w:rPr>
                <m:t>T</m:t>
              </m:r>
            </m:e>
            <m:sub>
              <m:r>
                <w:rPr>
                  <w:rFonts w:ascii="Cambria Math" w:eastAsia="바탕체" w:hAnsi="Cambria Math"/>
                  <w:sz w:val="20"/>
                  <w:szCs w:val="20"/>
                </w:rPr>
                <m:t>a</m:t>
              </m:r>
            </m:sub>
          </m:sSub>
          <m:r>
            <m:rPr>
              <m:sty m:val="p"/>
            </m:rPr>
            <w:rPr>
              <w:rFonts w:ascii="Cambria Math" w:eastAsia="바탕체" w:hAnsi="Cambria Math"/>
              <w:sz w:val="20"/>
              <w:szCs w:val="20"/>
            </w:rPr>
            <m:t>+Δ</m:t>
          </m:r>
          <m:sSub>
            <m:sSubPr>
              <m:ctrlPr>
                <w:rPr>
                  <w:rFonts w:ascii="Cambria Math" w:eastAsia="바탕체" w:hAnsi="Cambria Math"/>
                  <w:sz w:val="20"/>
                  <w:szCs w:val="20"/>
                </w:rPr>
              </m:ctrlPr>
            </m:sSubPr>
            <m:e>
              <m:r>
                <w:rPr>
                  <w:rFonts w:ascii="Cambria Math" w:eastAsia="바탕체" w:hAnsi="Cambria Math"/>
                  <w:sz w:val="20"/>
                  <w:szCs w:val="20"/>
                </w:rPr>
                <m:t>T</m:t>
              </m:r>
            </m:e>
            <m:sub>
              <m:r>
                <w:rPr>
                  <w:rFonts w:ascii="Cambria Math" w:eastAsia="바탕체" w:hAnsi="Cambria Math"/>
                  <w:sz w:val="20"/>
                  <w:szCs w:val="20"/>
                </w:rPr>
                <m:t>UTCI</m:t>
              </m:r>
            </m:sub>
          </m:sSub>
          <m:r>
            <m:rPr>
              <m:sty m:val="p"/>
            </m:rPr>
            <w:rPr>
              <w:rFonts w:ascii="Cambria Math" w:eastAsia="바탕체" w:hAnsi="Cambria Math"/>
              <w:sz w:val="20"/>
              <w:szCs w:val="20"/>
            </w:rPr>
            <m:t>(</m:t>
          </m:r>
          <m:sSub>
            <m:sSubPr>
              <m:ctrlPr>
                <w:rPr>
                  <w:rFonts w:ascii="Cambria Math" w:eastAsia="바탕체" w:hAnsi="Cambria Math"/>
                  <w:sz w:val="20"/>
                  <w:szCs w:val="20"/>
                </w:rPr>
              </m:ctrlPr>
            </m:sSubPr>
            <m:e>
              <m:r>
                <w:rPr>
                  <w:rFonts w:ascii="Cambria Math" w:eastAsia="바탕체" w:hAnsi="Cambria Math"/>
                  <w:sz w:val="20"/>
                  <w:szCs w:val="20"/>
                </w:rPr>
                <m:t>T</m:t>
              </m:r>
            </m:e>
            <m:sub>
              <m:r>
                <w:rPr>
                  <w:rFonts w:ascii="Cambria Math" w:eastAsia="바탕체" w:hAnsi="Cambria Math"/>
                  <w:sz w:val="20"/>
                  <w:szCs w:val="20"/>
                </w:rPr>
                <m:t>a</m:t>
              </m:r>
            </m:sub>
          </m:sSub>
          <m:r>
            <m:rPr>
              <m:sty m:val="p"/>
            </m:rPr>
            <w:rPr>
              <w:rFonts w:ascii="Cambria Math" w:eastAsia="바탕체" w:hAnsi="Cambria Math"/>
              <w:sz w:val="20"/>
              <w:szCs w:val="20"/>
            </w:rPr>
            <m:t>,</m:t>
          </m:r>
          <m:r>
            <w:rPr>
              <w:rFonts w:ascii="Cambria Math" w:eastAsia="바탕체" w:hAnsi="Cambria Math"/>
              <w:sz w:val="20"/>
              <w:szCs w:val="20"/>
            </w:rPr>
            <m:t> </m:t>
          </m:r>
          <m:sSub>
            <m:sSubPr>
              <m:ctrlPr>
                <w:rPr>
                  <w:rFonts w:ascii="Cambria Math" w:eastAsia="바탕체" w:hAnsi="Cambria Math"/>
                  <w:sz w:val="20"/>
                  <w:szCs w:val="20"/>
                </w:rPr>
              </m:ctrlPr>
            </m:sSubPr>
            <m:e>
              <m:r>
                <w:rPr>
                  <w:rFonts w:ascii="Cambria Math" w:eastAsia="바탕체" w:hAnsi="Cambria Math"/>
                  <w:sz w:val="20"/>
                  <w:szCs w:val="20"/>
                </w:rPr>
                <m:t>T</m:t>
              </m:r>
            </m:e>
            <m:sub>
              <m:r>
                <w:rPr>
                  <w:rFonts w:ascii="Cambria Math" w:eastAsia="바탕체" w:hAnsi="Cambria Math"/>
                  <w:sz w:val="20"/>
                  <w:szCs w:val="20"/>
                </w:rPr>
                <m:t>mrt</m:t>
              </m:r>
            </m:sub>
          </m:sSub>
          <m:r>
            <m:rPr>
              <m:sty m:val="p"/>
            </m:rPr>
            <w:rPr>
              <w:rFonts w:ascii="Cambria Math" w:eastAsia="바탕체" w:hAnsi="Cambria Math"/>
              <w:sz w:val="20"/>
              <w:szCs w:val="20"/>
            </w:rPr>
            <m:t>-</m:t>
          </m:r>
          <m:sSub>
            <m:sSubPr>
              <m:ctrlPr>
                <w:rPr>
                  <w:rFonts w:ascii="Cambria Math" w:eastAsia="바탕체" w:hAnsi="Cambria Math"/>
                  <w:sz w:val="20"/>
                  <w:szCs w:val="20"/>
                </w:rPr>
              </m:ctrlPr>
            </m:sSubPr>
            <m:e>
              <m:r>
                <w:rPr>
                  <w:rFonts w:ascii="Cambria Math" w:eastAsia="바탕체" w:hAnsi="Cambria Math"/>
                  <w:sz w:val="20"/>
                  <w:szCs w:val="20"/>
                </w:rPr>
                <m:t>T</m:t>
              </m:r>
            </m:e>
            <m:sub>
              <m:r>
                <w:rPr>
                  <w:rFonts w:ascii="Cambria Math" w:eastAsia="바탕체" w:hAnsi="Cambria Math"/>
                  <w:sz w:val="20"/>
                  <w:szCs w:val="20"/>
                </w:rPr>
                <m:t>a</m:t>
              </m:r>
            </m:sub>
          </m:sSub>
          <m:r>
            <m:rPr>
              <m:sty m:val="p"/>
            </m:rPr>
            <w:rPr>
              <w:rFonts w:ascii="Cambria Math" w:eastAsia="바탕체" w:hAnsi="Cambria Math"/>
              <w:sz w:val="20"/>
              <w:szCs w:val="20"/>
            </w:rPr>
            <m:t>,</m:t>
          </m:r>
          <m:r>
            <w:rPr>
              <w:rFonts w:ascii="Cambria Math" w:eastAsia="바탕체" w:hAnsi="Cambria Math"/>
              <w:sz w:val="20"/>
              <w:szCs w:val="20"/>
            </w:rPr>
            <m:t> </m:t>
          </m:r>
          <m:sSub>
            <m:sSubPr>
              <m:ctrlPr>
                <w:rPr>
                  <w:rFonts w:ascii="Cambria Math" w:eastAsia="바탕체" w:hAnsi="Cambria Math"/>
                  <w:sz w:val="20"/>
                  <w:szCs w:val="20"/>
                </w:rPr>
              </m:ctrlPr>
            </m:sSubPr>
            <m:e>
              <m:r>
                <w:rPr>
                  <w:rFonts w:ascii="Cambria Math" w:eastAsia="바탕체" w:hAnsi="Cambria Math"/>
                  <w:sz w:val="20"/>
                  <w:szCs w:val="20"/>
                </w:rPr>
                <m:t>v</m:t>
              </m:r>
            </m:e>
            <m:sub>
              <m:r>
                <w:rPr>
                  <w:rFonts w:ascii="Cambria Math" w:eastAsia="바탕체" w:hAnsi="Cambria Math"/>
                  <w:sz w:val="20"/>
                  <w:szCs w:val="20"/>
                </w:rPr>
                <m:t>a</m:t>
              </m:r>
            </m:sub>
          </m:sSub>
          <m:r>
            <m:rPr>
              <m:sty m:val="p"/>
            </m:rPr>
            <w:rPr>
              <w:rFonts w:ascii="Cambria Math" w:eastAsia="바탕체" w:hAnsi="Cambria Math"/>
              <w:sz w:val="20"/>
              <w:szCs w:val="20"/>
            </w:rPr>
            <m:t>,</m:t>
          </m:r>
          <m:r>
            <w:rPr>
              <w:rFonts w:ascii="Cambria Math" w:eastAsia="바탕체" w:hAnsi="Cambria Math"/>
              <w:sz w:val="20"/>
              <w:szCs w:val="20"/>
            </w:rPr>
            <m:t> </m:t>
          </m:r>
          <m:sSub>
            <m:sSubPr>
              <m:ctrlPr>
                <w:rPr>
                  <w:rFonts w:ascii="Cambria Math" w:eastAsia="바탕체" w:hAnsi="Cambria Math"/>
                  <w:sz w:val="20"/>
                  <w:szCs w:val="20"/>
                </w:rPr>
              </m:ctrlPr>
            </m:sSubPr>
            <m:e>
              <m:r>
                <w:rPr>
                  <w:rFonts w:ascii="Cambria Math" w:eastAsia="바탕체" w:hAnsi="Cambria Math"/>
                  <w:sz w:val="20"/>
                  <w:szCs w:val="20"/>
                </w:rPr>
                <m:t>p</m:t>
              </m:r>
            </m:e>
            <m:sub>
              <m:r>
                <w:rPr>
                  <w:rFonts w:ascii="Cambria Math" w:eastAsia="바탕체" w:hAnsi="Cambria Math"/>
                  <w:sz w:val="20"/>
                  <w:szCs w:val="20"/>
                </w:rPr>
                <m:t>a</m:t>
              </m:r>
            </m:sub>
          </m:sSub>
          <m:r>
            <m:rPr>
              <m:sty m:val="p"/>
            </m:rPr>
            <w:rPr>
              <w:rFonts w:ascii="Cambria Math" w:eastAsia="바탕체" w:hAnsi="Cambria Math"/>
              <w:sz w:val="20"/>
              <w:szCs w:val="20"/>
            </w:rPr>
            <m:t>)</m:t>
          </m:r>
          <m:r>
            <w:rPr>
              <w:rFonts w:ascii="Cambria Math" w:eastAsia="바탕체" w:hAnsi="Cambria Math"/>
              <w:sz w:val="20"/>
              <w:szCs w:val="20"/>
            </w:rPr>
            <m:t>  </m:t>
          </m:r>
          <m:r>
            <m:rPr>
              <m:sty m:val="p"/>
            </m:rPr>
            <w:rPr>
              <w:rFonts w:ascii="Cambria Math" w:eastAsia="바탕체" w:hAnsi="Cambria Math"/>
              <w:sz w:val="20"/>
              <w:szCs w:val="20"/>
            </w:rPr>
            <m:t>(</m:t>
          </m:r>
          <m:r>
            <w:rPr>
              <w:rFonts w:ascii="Cambria Math" w:eastAsia="바탕체" w:hAnsi="Cambria Math"/>
              <w:sz w:val="20"/>
              <w:szCs w:val="20"/>
            </w:rPr>
            <m:t>2</m:t>
          </m:r>
          <m:r>
            <m:rPr>
              <m:sty m:val="p"/>
            </m:rPr>
            <w:rPr>
              <w:rFonts w:ascii="Cambria Math" w:eastAsia="바탕체" w:hAnsi="Cambria Math"/>
              <w:sz w:val="20"/>
              <w:szCs w:val="20"/>
            </w:rPr>
            <m:t>)</m:t>
          </m:r>
        </m:oMath>
      </m:oMathPara>
    </w:p>
    <w:p w14:paraId="5478DA28"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 xml:space="preserve">여기서 </w:t>
      </w:r>
      <m:oMath>
        <m:sSub>
          <m:sSubPr>
            <m:ctrlPr>
              <w:rPr>
                <w:rFonts w:ascii="Cambria Math" w:eastAsia="바탕체" w:hAnsi="Cambria Math"/>
                <w:sz w:val="20"/>
                <w:szCs w:val="20"/>
              </w:rPr>
            </m:ctrlPr>
          </m:sSubPr>
          <m:e>
            <m:r>
              <w:rPr>
                <w:rFonts w:ascii="Cambria Math" w:eastAsia="바탕체" w:hAnsi="Cambria Math"/>
                <w:sz w:val="20"/>
                <w:szCs w:val="20"/>
              </w:rPr>
              <m:t>T</m:t>
            </m:r>
          </m:e>
          <m:sub>
            <m:r>
              <w:rPr>
                <w:rFonts w:ascii="Cambria Math" w:eastAsia="바탕체" w:hAnsi="Cambria Math"/>
                <w:sz w:val="20"/>
                <w:szCs w:val="20"/>
              </w:rPr>
              <m:t>a</m:t>
            </m:r>
          </m:sub>
        </m:sSub>
      </m:oMath>
      <w:r w:rsidRPr="00207071">
        <w:rPr>
          <w:rFonts w:ascii="바탕체" w:eastAsia="바탕체" w:hAnsi="바탕체"/>
          <w:sz w:val="20"/>
          <w:szCs w:val="20"/>
        </w:rPr>
        <w:t xml:space="preserve">는 기온, </w:t>
      </w:r>
      <m:oMath>
        <m:sSub>
          <m:sSubPr>
            <m:ctrlPr>
              <w:rPr>
                <w:rFonts w:ascii="Cambria Math" w:eastAsia="바탕체" w:hAnsi="Cambria Math"/>
                <w:sz w:val="20"/>
                <w:szCs w:val="20"/>
              </w:rPr>
            </m:ctrlPr>
          </m:sSubPr>
          <m:e>
            <m:r>
              <w:rPr>
                <w:rFonts w:ascii="Cambria Math" w:eastAsia="바탕체" w:hAnsi="Cambria Math"/>
                <w:sz w:val="20"/>
                <w:szCs w:val="20"/>
              </w:rPr>
              <m:t>T</m:t>
            </m:r>
          </m:e>
          <m:sub>
            <m:r>
              <w:rPr>
                <w:rFonts w:ascii="Cambria Math" w:eastAsia="바탕체" w:hAnsi="Cambria Math"/>
                <w:sz w:val="20"/>
                <w:szCs w:val="20"/>
              </w:rPr>
              <m:t>mrt</m:t>
            </m:r>
          </m:sub>
        </m:sSub>
      </m:oMath>
      <w:r w:rsidRPr="00207071">
        <w:rPr>
          <w:rFonts w:ascii="바탕체" w:eastAsia="바탕체" w:hAnsi="바탕체"/>
          <w:sz w:val="20"/>
          <w:szCs w:val="20"/>
        </w:rPr>
        <w:t xml:space="preserve">는 평균방사온도(MRT), </w:t>
      </w:r>
      <m:oMath>
        <m:sSub>
          <m:sSubPr>
            <m:ctrlPr>
              <w:rPr>
                <w:rFonts w:ascii="Cambria Math" w:eastAsia="바탕체" w:hAnsi="Cambria Math"/>
                <w:sz w:val="20"/>
                <w:szCs w:val="20"/>
              </w:rPr>
            </m:ctrlPr>
          </m:sSubPr>
          <m:e>
            <m:r>
              <w:rPr>
                <w:rFonts w:ascii="Cambria Math" w:eastAsia="바탕체" w:hAnsi="Cambria Math"/>
                <w:sz w:val="20"/>
                <w:szCs w:val="20"/>
              </w:rPr>
              <m:t>v</m:t>
            </m:r>
          </m:e>
          <m:sub>
            <m:r>
              <w:rPr>
                <w:rFonts w:ascii="Cambria Math" w:eastAsia="바탕체" w:hAnsi="Cambria Math"/>
                <w:sz w:val="20"/>
                <w:szCs w:val="20"/>
              </w:rPr>
              <m:t>a</m:t>
            </m:r>
          </m:sub>
        </m:sSub>
      </m:oMath>
      <w:r w:rsidRPr="00207071">
        <w:rPr>
          <w:rFonts w:ascii="바탕체" w:eastAsia="바탕체" w:hAnsi="바탕체"/>
          <w:sz w:val="20"/>
          <w:szCs w:val="20"/>
        </w:rPr>
        <w:t xml:space="preserve">는 풍속, </w:t>
      </w:r>
      <m:oMath>
        <m:sSub>
          <m:sSubPr>
            <m:ctrlPr>
              <w:rPr>
                <w:rFonts w:ascii="Cambria Math" w:eastAsia="바탕체" w:hAnsi="Cambria Math"/>
                <w:sz w:val="20"/>
                <w:szCs w:val="20"/>
              </w:rPr>
            </m:ctrlPr>
          </m:sSubPr>
          <m:e>
            <m:r>
              <w:rPr>
                <w:rFonts w:ascii="Cambria Math" w:eastAsia="바탕체" w:hAnsi="Cambria Math"/>
                <w:sz w:val="20"/>
                <w:szCs w:val="20"/>
              </w:rPr>
              <m:t>p</m:t>
            </m:r>
          </m:e>
          <m:sub>
            <m:r>
              <w:rPr>
                <w:rFonts w:ascii="Cambria Math" w:eastAsia="바탕체" w:hAnsi="Cambria Math"/>
                <w:sz w:val="20"/>
                <w:szCs w:val="20"/>
              </w:rPr>
              <m:t>a</m:t>
            </m:r>
          </m:sub>
        </m:sSub>
      </m:oMath>
      <w:r w:rsidRPr="00207071">
        <w:rPr>
          <w:rFonts w:ascii="바탕체" w:eastAsia="바탕체" w:hAnsi="바탕체"/>
          <w:sz w:val="20"/>
          <w:szCs w:val="20"/>
        </w:rPr>
        <w:t xml:space="preserve">는 수증기압(상대습도로부터 산출)이며, </w:t>
      </w:r>
      <m:oMath>
        <m:r>
          <m:rPr>
            <m:sty m:val="p"/>
          </m:rPr>
          <w:rPr>
            <w:rFonts w:ascii="Cambria Math" w:eastAsia="바탕체" w:hAnsi="Cambria Math"/>
            <w:sz w:val="20"/>
            <w:szCs w:val="20"/>
          </w:rPr>
          <m:t>Δ</m:t>
        </m:r>
        <m:sSub>
          <m:sSubPr>
            <m:ctrlPr>
              <w:rPr>
                <w:rFonts w:ascii="Cambria Math" w:eastAsia="바탕체" w:hAnsi="Cambria Math"/>
                <w:sz w:val="20"/>
                <w:szCs w:val="20"/>
              </w:rPr>
            </m:ctrlPr>
          </m:sSubPr>
          <m:e>
            <m:r>
              <w:rPr>
                <w:rFonts w:ascii="Cambria Math" w:eastAsia="바탕체" w:hAnsi="Cambria Math"/>
                <w:sz w:val="20"/>
                <w:szCs w:val="20"/>
              </w:rPr>
              <m:t>T</m:t>
            </m:r>
          </m:e>
          <m:sub>
            <m:r>
              <w:rPr>
                <w:rFonts w:ascii="Cambria Math" w:eastAsia="바탕체" w:hAnsi="Cambria Math"/>
                <w:sz w:val="20"/>
                <w:szCs w:val="20"/>
              </w:rPr>
              <m:t>UTCI</m:t>
            </m:r>
          </m:sub>
        </m:sSub>
      </m:oMath>
      <w:r w:rsidRPr="00207071">
        <w:rPr>
          <w:rFonts w:ascii="바탕체" w:eastAsia="바탕체" w:hAnsi="바탕체"/>
          <w:sz w:val="20"/>
          <w:szCs w:val="20"/>
        </w:rPr>
        <w:t>는 이 네 변수의 다항 회귀로 표현되는 오프셋 함수다(</w:t>
      </w:r>
      <w:proofErr w:type="spellStart"/>
      <w:r w:rsidRPr="00207071">
        <w:rPr>
          <w:rFonts w:ascii="바탕체" w:eastAsia="바탕체" w:hAnsi="바탕체"/>
          <w:sz w:val="20"/>
          <w:szCs w:val="20"/>
        </w:rPr>
        <w:t>Bröde</w:t>
      </w:r>
      <w:proofErr w:type="spellEnd"/>
      <w:r w:rsidRPr="00207071">
        <w:rPr>
          <w:rFonts w:ascii="바탕체" w:eastAsia="바탕체" w:hAnsi="바탕체"/>
          <w:sz w:val="20"/>
          <w:szCs w:val="20"/>
        </w:rPr>
        <w:t xml:space="preserve"> et al., 2012).</w:t>
      </w:r>
    </w:p>
    <w:p w14:paraId="3B560846" w14:textId="77777777" w:rsidR="003B6E21" w:rsidRPr="00207071" w:rsidRDefault="00000000">
      <w:pPr>
        <w:pStyle w:val="4"/>
        <w:rPr>
          <w:rFonts w:ascii="바탕체" w:eastAsia="바탕체" w:hAnsi="바탕체"/>
          <w:sz w:val="20"/>
          <w:szCs w:val="20"/>
        </w:rPr>
      </w:pPr>
      <w:bookmarkStart w:id="7" w:name="kma-격자기상-통합"/>
      <w:r w:rsidRPr="00207071">
        <w:rPr>
          <w:rFonts w:ascii="바탕체" w:eastAsia="바탕체" w:hAnsi="바탕체"/>
          <w:sz w:val="20"/>
          <w:szCs w:val="20"/>
        </w:rPr>
        <w:t>3.2.1 KMA 격자기상 통합</w:t>
      </w:r>
    </w:p>
    <w:p w14:paraId="6E8833CD"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 xml:space="preserve">도시 스케일 UTCI-보행접근성 선행연구 5편(Basu et al., 2024; </w:t>
      </w:r>
      <w:proofErr w:type="spellStart"/>
      <w:r w:rsidRPr="00207071">
        <w:rPr>
          <w:rFonts w:ascii="바탕체" w:eastAsia="바탕체" w:hAnsi="바탕체"/>
          <w:sz w:val="20"/>
          <w:szCs w:val="20"/>
        </w:rPr>
        <w:t>Colaninno</w:t>
      </w:r>
      <w:proofErr w:type="spellEnd"/>
      <w:r w:rsidRPr="00207071">
        <w:rPr>
          <w:rFonts w:ascii="바탕체" w:eastAsia="바탕체" w:hAnsi="바탕체"/>
          <w:sz w:val="20"/>
          <w:szCs w:val="20"/>
        </w:rPr>
        <w:t xml:space="preserve"> et al., 2024; Aydin et al., 2026; Buo et al., 2026; Jia et al., 2022) 중 기상 입력에 다중관측소 </w:t>
      </w:r>
      <w:proofErr w:type="gramStart"/>
      <w:r w:rsidRPr="00207071">
        <w:rPr>
          <w:rFonts w:ascii="바탕체" w:eastAsia="바탕체" w:hAnsi="바탕체"/>
          <w:sz w:val="20"/>
          <w:szCs w:val="20"/>
        </w:rPr>
        <w:t>공간보간(</w:t>
      </w:r>
      <w:proofErr w:type="gramEnd"/>
      <w:r w:rsidRPr="00207071">
        <w:rPr>
          <w:rFonts w:ascii="바탕체" w:eastAsia="바탕체" w:hAnsi="바탕체"/>
          <w:sz w:val="20"/>
          <w:szCs w:val="20"/>
        </w:rPr>
        <w:t xml:space="preserve">IDW·크리깅 </w:t>
      </w:r>
      <w:proofErr w:type="gramStart"/>
      <w:r w:rsidRPr="00207071">
        <w:rPr>
          <w:rFonts w:ascii="바탕체" w:eastAsia="바탕체" w:hAnsi="바탕체"/>
          <w:sz w:val="20"/>
          <w:szCs w:val="20"/>
        </w:rPr>
        <w:t>등)을</w:t>
      </w:r>
      <w:proofErr w:type="gramEnd"/>
      <w:r w:rsidRPr="00207071">
        <w:rPr>
          <w:rFonts w:ascii="바탕체" w:eastAsia="바탕체" w:hAnsi="바탕체"/>
          <w:sz w:val="20"/>
          <w:szCs w:val="20"/>
        </w:rPr>
        <w:t xml:space="preserve"> 적용한 사례는 없었다 — 모두 단일 관측값을 도메인 전체에 적용했다. 이는 각 연구의 대상 스케일이 도시 일부 구역에 그쳐 단일값으로도 충분했기 때문으로 보인다(표 1 참고, 가장 넓은 Basu의 보스턴도 서울의 20.64%). 서울 전역을 다루는 본 연구는 넓어진 스케일에 맞춰 이 공백을 채운다 — 기온·상대습도·풍속을 기상청 API 허브의 500m 해상도 융합기상 격자자료로 링크별 최근접 배정하여 공간적으로 변이하는 값을 투입한다. 일사량만 기존 방식(ASOS 108 단일 관측소, Erbs et al., 1982의 직달· 확산 분리모델)을 유지하는 것은, 500m 격자망을 갖춘 기온·습도·풍속과 달리 서울 내 ASOS 관측소가 사실상 1개소뿐이라 공간보간이 물리적으로 의미를 갖기 어렵기 때문이다 — “관측망이 촘촘한 변수만 공간화했다”는 일관된 기준을 적용한 것이다. 신구 방식의 비교 결과는 Results 4.5에서 다룬다.</w:t>
      </w:r>
    </w:p>
    <w:p w14:paraId="7A383F86" w14:textId="77777777" w:rsidR="003B6E21" w:rsidRPr="00207071" w:rsidRDefault="00000000">
      <w:pPr>
        <w:pStyle w:val="3"/>
        <w:rPr>
          <w:rFonts w:ascii="바탕체" w:eastAsia="바탕체" w:hAnsi="바탕체"/>
          <w:sz w:val="20"/>
          <w:szCs w:val="20"/>
        </w:rPr>
      </w:pPr>
      <w:bookmarkStart w:id="8" w:name="binary-network-modification-and-sear"/>
      <w:bookmarkEnd w:id="6"/>
      <w:bookmarkEnd w:id="7"/>
      <w:r w:rsidRPr="00207071">
        <w:rPr>
          <w:rFonts w:ascii="바탕체" w:eastAsia="바탕체" w:hAnsi="바탕체"/>
          <w:sz w:val="20"/>
          <w:szCs w:val="20"/>
        </w:rPr>
        <w:lastRenderedPageBreak/>
        <w:t>3.3 Binary Network Modification and SEAR</w:t>
      </w:r>
    </w:p>
    <w:p w14:paraId="5AE9E1DA" w14:textId="77777777" w:rsidR="003B6E21" w:rsidRPr="00207071" w:rsidRDefault="00000000">
      <w:pPr>
        <w:pStyle w:val="4"/>
        <w:rPr>
          <w:rFonts w:ascii="바탕체" w:eastAsia="바탕체" w:hAnsi="바탕체"/>
          <w:sz w:val="20"/>
          <w:szCs w:val="20"/>
        </w:rPr>
      </w:pPr>
      <w:bookmarkStart w:id="9" w:name="이진적-제거-및-sear-산출"/>
      <w:r w:rsidRPr="00207071">
        <w:rPr>
          <w:rFonts w:ascii="바탕체" w:eastAsia="바탕체" w:hAnsi="바탕체"/>
          <w:sz w:val="20"/>
          <w:szCs w:val="20"/>
        </w:rPr>
        <w:t>3.3.1 이진적 제거 및 SEAR 산출</w:t>
      </w:r>
    </w:p>
    <w:p w14:paraId="598A50DE"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SEAR 산출의 핵심 개념은 다음과 같다. 먼저 특정 열노출 임계값을 초과하는 링크를 보행 네트워크에서 완전히 제거(이진적 제거)한다. 본 연구에서는 UTCI 공식 급간(</w:t>
      </w:r>
      <w:proofErr w:type="spellStart"/>
      <w:r w:rsidRPr="00207071">
        <w:rPr>
          <w:rFonts w:ascii="바탕체" w:eastAsia="바탕체" w:hAnsi="바탕체"/>
          <w:sz w:val="20"/>
          <w:szCs w:val="20"/>
        </w:rPr>
        <w:t>Bröde</w:t>
      </w:r>
      <w:proofErr w:type="spellEnd"/>
      <w:r w:rsidRPr="00207071">
        <w:rPr>
          <w:rFonts w:ascii="바탕체" w:eastAsia="바탕체" w:hAnsi="바탕체"/>
          <w:sz w:val="20"/>
          <w:szCs w:val="20"/>
        </w:rPr>
        <w:t xml:space="preserve"> et al., 2012, Table 3) 경계값을 기준으로 선정하였다.</w:t>
      </w:r>
    </w:p>
    <w:p w14:paraId="2A4D4B56" w14:textId="77777777" w:rsidR="003B6E21" w:rsidRPr="00207071" w:rsidRDefault="00000000">
      <w:pPr>
        <w:pStyle w:val="a0"/>
        <w:rPr>
          <w:rFonts w:ascii="바탕체" w:eastAsia="바탕체" w:hAnsi="바탕체"/>
          <w:sz w:val="20"/>
          <w:szCs w:val="20"/>
        </w:rPr>
      </w:pPr>
      <w:r w:rsidRPr="00207071">
        <w:rPr>
          <w:rFonts w:ascii="바탕체" w:eastAsia="바탕체" w:hAnsi="바탕체"/>
          <w:b/>
          <w:bCs/>
          <w:sz w:val="20"/>
          <w:szCs w:val="20"/>
        </w:rPr>
        <w:t>표 3.</w:t>
      </w:r>
      <w:r w:rsidRPr="00207071">
        <w:rPr>
          <w:rFonts w:ascii="바탕체" w:eastAsia="바탕체" w:hAnsi="바탕체"/>
          <w:sz w:val="20"/>
          <w:szCs w:val="20"/>
        </w:rPr>
        <w:t xml:space="preserve"> UTCI 열스트레스 등급 분류(</w:t>
      </w:r>
      <w:proofErr w:type="spellStart"/>
      <w:r w:rsidRPr="00207071">
        <w:rPr>
          <w:rFonts w:ascii="바탕체" w:eastAsia="바탕체" w:hAnsi="바탕체"/>
          <w:sz w:val="20"/>
          <w:szCs w:val="20"/>
        </w:rPr>
        <w:t>Bröde</w:t>
      </w:r>
      <w:proofErr w:type="spellEnd"/>
      <w:r w:rsidRPr="00207071">
        <w:rPr>
          <w:rFonts w:ascii="바탕체" w:eastAsia="바탕체" w:hAnsi="바탕체"/>
          <w:sz w:val="20"/>
          <w:szCs w:val="20"/>
        </w:rPr>
        <w:t xml:space="preserve"> et al., 2012, Table 3, p.489)</w:t>
      </w:r>
    </w:p>
    <w:tbl>
      <w:tblPr>
        <w:tblStyle w:val="Table"/>
        <w:tblW w:w="0" w:type="auto"/>
        <w:tblLook w:val="0020" w:firstRow="1" w:lastRow="0" w:firstColumn="0" w:lastColumn="0" w:noHBand="0" w:noVBand="0"/>
      </w:tblPr>
      <w:tblGrid>
        <w:gridCol w:w="1616"/>
        <w:gridCol w:w="4924"/>
      </w:tblGrid>
      <w:tr w:rsidR="003B6E21" w:rsidRPr="00207071" w14:paraId="18CC6A1C" w14:textId="77777777" w:rsidTr="003B6E21">
        <w:trPr>
          <w:cnfStyle w:val="100000000000" w:firstRow="1" w:lastRow="0" w:firstColumn="0" w:lastColumn="0" w:oddVBand="0" w:evenVBand="0" w:oddHBand="0" w:evenHBand="0" w:firstRowFirstColumn="0" w:firstRowLastColumn="0" w:lastRowFirstColumn="0" w:lastRowLastColumn="0"/>
          <w:tblHeader/>
        </w:trPr>
        <w:tc>
          <w:tcPr>
            <w:tcW w:w="0" w:type="auto"/>
          </w:tcPr>
          <w:p w14:paraId="724FF14A"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UTCI 범위(°C)</w:t>
            </w:r>
          </w:p>
        </w:tc>
        <w:tc>
          <w:tcPr>
            <w:tcW w:w="0" w:type="auto"/>
          </w:tcPr>
          <w:p w14:paraId="7FE895EC"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열스트레스 등급</w:t>
            </w:r>
          </w:p>
        </w:tc>
      </w:tr>
      <w:tr w:rsidR="003B6E21" w:rsidRPr="00207071" w14:paraId="4E8E87CF" w14:textId="77777777">
        <w:tc>
          <w:tcPr>
            <w:tcW w:w="0" w:type="auto"/>
          </w:tcPr>
          <w:p w14:paraId="750F72E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&gt; 46</w:t>
            </w:r>
          </w:p>
        </w:tc>
        <w:tc>
          <w:tcPr>
            <w:tcW w:w="0" w:type="auto"/>
          </w:tcPr>
          <w:p w14:paraId="6CB74993"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Extreme heat stress</w:t>
            </w:r>
          </w:p>
        </w:tc>
      </w:tr>
      <w:tr w:rsidR="003B6E21" w:rsidRPr="00207071" w14:paraId="7FC26F8A" w14:textId="77777777">
        <w:tc>
          <w:tcPr>
            <w:tcW w:w="0" w:type="auto"/>
          </w:tcPr>
          <w:p w14:paraId="4CFCF055"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b/>
                <w:bCs/>
                <w:sz w:val="20"/>
                <w:szCs w:val="20"/>
              </w:rPr>
              <w:t>38 ~ 46</w:t>
            </w:r>
          </w:p>
        </w:tc>
        <w:tc>
          <w:tcPr>
            <w:tcW w:w="0" w:type="auto"/>
          </w:tcPr>
          <w:p w14:paraId="1E9CC87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b/>
                <w:bCs/>
                <w:sz w:val="20"/>
                <w:szCs w:val="20"/>
              </w:rPr>
              <w:t>Very strong heat stress ← 본 연구 임계값(하한)</w:t>
            </w:r>
          </w:p>
        </w:tc>
      </w:tr>
      <w:tr w:rsidR="003B6E21" w:rsidRPr="00207071" w14:paraId="3DB9EC67" w14:textId="77777777">
        <w:tc>
          <w:tcPr>
            <w:tcW w:w="0" w:type="auto"/>
          </w:tcPr>
          <w:p w14:paraId="613DEED3"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32 ~ 38</w:t>
            </w:r>
          </w:p>
        </w:tc>
        <w:tc>
          <w:tcPr>
            <w:tcW w:w="0" w:type="auto"/>
          </w:tcPr>
          <w:p w14:paraId="200011DC"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Strong heat stress</w:t>
            </w:r>
          </w:p>
        </w:tc>
      </w:tr>
      <w:tr w:rsidR="003B6E21" w:rsidRPr="00207071" w14:paraId="5087CBBB" w14:textId="77777777">
        <w:tc>
          <w:tcPr>
            <w:tcW w:w="0" w:type="auto"/>
          </w:tcPr>
          <w:p w14:paraId="20AF1033"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26 ~ 32</w:t>
            </w:r>
          </w:p>
        </w:tc>
        <w:tc>
          <w:tcPr>
            <w:tcW w:w="0" w:type="auto"/>
          </w:tcPr>
          <w:p w14:paraId="770D33C4"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Moderate heat stress</w:t>
            </w:r>
          </w:p>
        </w:tc>
      </w:tr>
      <w:tr w:rsidR="003B6E21" w:rsidRPr="00207071" w14:paraId="34B4DD57" w14:textId="77777777">
        <w:tc>
          <w:tcPr>
            <w:tcW w:w="0" w:type="auto"/>
          </w:tcPr>
          <w:p w14:paraId="049FA39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 ~ 26</w:t>
            </w:r>
          </w:p>
        </w:tc>
        <w:tc>
          <w:tcPr>
            <w:tcW w:w="0" w:type="auto"/>
          </w:tcPr>
          <w:p w14:paraId="7B52DB5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No thermal stress</w:t>
            </w:r>
          </w:p>
        </w:tc>
      </w:tr>
    </w:tbl>
    <w:p w14:paraId="199C1286"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 xml:space="preserve">임계값 초과 링크가 제거된 네트워크에 대해 Dijkstra 알고리즘으로 재탐색하여, 제거 전·후 도달 가능한 노드 집합을 각각 </w:t>
      </w:r>
      <m:oMath>
        <m:sSub>
          <m:sSubPr>
            <m:ctrlPr>
              <w:rPr>
                <w:rFonts w:ascii="Cambria Math" w:eastAsia="바탕체" w:hAnsi="Cambria Math"/>
                <w:sz w:val="20"/>
                <w:szCs w:val="20"/>
              </w:rPr>
            </m:ctrlPr>
          </m:sSubPr>
          <m:e>
            <m:r>
              <w:rPr>
                <w:rFonts w:ascii="Cambria Math" w:eastAsia="바탕체" w:hAnsi="Cambria Math"/>
                <w:sz w:val="20"/>
                <w:szCs w:val="20"/>
              </w:rPr>
              <m:t>S</m:t>
            </m:r>
          </m:e>
          <m:sub>
            <m:r>
              <w:rPr>
                <w:rFonts w:ascii="Cambria Math" w:eastAsia="바탕체" w:hAnsi="Cambria Math"/>
                <w:sz w:val="20"/>
                <w:szCs w:val="20"/>
              </w:rPr>
              <m:t>classic</m:t>
            </m:r>
          </m:sub>
        </m:sSub>
      </m:oMath>
      <w:r w:rsidRPr="00207071">
        <w:rPr>
          <w:rFonts w:ascii="바탕체" w:eastAsia="바탕체" w:hAnsi="바탕체"/>
          <w:sz w:val="20"/>
          <w:szCs w:val="20"/>
        </w:rPr>
        <w:t xml:space="preserve">, </w:t>
      </w:r>
      <m:oMath>
        <m:sSub>
          <m:sSubPr>
            <m:ctrlPr>
              <w:rPr>
                <w:rFonts w:ascii="Cambria Math" w:eastAsia="바탕체" w:hAnsi="Cambria Math"/>
                <w:sz w:val="20"/>
                <w:szCs w:val="20"/>
              </w:rPr>
            </m:ctrlPr>
          </m:sSubPr>
          <m:e>
            <m:r>
              <w:rPr>
                <w:rFonts w:ascii="Cambria Math" w:eastAsia="바탕체" w:hAnsi="Cambria Math"/>
                <w:sz w:val="20"/>
                <w:szCs w:val="20"/>
              </w:rPr>
              <m:t>S</m:t>
            </m:r>
          </m:e>
          <m:sub>
            <m:r>
              <w:rPr>
                <w:rFonts w:ascii="Cambria Math" w:eastAsia="바탕체" w:hAnsi="Cambria Math"/>
                <w:sz w:val="20"/>
                <w:szCs w:val="20"/>
              </w:rPr>
              <m:t>thermal</m:t>
            </m:r>
          </m:sub>
        </m:sSub>
      </m:oMath>
      <w:r w:rsidRPr="00207071">
        <w:rPr>
          <w:rFonts w:ascii="바탕체" w:eastAsia="바탕체" w:hAnsi="바탕체"/>
          <w:sz w:val="20"/>
          <w:szCs w:val="20"/>
        </w:rPr>
        <w:t>로 다시 산출한다(그림 3).</w:t>
      </w:r>
    </w:p>
    <w:p w14:paraId="137F4FD6" w14:textId="77777777" w:rsidR="00451E5C" w:rsidRPr="00207071" w:rsidRDefault="00451E5C">
      <w:pPr>
        <w:pStyle w:val="a0"/>
        <w:rPr>
          <w:rFonts w:ascii="바탕체" w:eastAsia="바탕체" w:hAnsi="바탕체"/>
          <w:sz w:val="20"/>
          <w:szCs w:val="20"/>
        </w:rPr>
      </w:pPr>
      <w:r w:rsidRPr="00207071">
        <w:rPr>
          <w:rFonts w:ascii="바탕체" w:eastAsia="바탕체" w:hAnsi="바탕체" w:cs="Segoe UI" w:hint="eastAsia"/>
          <w:noProof/>
          <w:color w:val="1F2328"/>
          <w:sz w:val="20"/>
          <w:szCs w:val="20"/>
          <w:lang w:eastAsia="ko-KR"/>
          <w14:ligatures w14:val="standardContextual"/>
        </w:rPr>
        <w:drawing>
          <wp:inline distT="0" distB="0" distL="0" distR="0" wp14:anchorId="05371EEF" wp14:editId="2EAA5ACB">
            <wp:extent cx="5731510" cy="3202940"/>
            <wp:effectExtent l="0" t="0" r="0" b="0"/>
            <wp:docPr id="3169658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6587" name="그림 31696587"/>
                    <pic:cNvPicPr/>
                  </pic:nvPicPr>
                  <pic:blipFill>
                    <a:blip r:embed="rId6">
                      <a:extLst>
                        <a:ext uri="{28A0092B-C50C-407E-A947-70E740481C1C}">
                          <a14:useLocalDpi xmlns:a14="http://schemas.microsoft.com/office/drawing/2010/main" val="0"/>
                        </a:ext>
                      </a:extLst>
                    </a:blip>
                    <a:stretch>
                      <a:fillRect/>
                    </a:stretch>
                  </pic:blipFill>
                  <pic:spPr>
                    <a:xfrm>
                      <a:off x="0" y="0"/>
                      <a:ext cx="5731510" cy="3202940"/>
                    </a:xfrm>
                    <a:prstGeom prst="rect">
                      <a:avLst/>
                    </a:prstGeom>
                  </pic:spPr>
                </pic:pic>
              </a:graphicData>
            </a:graphic>
          </wp:inline>
        </w:drawing>
      </w:r>
    </w:p>
    <w:p w14:paraId="16267E37"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본 연구에서는 출발지에서 15분(Moreno et al., 2021) 시간 예산 내 도달 가능한 노드 집합을 산출하며, 보행 속도는 4.0km/h로 고정한다(</w:t>
      </w:r>
      <w:proofErr w:type="spellStart"/>
      <w:r w:rsidRPr="00207071">
        <w:rPr>
          <w:rFonts w:ascii="바탕체" w:eastAsia="바탕체" w:hAnsi="바탕체"/>
          <w:sz w:val="20"/>
          <w:szCs w:val="20"/>
        </w:rPr>
        <w:t>Bröde</w:t>
      </w:r>
      <w:proofErr w:type="spellEnd"/>
      <w:r w:rsidRPr="00207071">
        <w:rPr>
          <w:rFonts w:ascii="바탕체" w:eastAsia="바탕체" w:hAnsi="바탕체"/>
          <w:sz w:val="20"/>
          <w:szCs w:val="20"/>
        </w:rPr>
        <w:t xml:space="preserve"> et al., 2012, p.483, UTCI 기준활동 보행속도). 이렇게 산출한 </w:t>
      </w:r>
      <m:oMath>
        <m:sSub>
          <m:sSubPr>
            <m:ctrlPr>
              <w:rPr>
                <w:rFonts w:ascii="Cambria Math" w:eastAsia="바탕체" w:hAnsi="Cambria Math"/>
                <w:sz w:val="20"/>
                <w:szCs w:val="20"/>
              </w:rPr>
            </m:ctrlPr>
          </m:sSubPr>
          <m:e>
            <m:r>
              <w:rPr>
                <w:rFonts w:ascii="Cambria Math" w:eastAsia="바탕체" w:hAnsi="Cambria Math"/>
                <w:sz w:val="20"/>
                <w:szCs w:val="20"/>
              </w:rPr>
              <m:t>S</m:t>
            </m:r>
          </m:e>
          <m:sub>
            <m:r>
              <w:rPr>
                <w:rFonts w:ascii="Cambria Math" w:eastAsia="바탕체" w:hAnsi="Cambria Math"/>
                <w:sz w:val="20"/>
                <w:szCs w:val="20"/>
              </w:rPr>
              <m:t>classic</m:t>
            </m:r>
          </m:sub>
        </m:sSub>
      </m:oMath>
      <w:r w:rsidRPr="00207071">
        <w:rPr>
          <w:rFonts w:ascii="바탕체" w:eastAsia="바탕체" w:hAnsi="바탕체"/>
          <w:sz w:val="20"/>
          <w:szCs w:val="20"/>
        </w:rPr>
        <w:t xml:space="preserve">과 </w:t>
      </w:r>
      <m:oMath>
        <m:sSub>
          <m:sSubPr>
            <m:ctrlPr>
              <w:rPr>
                <w:rFonts w:ascii="Cambria Math" w:eastAsia="바탕체" w:hAnsi="Cambria Math"/>
                <w:sz w:val="20"/>
                <w:szCs w:val="20"/>
              </w:rPr>
            </m:ctrlPr>
          </m:sSubPr>
          <m:e>
            <m:r>
              <w:rPr>
                <w:rFonts w:ascii="Cambria Math" w:eastAsia="바탕체" w:hAnsi="Cambria Math"/>
                <w:sz w:val="20"/>
                <w:szCs w:val="20"/>
              </w:rPr>
              <m:t>S</m:t>
            </m:r>
          </m:e>
          <m:sub>
            <m:r>
              <w:rPr>
                <w:rFonts w:ascii="Cambria Math" w:eastAsia="바탕체" w:hAnsi="Cambria Math"/>
                <w:sz w:val="20"/>
                <w:szCs w:val="20"/>
              </w:rPr>
              <m:t>thermal</m:t>
            </m:r>
          </m:sub>
        </m:sSub>
      </m:oMath>
      <w:r w:rsidRPr="00207071">
        <w:rPr>
          <w:rFonts w:ascii="바탕체" w:eastAsia="바탕체" w:hAnsi="바탕체"/>
          <w:sz w:val="20"/>
          <w:szCs w:val="20"/>
        </w:rPr>
        <w:t>을 각각 Classic Catchment(CA)·Stress-Exposure Adjusted Reach(SEAR)로 부르며, 감소 정도는 감소율(%)로 정량화한다:</w:t>
      </w:r>
    </w:p>
    <w:p w14:paraId="5DC4C3AB" w14:textId="77777777" w:rsidR="003B6E21" w:rsidRPr="00207071" w:rsidRDefault="00000000">
      <w:pPr>
        <w:pStyle w:val="a0"/>
        <w:rPr>
          <w:rFonts w:ascii="바탕체" w:eastAsia="바탕체" w:hAnsi="바탕체"/>
          <w:sz w:val="20"/>
          <w:szCs w:val="20"/>
        </w:rPr>
      </w:pPr>
      <m:oMathPara>
        <m:oMathParaPr>
          <m:jc m:val="center"/>
        </m:oMathParaPr>
        <m:oMath>
          <m:sSub>
            <m:sSubPr>
              <m:ctrlPr>
                <w:rPr>
                  <w:rFonts w:ascii="Cambria Math" w:eastAsia="바탕체" w:hAnsi="Cambria Math"/>
                  <w:sz w:val="20"/>
                  <w:szCs w:val="20"/>
                </w:rPr>
              </m:ctrlPr>
            </m:sSubPr>
            <m:e>
              <m:r>
                <m:rPr>
                  <m:nor/>
                </m:rPr>
                <w:rPr>
                  <w:rFonts w:ascii="바탕체" w:eastAsia="바탕체" w:hAnsi="바탕체"/>
                  <w:sz w:val="20"/>
                  <w:szCs w:val="20"/>
                </w:rPr>
                <m:t>감소율</m:t>
              </m:r>
            </m:e>
            <m:sub>
              <m:r>
                <w:rPr>
                  <w:rFonts w:ascii="Cambria Math" w:eastAsia="바탕체" w:hAnsi="Cambria Math"/>
                  <w:sz w:val="20"/>
                  <w:szCs w:val="20"/>
                </w:rPr>
                <m:t>i</m:t>
              </m:r>
            </m:sub>
          </m:sSub>
          <m:r>
            <w:rPr>
              <w:rFonts w:ascii="Cambria Math" w:eastAsia="바탕체" w:hAnsi="Cambria Math"/>
              <w:sz w:val="20"/>
              <w:szCs w:val="20"/>
            </w:rPr>
            <m:t> </m:t>
          </m:r>
          <m:r>
            <m:rPr>
              <m:sty m:val="p"/>
            </m:rPr>
            <w:rPr>
              <w:rFonts w:ascii="Cambria Math" w:eastAsia="바탕체" w:hAnsi="Cambria Math"/>
              <w:sz w:val="20"/>
              <w:szCs w:val="20"/>
            </w:rPr>
            <m:t>(%)=</m:t>
          </m:r>
          <m:f>
            <m:fPr>
              <m:ctrlPr>
                <w:rPr>
                  <w:rFonts w:ascii="Cambria Math" w:eastAsia="바탕체" w:hAnsi="Cambria Math"/>
                  <w:sz w:val="20"/>
                  <w:szCs w:val="20"/>
                </w:rPr>
              </m:ctrlPr>
            </m:fPr>
            <m:num>
              <m:r>
                <w:rPr>
                  <w:rFonts w:ascii="Cambria Math" w:eastAsia="바탕체" w:hAnsi="Cambria Math"/>
                  <w:sz w:val="20"/>
                  <w:szCs w:val="20"/>
                </w:rPr>
                <m:t>C</m:t>
              </m:r>
              <m:sSub>
                <m:sSubPr>
                  <m:ctrlPr>
                    <w:rPr>
                      <w:rFonts w:ascii="Cambria Math" w:eastAsia="바탕체" w:hAnsi="Cambria Math"/>
                      <w:sz w:val="20"/>
                      <w:szCs w:val="20"/>
                    </w:rPr>
                  </m:ctrlPr>
                </m:sSubPr>
                <m:e>
                  <m:r>
                    <w:rPr>
                      <w:rFonts w:ascii="Cambria Math" w:eastAsia="바탕체" w:hAnsi="Cambria Math"/>
                      <w:sz w:val="20"/>
                      <w:szCs w:val="20"/>
                    </w:rPr>
                    <m:t>A</m:t>
                  </m:r>
                </m:e>
                <m:sub>
                  <m:r>
                    <w:rPr>
                      <w:rFonts w:ascii="Cambria Math" w:eastAsia="바탕체" w:hAnsi="Cambria Math"/>
                      <w:sz w:val="20"/>
                      <w:szCs w:val="20"/>
                    </w:rPr>
                    <m:t>i</m:t>
                  </m:r>
                </m:sub>
              </m:sSub>
              <m:r>
                <m:rPr>
                  <m:sty m:val="p"/>
                </m:rPr>
                <w:rPr>
                  <w:rFonts w:ascii="Cambria Math" w:eastAsia="바탕체" w:hAnsi="Cambria Math"/>
                  <w:sz w:val="20"/>
                  <w:szCs w:val="20"/>
                </w:rPr>
                <m:t>-</m:t>
              </m:r>
              <m:r>
                <w:rPr>
                  <w:rFonts w:ascii="Cambria Math" w:eastAsia="바탕체" w:hAnsi="Cambria Math"/>
                  <w:sz w:val="20"/>
                  <w:szCs w:val="20"/>
                </w:rPr>
                <m:t>SEA</m:t>
              </m:r>
              <m:sSub>
                <m:sSubPr>
                  <m:ctrlPr>
                    <w:rPr>
                      <w:rFonts w:ascii="Cambria Math" w:eastAsia="바탕체" w:hAnsi="Cambria Math"/>
                      <w:sz w:val="20"/>
                      <w:szCs w:val="20"/>
                    </w:rPr>
                  </m:ctrlPr>
                </m:sSubPr>
                <m:e>
                  <m:r>
                    <w:rPr>
                      <w:rFonts w:ascii="Cambria Math" w:eastAsia="바탕체" w:hAnsi="Cambria Math"/>
                      <w:sz w:val="20"/>
                      <w:szCs w:val="20"/>
                    </w:rPr>
                    <m:t>R</m:t>
                  </m:r>
                </m:e>
                <m:sub>
                  <m:r>
                    <w:rPr>
                      <w:rFonts w:ascii="Cambria Math" w:eastAsia="바탕체" w:hAnsi="Cambria Math"/>
                      <w:sz w:val="20"/>
                      <w:szCs w:val="20"/>
                    </w:rPr>
                    <m:t>i</m:t>
                  </m:r>
                </m:sub>
              </m:sSub>
            </m:num>
            <m:den>
              <m:r>
                <w:rPr>
                  <w:rFonts w:ascii="Cambria Math" w:eastAsia="바탕체" w:hAnsi="Cambria Math"/>
                  <w:sz w:val="20"/>
                  <w:szCs w:val="20"/>
                </w:rPr>
                <m:t>C</m:t>
              </m:r>
              <m:sSub>
                <m:sSubPr>
                  <m:ctrlPr>
                    <w:rPr>
                      <w:rFonts w:ascii="Cambria Math" w:eastAsia="바탕체" w:hAnsi="Cambria Math"/>
                      <w:sz w:val="20"/>
                      <w:szCs w:val="20"/>
                    </w:rPr>
                  </m:ctrlPr>
                </m:sSubPr>
                <m:e>
                  <m:r>
                    <w:rPr>
                      <w:rFonts w:ascii="Cambria Math" w:eastAsia="바탕체" w:hAnsi="Cambria Math"/>
                      <w:sz w:val="20"/>
                      <w:szCs w:val="20"/>
                    </w:rPr>
                    <m:t>A</m:t>
                  </m:r>
                </m:e>
                <m:sub>
                  <m:r>
                    <w:rPr>
                      <w:rFonts w:ascii="Cambria Math" w:eastAsia="바탕체" w:hAnsi="Cambria Math"/>
                      <w:sz w:val="20"/>
                      <w:szCs w:val="20"/>
                    </w:rPr>
                    <m:t>i</m:t>
                  </m:r>
                </m:sub>
              </m:sSub>
            </m:den>
          </m:f>
          <m:r>
            <m:rPr>
              <m:sty m:val="p"/>
            </m:rPr>
            <w:rPr>
              <w:rFonts w:ascii="Cambria Math" w:eastAsia="바탕체" w:hAnsi="Cambria Math"/>
              <w:sz w:val="20"/>
              <w:szCs w:val="20"/>
            </w:rPr>
            <m:t>×</m:t>
          </m:r>
          <m:r>
            <w:rPr>
              <w:rFonts w:ascii="Cambria Math" w:eastAsia="바탕체" w:hAnsi="Cambria Math"/>
              <w:sz w:val="20"/>
              <w:szCs w:val="20"/>
            </w:rPr>
            <m:t>100  </m:t>
          </m:r>
          <m:r>
            <m:rPr>
              <m:sty m:val="p"/>
            </m:rPr>
            <w:rPr>
              <w:rFonts w:ascii="Cambria Math" w:eastAsia="바탕체" w:hAnsi="Cambria Math"/>
              <w:sz w:val="20"/>
              <w:szCs w:val="20"/>
            </w:rPr>
            <m:t>(</m:t>
          </m:r>
          <m:r>
            <w:rPr>
              <w:rFonts w:ascii="Cambria Math" w:eastAsia="바탕체" w:hAnsi="Cambria Math"/>
              <w:sz w:val="20"/>
              <w:szCs w:val="20"/>
            </w:rPr>
            <m:t>3</m:t>
          </m:r>
          <m:r>
            <m:rPr>
              <m:sty m:val="p"/>
            </m:rPr>
            <w:rPr>
              <w:rFonts w:ascii="Cambria Math" w:eastAsia="바탕체" w:hAnsi="Cambria Math"/>
              <w:sz w:val="20"/>
              <w:szCs w:val="20"/>
            </w:rPr>
            <m:t>)</m:t>
          </m:r>
        </m:oMath>
      </m:oMathPara>
    </w:p>
    <w:p w14:paraId="60936018"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 xml:space="preserve">여기서 </w:t>
      </w:r>
      <m:oMath>
        <m:r>
          <w:rPr>
            <w:rFonts w:ascii="Cambria Math" w:eastAsia="바탕체" w:hAnsi="Cambria Math"/>
            <w:sz w:val="20"/>
            <w:szCs w:val="20"/>
          </w:rPr>
          <m:t>C</m:t>
        </m:r>
        <m:sSub>
          <m:sSubPr>
            <m:ctrlPr>
              <w:rPr>
                <w:rFonts w:ascii="Cambria Math" w:eastAsia="바탕체" w:hAnsi="Cambria Math"/>
                <w:sz w:val="20"/>
                <w:szCs w:val="20"/>
              </w:rPr>
            </m:ctrlPr>
          </m:sSubPr>
          <m:e>
            <m:r>
              <w:rPr>
                <w:rFonts w:ascii="Cambria Math" w:eastAsia="바탕체" w:hAnsi="Cambria Math"/>
                <w:sz w:val="20"/>
                <w:szCs w:val="20"/>
              </w:rPr>
              <m:t>A</m:t>
            </m:r>
          </m:e>
          <m:sub>
            <m:r>
              <w:rPr>
                <w:rFonts w:ascii="Cambria Math" w:eastAsia="바탕체" w:hAnsi="Cambria Math"/>
                <w:sz w:val="20"/>
                <w:szCs w:val="20"/>
              </w:rPr>
              <m:t>i</m:t>
            </m:r>
          </m:sub>
        </m:sSub>
      </m:oMath>
      <w:r w:rsidRPr="00207071">
        <w:rPr>
          <w:rFonts w:ascii="바탕체" w:eastAsia="바탕체" w:hAnsi="바탕체"/>
          <w:sz w:val="20"/>
          <w:szCs w:val="20"/>
        </w:rPr>
        <w:t xml:space="preserve">, </w:t>
      </w:r>
      <m:oMath>
        <m:r>
          <w:rPr>
            <w:rFonts w:ascii="Cambria Math" w:eastAsia="바탕체" w:hAnsi="Cambria Math"/>
            <w:sz w:val="20"/>
            <w:szCs w:val="20"/>
          </w:rPr>
          <m:t>SEA</m:t>
        </m:r>
        <m:sSub>
          <m:sSubPr>
            <m:ctrlPr>
              <w:rPr>
                <w:rFonts w:ascii="Cambria Math" w:eastAsia="바탕체" w:hAnsi="Cambria Math"/>
                <w:sz w:val="20"/>
                <w:szCs w:val="20"/>
              </w:rPr>
            </m:ctrlPr>
          </m:sSubPr>
          <m:e>
            <m:r>
              <w:rPr>
                <w:rFonts w:ascii="Cambria Math" w:eastAsia="바탕체" w:hAnsi="Cambria Math"/>
                <w:sz w:val="20"/>
                <w:szCs w:val="20"/>
              </w:rPr>
              <m:t>R</m:t>
            </m:r>
          </m:e>
          <m:sub>
            <m:r>
              <w:rPr>
                <w:rFonts w:ascii="Cambria Math" w:eastAsia="바탕체" w:hAnsi="Cambria Math"/>
                <w:sz w:val="20"/>
                <w:szCs w:val="20"/>
              </w:rPr>
              <m:t>i</m:t>
            </m:r>
          </m:sub>
        </m:sSub>
      </m:oMath>
      <w:r w:rsidRPr="00207071">
        <w:rPr>
          <w:rFonts w:ascii="바탕체" w:eastAsia="바탕체" w:hAnsi="바탕체"/>
          <w:sz w:val="20"/>
          <w:szCs w:val="20"/>
        </w:rPr>
        <w:t xml:space="preserve">는 각각 출발지 </w:t>
      </w:r>
      <m:oMath>
        <m:r>
          <w:rPr>
            <w:rFonts w:ascii="Cambria Math" w:eastAsia="바탕체" w:hAnsi="Cambria Math"/>
            <w:sz w:val="20"/>
            <w:szCs w:val="20"/>
          </w:rPr>
          <m:t>i</m:t>
        </m:r>
      </m:oMath>
      <w:r w:rsidRPr="00207071">
        <w:rPr>
          <w:rFonts w:ascii="바탕체" w:eastAsia="바탕체" w:hAnsi="바탕체"/>
          <w:sz w:val="20"/>
          <w:szCs w:val="20"/>
        </w:rPr>
        <w:t xml:space="preserve">의 Classic </w:t>
      </w:r>
      <w:proofErr w:type="spellStart"/>
      <w:r w:rsidRPr="00207071">
        <w:rPr>
          <w:rFonts w:ascii="바탕체" w:eastAsia="바탕체" w:hAnsi="바탕체"/>
          <w:sz w:val="20"/>
          <w:szCs w:val="20"/>
        </w:rPr>
        <w:t>Catchment·SEAR</w:t>
      </w:r>
      <w:proofErr w:type="spellEnd"/>
      <w:r w:rsidRPr="00207071">
        <w:rPr>
          <w:rFonts w:ascii="바탕체" w:eastAsia="바탕체" w:hAnsi="바탕체"/>
          <w:sz w:val="20"/>
          <w:szCs w:val="20"/>
        </w:rPr>
        <w:t xml:space="preserve"> 값(도달 가능한 기회 노드 수)이다.</w:t>
      </w:r>
    </w:p>
    <w:p w14:paraId="10DA64EB"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lastRenderedPageBreak/>
        <w:t>SEAR는 특정 접근성 측정 방법에 종속되지 않는다 — 본 연구에서는 누적 기회형 접근성 측정치 중 단순한 방법인 컨투어 메저(</w:t>
      </w:r>
      <w:proofErr w:type="spellStart"/>
      <w:r w:rsidRPr="00207071">
        <w:rPr>
          <w:rFonts w:ascii="바탕체" w:eastAsia="바탕체" w:hAnsi="바탕체"/>
          <w:sz w:val="20"/>
          <w:szCs w:val="20"/>
        </w:rPr>
        <w:t>Geurs</w:t>
      </w:r>
      <w:proofErr w:type="spellEnd"/>
      <w:r w:rsidRPr="00207071">
        <w:rPr>
          <w:rFonts w:ascii="바탕체" w:eastAsia="바탕체" w:hAnsi="바탕체"/>
          <w:sz w:val="20"/>
          <w:szCs w:val="20"/>
        </w:rPr>
        <w:t xml:space="preserve"> and van Wee, 2004)를 통해 SEAR의 활용을 예시로 보이며, 도달 가능한 지하철역· 버스정류장 개수를 기회(opportunity)로 계수한다. 출발지 정의는 분석 목적에 따라 둘로 나뉜다: 서울 전역 메인 분석은 서울 집계구 중심점을 각각 출발지로 스냅하며, 응봉역·성수역 사례 분석은 두 역 자체를 출발지로 삼아 “이 역까지 도보로 얼마나 접근 가능한가”를 역방향으로 묻는다. 최초부터 Classic 기준 접근 불가인 출발지는 분석에서 제외한다.</w:t>
      </w:r>
    </w:p>
    <w:p w14:paraId="255E49F0" w14:textId="77777777" w:rsidR="003B6E21" w:rsidRPr="00207071" w:rsidRDefault="003D0E4C">
      <w:pPr>
        <w:rPr>
          <w:rFonts w:ascii="바탕체" w:eastAsia="바탕체" w:hAnsi="바탕체"/>
          <w:sz w:val="20"/>
          <w:szCs w:val="20"/>
        </w:rPr>
      </w:pPr>
      <w:r w:rsidRPr="00207071">
        <w:rPr>
          <w:rFonts w:ascii="바탕체" w:eastAsia="바탕체" w:hAnsi="바탕체"/>
          <w:noProof/>
          <w:sz w:val="20"/>
          <w:szCs w:val="20"/>
        </w:rPr>
        <mc:AlternateContent>
          <mc:Choice Requires="wps">
            <w:drawing>
              <wp:inline distT="0" distB="0" distL="0" distR="0" wp14:anchorId="241A5C46" wp14:editId="549F963A">
                <wp:extent cx="5943600" cy="13970"/>
                <wp:effectExtent l="0" t="0" r="0" b="0"/>
                <wp:docPr id="1328287883" name="Horizontal Lin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951D560" id="Horizontal Line 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2D47495D"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b/>
          <w:bCs/>
          <w:sz w:val="20"/>
          <w:szCs w:val="20"/>
        </w:rPr>
        <w:t>4. Results</w:t>
      </w:r>
    </w:p>
    <w:p w14:paraId="22D65213" w14:textId="77777777" w:rsidR="003B6E21" w:rsidRPr="00207071" w:rsidRDefault="00000000">
      <w:pPr>
        <w:pStyle w:val="3"/>
        <w:rPr>
          <w:rFonts w:ascii="바탕체" w:eastAsia="바탕체" w:hAnsi="바탕체"/>
          <w:sz w:val="20"/>
          <w:szCs w:val="20"/>
        </w:rPr>
      </w:pPr>
      <w:bookmarkStart w:id="10" w:name="mrt-산출-결과"/>
      <w:bookmarkEnd w:id="8"/>
      <w:bookmarkEnd w:id="9"/>
      <w:r w:rsidRPr="00207071">
        <w:rPr>
          <w:rFonts w:ascii="바탕체" w:eastAsia="바탕체" w:hAnsi="바탕체"/>
          <w:sz w:val="20"/>
          <w:szCs w:val="20"/>
        </w:rPr>
        <w:t>4.1 MRT 산출 결과</w:t>
      </w:r>
    </w:p>
    <w:p w14:paraId="13175BDA"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서울 전역 5m 해상도 MRT 산출 결과, 한강이 뚜렷한 저온대로 나타나고 북한산·관악산 등 산림 지역 역시 뚜렷하게 낮은 MRT를 보이는 반면, 도심 건축 밀집지역은 높은 MRT를 나타냈다. 이러한 공간 패턴은 도로유형별 평균 MRT 비교에서도 체계적으로 확인된다: 등산로·숲길(path)이 37.9°C로 가장 낮고, 주거지역 도로(residential)는 50.5°C, 간선도로급(secondary/ tertiary)은 51.5~52.2°C, 주간선도로(primary/</w:t>
      </w:r>
      <w:proofErr w:type="spellStart"/>
      <w:r w:rsidRPr="00207071">
        <w:rPr>
          <w:rFonts w:ascii="바탕체" w:eastAsia="바탕체" w:hAnsi="바탕체"/>
          <w:sz w:val="20"/>
          <w:szCs w:val="20"/>
        </w:rPr>
        <w:t>trunk_link</w:t>
      </w:r>
      <w:proofErr w:type="spellEnd"/>
      <w:r w:rsidRPr="00207071">
        <w:rPr>
          <w:rFonts w:ascii="바탕체" w:eastAsia="바탕체" w:hAnsi="바탕체"/>
          <w:sz w:val="20"/>
          <w:szCs w:val="20"/>
        </w:rPr>
        <w:t>)는 53.1~53.5°C로 가장 높다.</w:t>
      </w:r>
    </w:p>
    <w:p w14:paraId="022B6F79" w14:textId="77777777" w:rsidR="003B6E21" w:rsidRPr="00207071" w:rsidRDefault="003031A2">
      <w:pPr>
        <w:pStyle w:val="CaptionedFigure"/>
        <w:rPr>
          <w:rFonts w:ascii="바탕체" w:eastAsia="바탕체" w:hAnsi="바탕체"/>
          <w:sz w:val="20"/>
          <w:szCs w:val="20"/>
        </w:rPr>
      </w:pPr>
      <w:r w:rsidRPr="00207071">
        <w:rPr>
          <w:rFonts w:ascii="바탕체" w:eastAsia="바탕체" w:hAnsi="바탕체"/>
          <w:noProof/>
          <w:sz w:val="20"/>
          <w:szCs w:val="20"/>
        </w:rPr>
        <w:drawing>
          <wp:inline distT="0" distB="0" distL="0" distR="0" wp14:anchorId="3260A588" wp14:editId="155533D4">
            <wp:extent cx="5943600" cy="3093085"/>
            <wp:effectExtent l="0" t="0" r="0" b="5715"/>
            <wp:docPr id="551392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9283" name=""/>
                    <pic:cNvPicPr/>
                  </pic:nvPicPr>
                  <pic:blipFill>
                    <a:blip r:embed="rId7"/>
                    <a:stretch>
                      <a:fillRect/>
                    </a:stretch>
                  </pic:blipFill>
                  <pic:spPr>
                    <a:xfrm>
                      <a:off x="0" y="0"/>
                      <a:ext cx="5943600" cy="3093085"/>
                    </a:xfrm>
                    <a:prstGeom prst="rect">
                      <a:avLst/>
                    </a:prstGeom>
                  </pic:spPr>
                </pic:pic>
              </a:graphicData>
            </a:graphic>
          </wp:inline>
        </w:drawing>
      </w:r>
    </w:p>
    <w:p w14:paraId="57602E0D" w14:textId="77777777" w:rsidR="003B6E21" w:rsidRPr="00207071" w:rsidRDefault="00000000">
      <w:pPr>
        <w:pStyle w:val="ImageCaption"/>
        <w:rPr>
          <w:rFonts w:ascii="바탕체" w:eastAsia="바탕체" w:hAnsi="바탕체"/>
          <w:sz w:val="20"/>
          <w:szCs w:val="20"/>
        </w:rPr>
      </w:pPr>
      <w:r w:rsidRPr="00207071">
        <w:rPr>
          <w:rFonts w:ascii="바탕체" w:eastAsia="바탕체" w:hAnsi="바탕체"/>
          <w:sz w:val="20"/>
          <w:szCs w:val="20"/>
        </w:rPr>
        <w:t>그림 4. 평균복사온도(MRT) 공간분포 — (a)서울 전역 (b)성동구 확대</w:t>
      </w:r>
    </w:p>
    <w:p w14:paraId="1FD3924D" w14:textId="77777777" w:rsidR="003B6E21" w:rsidRPr="00207071" w:rsidRDefault="00000000">
      <w:pPr>
        <w:pStyle w:val="a0"/>
        <w:rPr>
          <w:rFonts w:ascii="바탕체" w:eastAsia="바탕체" w:hAnsi="바탕체"/>
          <w:sz w:val="20"/>
          <w:szCs w:val="20"/>
        </w:rPr>
      </w:pPr>
      <w:r w:rsidRPr="00207071">
        <w:rPr>
          <w:rFonts w:ascii="바탕체" w:eastAsia="바탕체" w:hAnsi="바탕체"/>
          <w:b/>
          <w:bCs/>
          <w:sz w:val="20"/>
          <w:szCs w:val="20"/>
        </w:rPr>
        <w:t>그림 4.</w:t>
      </w:r>
      <w:r w:rsidRPr="00207071">
        <w:rPr>
          <w:rFonts w:ascii="바탕체" w:eastAsia="바탕체" w:hAnsi="바탕체"/>
          <w:sz w:val="20"/>
          <w:szCs w:val="20"/>
        </w:rPr>
        <w:t xml:space="preserve"> 평균복사온도(MRT) 공간분포(06~19시 평균, 5m 해상도) — (a) 서울 전역, 상자는 (b) 성동구 위치. (b) 성동구 확대는 서울과 공통 컬러스케일로, 5m 해상도에서 나타나는 건물 단위 공간 디테일을 보여준다. </w:t>
      </w:r>
      <w:r w:rsidRPr="00207071">
        <w:rPr>
          <w:rFonts w:ascii="Apple Color Emoji" w:eastAsia="바탕체" w:hAnsi="Apple Color Emoji" w:cs="Apple Color Emoji"/>
          <w:sz w:val="20"/>
          <w:szCs w:val="20"/>
        </w:rPr>
        <w:t>⚠️</w:t>
      </w:r>
      <w:r w:rsidRPr="00207071">
        <w:rPr>
          <w:rFonts w:ascii="바탕체" w:eastAsia="바탕체" w:hAnsi="바탕체"/>
          <w:sz w:val="20"/>
          <w:szCs w:val="20"/>
        </w:rPr>
        <w:t xml:space="preserve"> 사용자가 PPT로 재제작한 버전으로 교체 예정.</w:t>
      </w:r>
    </w:p>
    <w:p w14:paraId="12A05BD5" w14:textId="77777777" w:rsidR="003B6E21" w:rsidRPr="00207071" w:rsidRDefault="00000000">
      <w:pPr>
        <w:pStyle w:val="CaptionedFigure"/>
        <w:rPr>
          <w:rFonts w:ascii="바탕체" w:eastAsia="바탕체" w:hAnsi="바탕체"/>
          <w:sz w:val="20"/>
          <w:szCs w:val="20"/>
        </w:rPr>
      </w:pPr>
      <w:r w:rsidRPr="00207071">
        <w:rPr>
          <w:rFonts w:ascii="바탕체" w:eastAsia="바탕체" w:hAnsi="바탕체"/>
          <w:noProof/>
          <w:sz w:val="20"/>
          <w:szCs w:val="20"/>
        </w:rPr>
        <w:lastRenderedPageBreak/>
        <w:drawing>
          <wp:inline distT="0" distB="0" distL="0" distR="0" wp14:anchorId="450BFF2F" wp14:editId="78497960">
            <wp:extent cx="5303520" cy="2718094"/>
            <wp:effectExtent l="0" t="0" r="0" b="0"/>
            <wp:docPr id="23" name="Picture" descr="그림 5. 도로유형별 평균 MRT"/>
            <wp:cNvGraphicFramePr/>
            <a:graphic xmlns:a="http://schemas.openxmlformats.org/drawingml/2006/main">
              <a:graphicData uri="http://schemas.openxmlformats.org/drawingml/2006/picture">
                <pic:pic xmlns:pic="http://schemas.openxmlformats.org/drawingml/2006/picture">
                  <pic:nvPicPr>
                    <pic:cNvPr id="24" name="Picture" descr="/Users/jin/석사논문/Thermal_Catchment/figures/figure_도로유형별MRT/서울/도로유형별MRT_서울성동구비교.png"/>
                    <pic:cNvPicPr>
                      <a:picLocks noChangeAspect="1" noChangeArrowheads="1"/>
                    </pic:cNvPicPr>
                  </pic:nvPicPr>
                  <pic:blipFill>
                    <a:blip r:embed="rId8"/>
                    <a:stretch>
                      <a:fillRect/>
                    </a:stretch>
                  </pic:blipFill>
                  <pic:spPr bwMode="auto">
                    <a:xfrm>
                      <a:off x="0" y="0"/>
                      <a:ext cx="5303520" cy="2718094"/>
                    </a:xfrm>
                    <a:prstGeom prst="rect">
                      <a:avLst/>
                    </a:prstGeom>
                    <a:noFill/>
                    <a:ln w="9525">
                      <a:noFill/>
                      <a:headEnd/>
                      <a:tailEnd/>
                    </a:ln>
                  </pic:spPr>
                </pic:pic>
              </a:graphicData>
            </a:graphic>
          </wp:inline>
        </w:drawing>
      </w:r>
    </w:p>
    <w:p w14:paraId="2CEFB546" w14:textId="77777777" w:rsidR="003B6E21" w:rsidRPr="00207071" w:rsidRDefault="00000000">
      <w:pPr>
        <w:pStyle w:val="ImageCaption"/>
        <w:rPr>
          <w:rFonts w:ascii="바탕체" w:eastAsia="바탕체" w:hAnsi="바탕체"/>
          <w:sz w:val="20"/>
          <w:szCs w:val="20"/>
        </w:rPr>
      </w:pPr>
      <w:r w:rsidRPr="00207071">
        <w:rPr>
          <w:rFonts w:ascii="바탕체" w:eastAsia="바탕체" w:hAnsi="바탕체"/>
          <w:sz w:val="20"/>
          <w:szCs w:val="20"/>
        </w:rPr>
        <w:t>그림 5. 도로유형별 평균 MRT</w:t>
      </w:r>
    </w:p>
    <w:p w14:paraId="030A0F6E" w14:textId="77777777" w:rsidR="003B6E21" w:rsidRPr="00207071" w:rsidRDefault="00000000">
      <w:pPr>
        <w:pStyle w:val="a0"/>
        <w:rPr>
          <w:rFonts w:ascii="바탕체" w:eastAsia="바탕체" w:hAnsi="바탕체"/>
          <w:sz w:val="20"/>
          <w:szCs w:val="20"/>
        </w:rPr>
      </w:pPr>
      <w:r w:rsidRPr="00207071">
        <w:rPr>
          <w:rFonts w:ascii="바탕체" w:eastAsia="바탕체" w:hAnsi="바탕체"/>
          <w:b/>
          <w:bCs/>
          <w:sz w:val="20"/>
          <w:szCs w:val="20"/>
        </w:rPr>
        <w:t>그림 5.</w:t>
      </w:r>
      <w:r w:rsidRPr="00207071">
        <w:rPr>
          <w:rFonts w:ascii="바탕체" w:eastAsia="바탕체" w:hAnsi="바탕체"/>
          <w:sz w:val="20"/>
          <w:szCs w:val="20"/>
        </w:rPr>
        <w:t xml:space="preserve"> 도로유형별 평균 MRT — 서울 전역과 성동구 비교(06~19시 평균, 5m 해상도, 링크 단순평균). 등산로·숲길(path)이 가장 낮고 주간선도로(</w:t>
      </w:r>
      <w:proofErr w:type="spellStart"/>
      <w:r w:rsidRPr="00207071">
        <w:rPr>
          <w:rFonts w:ascii="바탕체" w:eastAsia="바탕체" w:hAnsi="바탕체"/>
          <w:sz w:val="20"/>
          <w:szCs w:val="20"/>
        </w:rPr>
        <w:t>primary_link</w:t>
      </w:r>
      <w:proofErr w:type="spellEnd"/>
      <w:r w:rsidRPr="00207071">
        <w:rPr>
          <w:rFonts w:ascii="바탕체" w:eastAsia="바탕체" w:hAnsi="바탕체"/>
          <w:sz w:val="20"/>
          <w:szCs w:val="20"/>
        </w:rPr>
        <w:t>/</w:t>
      </w:r>
      <w:proofErr w:type="spellStart"/>
      <w:r w:rsidRPr="00207071">
        <w:rPr>
          <w:rFonts w:ascii="바탕체" w:eastAsia="바탕체" w:hAnsi="바탕체"/>
          <w:sz w:val="20"/>
          <w:szCs w:val="20"/>
        </w:rPr>
        <w:t>trunk_link</w:t>
      </w:r>
      <w:proofErr w:type="spellEnd"/>
      <w:r w:rsidRPr="00207071">
        <w:rPr>
          <w:rFonts w:ascii="바탕체" w:eastAsia="바탕체" w:hAnsi="바탕체"/>
          <w:sz w:val="20"/>
          <w:szCs w:val="20"/>
        </w:rPr>
        <w:t>)가 가장 높은 순서가 두 스케일에서 동일하게 나타난다.</w:t>
      </w:r>
    </w:p>
    <w:p w14:paraId="33FEB000" w14:textId="77777777" w:rsidR="003B6E21" w:rsidRPr="00207071" w:rsidRDefault="00000000">
      <w:pPr>
        <w:pStyle w:val="3"/>
        <w:rPr>
          <w:rFonts w:ascii="바탕체" w:eastAsia="바탕체" w:hAnsi="바탕체"/>
          <w:sz w:val="20"/>
          <w:szCs w:val="20"/>
        </w:rPr>
      </w:pPr>
      <w:bookmarkStart w:id="11" w:name="utci-산출-결과"/>
      <w:bookmarkEnd w:id="10"/>
      <w:r w:rsidRPr="00207071">
        <w:rPr>
          <w:rFonts w:ascii="바탕체" w:eastAsia="바탕체" w:hAnsi="바탕체"/>
          <w:sz w:val="20"/>
          <w:szCs w:val="20"/>
        </w:rPr>
        <w:t>4.2 UTCI 산출 결과</w:t>
      </w:r>
    </w:p>
    <w:p w14:paraId="4CB2BCF4"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MRT의 시간대별 표준편차는 06시 0.31°C, 12시 6.52°C, 19시 4.90°C로, 정오 무렵 링크 간 공간 분화가 가장 크게 벌어진다. UTCI는 06시 28.8°C에서 14시 43.1°C까지 변화하는데(KMA 격자기상 기반, 링크 평균), 그 값의 범위는 같은 시간대 MRT(약 23~70°C)보다 훨씬 좁게 압축되어 나타난다. UTCI (</w:t>
      </w:r>
      <w:proofErr w:type="spellStart"/>
      <w:r w:rsidRPr="00207071">
        <w:rPr>
          <w:rFonts w:ascii="바탕체" w:eastAsia="바탕체" w:hAnsi="바탕체"/>
          <w:sz w:val="20"/>
          <w:szCs w:val="20"/>
        </w:rPr>
        <w:t>Bröde</w:t>
      </w:r>
      <w:proofErr w:type="spellEnd"/>
      <w:r w:rsidRPr="00207071">
        <w:rPr>
          <w:rFonts w:ascii="바탕체" w:eastAsia="바탕체" w:hAnsi="바탕체"/>
          <w:sz w:val="20"/>
          <w:szCs w:val="20"/>
        </w:rPr>
        <w:t xml:space="preserve"> et al., </w:t>
      </w:r>
      <w:proofErr w:type="gramStart"/>
      <w:r w:rsidRPr="00207071">
        <w:rPr>
          <w:rFonts w:ascii="바탕체" w:eastAsia="바탕체" w:hAnsi="바탕체"/>
          <w:sz w:val="20"/>
          <w:szCs w:val="20"/>
        </w:rPr>
        <w:t>2012)는</w:t>
      </w:r>
      <w:proofErr w:type="gramEnd"/>
      <w:r w:rsidRPr="00207071">
        <w:rPr>
          <w:rFonts w:ascii="바탕체" w:eastAsia="바탕체" w:hAnsi="바탕체"/>
          <w:sz w:val="20"/>
          <w:szCs w:val="20"/>
        </w:rPr>
        <w:t xml:space="preserve"> MRT 변화를 비선형적으로 완충하는 회귀식으로 정의된다. UTCI 공식 열스트레스 급간(표 3) 기준으로 분류하면, 낮 시간대(10~14시)는 링크 기준 93.8%가 Very Strong Heat Stress(≥38°C) 등급으로 대부분의 공간이 이에 해당하지만, 저녁 시간대(15~19시)는 66.2%로 다소 낮아진다.</w:t>
      </w:r>
    </w:p>
    <w:p w14:paraId="0007BC07" w14:textId="77777777" w:rsidR="003B6E21" w:rsidRPr="00207071" w:rsidRDefault="00000000">
      <w:pPr>
        <w:pStyle w:val="a0"/>
        <w:rPr>
          <w:rFonts w:ascii="바탕체" w:eastAsia="바탕체" w:hAnsi="바탕체" w:hint="eastAsia"/>
          <w:sz w:val="20"/>
          <w:szCs w:val="20"/>
          <w:lang w:eastAsia="ko-KR"/>
        </w:rPr>
      </w:pPr>
      <w:r w:rsidRPr="00207071">
        <w:rPr>
          <w:rFonts w:ascii="바탕체" w:eastAsia="바탕체" w:hAnsi="바탕체"/>
          <w:sz w:val="20"/>
          <w:szCs w:val="20"/>
        </w:rPr>
        <w:lastRenderedPageBreak/>
        <w:t xml:space="preserve">  </w:t>
      </w:r>
      <w:r w:rsidR="00D80C0B" w:rsidRPr="00207071">
        <w:rPr>
          <w:rFonts w:ascii="바탕체" w:eastAsia="바탕체" w:hAnsi="바탕체"/>
          <w:noProof/>
          <w:sz w:val="20"/>
          <w:szCs w:val="20"/>
        </w:rPr>
        <w:drawing>
          <wp:inline distT="0" distB="0" distL="0" distR="0" wp14:anchorId="518DF825" wp14:editId="204BCF3D">
            <wp:extent cx="5943600" cy="3224857"/>
            <wp:effectExtent l="0" t="0" r="0" b="1270"/>
            <wp:docPr id="11626687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68771" name="그림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24857"/>
                    </a:xfrm>
                    <a:prstGeom prst="rect">
                      <a:avLst/>
                    </a:prstGeom>
                  </pic:spPr>
                </pic:pic>
              </a:graphicData>
            </a:graphic>
          </wp:inline>
        </w:drawing>
      </w:r>
    </w:p>
    <w:p w14:paraId="7ABB3E5B" w14:textId="77777777" w:rsidR="003B6E21" w:rsidRPr="00207071" w:rsidRDefault="00000000">
      <w:pPr>
        <w:pStyle w:val="a0"/>
        <w:rPr>
          <w:rFonts w:ascii="바탕체" w:eastAsia="바탕체" w:hAnsi="바탕체"/>
          <w:sz w:val="20"/>
          <w:szCs w:val="20"/>
          <w:lang w:eastAsia="ko-KR"/>
        </w:rPr>
      </w:pPr>
      <w:r w:rsidRPr="00207071">
        <w:rPr>
          <w:rFonts w:ascii="바탕체" w:eastAsia="바탕체" w:hAnsi="바탕체"/>
          <w:b/>
          <w:bCs/>
          <w:sz w:val="20"/>
          <w:szCs w:val="20"/>
        </w:rPr>
        <w:t>그림 6.</w:t>
      </w:r>
      <w:r w:rsidRPr="00207071">
        <w:rPr>
          <w:rFonts w:ascii="바탕체" w:eastAsia="바탕체" w:hAnsi="바탕체"/>
          <w:sz w:val="20"/>
          <w:szCs w:val="20"/>
        </w:rPr>
        <w:t xml:space="preserve"> 서울 전역 UTCI 열스트레스 분포</w:t>
      </w:r>
    </w:p>
    <w:p w14:paraId="7C5420A4"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UTCI 38°C를 임계값으로 시간대별 이진적 제거 대상 링크 비율(전체 링크 중 UTCI가 38°C 이상인 비율)을 산출한 결과, 06시 0%에서 시작해 정오 무렵 96%대까지 상승한 뒤 저녁으로 갈수록 다시 낮아지는 종 모양 패턴을 보였다. 같은 데이터를 임계값-시간대 민감도 분석으로 확인하면, 링크의 약 50%가 임계값을 초과하는 “균형점” 온도(링크 UTCI 중앙값)가 시간대에 따라 이동함을 알 수 있다: 06시 28.8°C → 09시 37.0°C → 12~14시 42.9~43.5°C → 19시 34.8°C.</w:t>
      </w:r>
    </w:p>
    <w:p w14:paraId="42752FE2" w14:textId="77777777" w:rsidR="003B6E21" w:rsidRPr="00207071" w:rsidRDefault="003B6E21">
      <w:pPr>
        <w:pStyle w:val="CaptionedFigure"/>
        <w:rPr>
          <w:rFonts w:ascii="바탕체" w:eastAsia="바탕체" w:hAnsi="바탕체"/>
          <w:sz w:val="20"/>
          <w:szCs w:val="20"/>
        </w:rPr>
      </w:pPr>
    </w:p>
    <w:p w14:paraId="24BAD821" w14:textId="77777777" w:rsidR="003B6E21" w:rsidRPr="00207071" w:rsidRDefault="00000000">
      <w:pPr>
        <w:pStyle w:val="3"/>
        <w:rPr>
          <w:rFonts w:ascii="바탕체" w:eastAsia="바탕체" w:hAnsi="바탕체"/>
          <w:sz w:val="20"/>
          <w:szCs w:val="20"/>
        </w:rPr>
      </w:pPr>
      <w:bookmarkStart w:id="12" w:name="sear-산출-결과"/>
      <w:bookmarkEnd w:id="11"/>
      <w:r w:rsidRPr="00207071">
        <w:rPr>
          <w:rFonts w:ascii="바탕체" w:eastAsia="바탕체" w:hAnsi="바탕체"/>
          <w:sz w:val="20"/>
          <w:szCs w:val="20"/>
        </w:rPr>
        <w:t>4.3 SEAR 산출 결과</w:t>
      </w:r>
    </w:p>
    <w:p w14:paraId="2F023A76"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서울시 집계구 17,754개(중복 스냅 제거 후) 중심점을 출발지로 CA와 SEAR를 산출하였다. 도달 가능한 지하철역(367개) 및 버스정류장(10,916개) 개수를 “기회(opportunity)”로 계수하며, 감소율은 이 기회 개수를 기준으로 (CA − SEAR) / CA × 100을 산출한다.</w:t>
      </w:r>
    </w:p>
    <w:p w14:paraId="03899DDB" w14:textId="77777777" w:rsidR="003B6E21" w:rsidRPr="00207071" w:rsidRDefault="00000000">
      <w:pPr>
        <w:pStyle w:val="a0"/>
        <w:rPr>
          <w:rFonts w:ascii="바탕체" w:eastAsia="바탕체" w:hAnsi="바탕체"/>
          <w:sz w:val="20"/>
          <w:szCs w:val="20"/>
        </w:rPr>
      </w:pPr>
      <w:r w:rsidRPr="00207071">
        <w:rPr>
          <w:rFonts w:ascii="바탕체" w:eastAsia="바탕체" w:hAnsi="바탕체"/>
          <w:b/>
          <w:bCs/>
          <w:sz w:val="20"/>
          <w:szCs w:val="20"/>
        </w:rPr>
        <w:t>표 4.</w:t>
      </w:r>
      <w:r w:rsidRPr="00207071">
        <w:rPr>
          <w:rFonts w:ascii="바탕체" w:eastAsia="바탕체" w:hAnsi="바탕체"/>
          <w:sz w:val="20"/>
          <w:szCs w:val="20"/>
        </w:rPr>
        <w:t xml:space="preserve"> 시각별 감소율</w:t>
      </w:r>
    </w:p>
    <w:tbl>
      <w:tblPr>
        <w:tblStyle w:val="Table"/>
        <w:tblW w:w="0" w:type="auto"/>
        <w:tblLook w:val="0020" w:firstRow="1" w:lastRow="0" w:firstColumn="0" w:lastColumn="0" w:noHBand="0" w:noVBand="0"/>
      </w:tblPr>
      <w:tblGrid>
        <w:gridCol w:w="716"/>
        <w:gridCol w:w="1116"/>
      </w:tblGrid>
      <w:tr w:rsidR="003B6E21" w:rsidRPr="00207071" w14:paraId="726ED1A6" w14:textId="77777777" w:rsidTr="003B6E21">
        <w:trPr>
          <w:cnfStyle w:val="100000000000" w:firstRow="1" w:lastRow="0" w:firstColumn="0" w:lastColumn="0" w:oddVBand="0" w:evenVBand="0" w:oddHBand="0" w:evenHBand="0" w:firstRowFirstColumn="0" w:firstRowLastColumn="0" w:lastRowFirstColumn="0" w:lastRowLastColumn="0"/>
          <w:tblHeader/>
        </w:trPr>
        <w:tc>
          <w:tcPr>
            <w:tcW w:w="0" w:type="auto"/>
          </w:tcPr>
          <w:p w14:paraId="51799DFE"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시각</w:t>
            </w:r>
          </w:p>
        </w:tc>
        <w:tc>
          <w:tcPr>
            <w:tcW w:w="0" w:type="auto"/>
          </w:tcPr>
          <w:p w14:paraId="41AF0565"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감소율(%)</w:t>
            </w:r>
          </w:p>
        </w:tc>
      </w:tr>
      <w:tr w:rsidR="003B6E21" w:rsidRPr="00207071" w14:paraId="1F699A48" w14:textId="77777777">
        <w:tc>
          <w:tcPr>
            <w:tcW w:w="0" w:type="auto"/>
          </w:tcPr>
          <w:p w14:paraId="206DC4F8"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06~08</w:t>
            </w:r>
          </w:p>
        </w:tc>
        <w:tc>
          <w:tcPr>
            <w:tcW w:w="0" w:type="auto"/>
          </w:tcPr>
          <w:p w14:paraId="2E2A14B8"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0.0</w:t>
            </w:r>
          </w:p>
        </w:tc>
      </w:tr>
      <w:tr w:rsidR="003B6E21" w:rsidRPr="00207071" w14:paraId="7F61BA63" w14:textId="77777777">
        <w:tc>
          <w:tcPr>
            <w:tcW w:w="0" w:type="auto"/>
          </w:tcPr>
          <w:p w14:paraId="315081EA"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09</w:t>
            </w:r>
          </w:p>
        </w:tc>
        <w:tc>
          <w:tcPr>
            <w:tcW w:w="0" w:type="auto"/>
          </w:tcPr>
          <w:p w14:paraId="7894CBF7"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39.9</w:t>
            </w:r>
          </w:p>
        </w:tc>
      </w:tr>
      <w:tr w:rsidR="003B6E21" w:rsidRPr="00207071" w14:paraId="08AB54EB" w14:textId="77777777">
        <w:tc>
          <w:tcPr>
            <w:tcW w:w="0" w:type="auto"/>
          </w:tcPr>
          <w:p w14:paraId="63386B50"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10</w:t>
            </w:r>
          </w:p>
        </w:tc>
        <w:tc>
          <w:tcPr>
            <w:tcW w:w="0" w:type="auto"/>
          </w:tcPr>
          <w:p w14:paraId="0679C5F1"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99.6</w:t>
            </w:r>
          </w:p>
        </w:tc>
      </w:tr>
      <w:tr w:rsidR="003B6E21" w:rsidRPr="00207071" w14:paraId="44B5CA41" w14:textId="77777777">
        <w:tc>
          <w:tcPr>
            <w:tcW w:w="0" w:type="auto"/>
          </w:tcPr>
          <w:p w14:paraId="2FE56ED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11~16</w:t>
            </w:r>
          </w:p>
        </w:tc>
        <w:tc>
          <w:tcPr>
            <w:tcW w:w="0" w:type="auto"/>
          </w:tcPr>
          <w:p w14:paraId="0FDA4C8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99.9</w:t>
            </w:r>
          </w:p>
        </w:tc>
      </w:tr>
      <w:tr w:rsidR="003B6E21" w:rsidRPr="00207071" w14:paraId="22A8EFE7" w14:textId="77777777">
        <w:tc>
          <w:tcPr>
            <w:tcW w:w="0" w:type="auto"/>
          </w:tcPr>
          <w:p w14:paraId="0D1CEDD8"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17</w:t>
            </w:r>
          </w:p>
        </w:tc>
        <w:tc>
          <w:tcPr>
            <w:tcW w:w="0" w:type="auto"/>
          </w:tcPr>
          <w:p w14:paraId="29DD1CDC"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99.8</w:t>
            </w:r>
          </w:p>
        </w:tc>
      </w:tr>
      <w:tr w:rsidR="003B6E21" w:rsidRPr="00207071" w14:paraId="734D92E5" w14:textId="77777777">
        <w:tc>
          <w:tcPr>
            <w:tcW w:w="0" w:type="auto"/>
          </w:tcPr>
          <w:p w14:paraId="46082B70"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18</w:t>
            </w:r>
          </w:p>
        </w:tc>
        <w:tc>
          <w:tcPr>
            <w:tcW w:w="0" w:type="auto"/>
          </w:tcPr>
          <w:p w14:paraId="42773C35"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90.7</w:t>
            </w:r>
          </w:p>
        </w:tc>
      </w:tr>
      <w:tr w:rsidR="003B6E21" w:rsidRPr="00207071" w14:paraId="24D263B8" w14:textId="77777777">
        <w:tc>
          <w:tcPr>
            <w:tcW w:w="0" w:type="auto"/>
          </w:tcPr>
          <w:p w14:paraId="02094CA3"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19</w:t>
            </w:r>
          </w:p>
        </w:tc>
        <w:tc>
          <w:tcPr>
            <w:tcW w:w="0" w:type="auto"/>
          </w:tcPr>
          <w:p w14:paraId="39CDBCD7"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1.1</w:t>
            </w:r>
          </w:p>
        </w:tc>
      </w:tr>
    </w:tbl>
    <w:p w14:paraId="36484BA2" w14:textId="77777777" w:rsidR="003B6E21" w:rsidRPr="00207071" w:rsidRDefault="00000000">
      <w:pPr>
        <w:pStyle w:val="CaptionedFigure"/>
        <w:rPr>
          <w:rFonts w:ascii="바탕체" w:eastAsia="바탕체" w:hAnsi="바탕체"/>
          <w:sz w:val="20"/>
          <w:szCs w:val="20"/>
        </w:rPr>
      </w:pPr>
      <w:r w:rsidRPr="00207071">
        <w:rPr>
          <w:rFonts w:ascii="바탕체" w:eastAsia="바탕체" w:hAnsi="바탕체"/>
          <w:noProof/>
          <w:sz w:val="20"/>
          <w:szCs w:val="20"/>
        </w:rPr>
        <w:lastRenderedPageBreak/>
        <w:drawing>
          <wp:inline distT="0" distB="0" distL="0" distR="0" wp14:anchorId="46B5ADC7" wp14:editId="42D8947E">
            <wp:extent cx="5029200" cy="2514600"/>
            <wp:effectExtent l="0" t="0" r="0" b="0"/>
            <wp:docPr id="40" name="Picture" descr="그림 8. 시간대별 감소율"/>
            <wp:cNvGraphicFramePr/>
            <a:graphic xmlns:a="http://schemas.openxmlformats.org/drawingml/2006/main">
              <a:graphicData uri="http://schemas.openxmlformats.org/drawingml/2006/picture">
                <pic:pic xmlns:pic="http://schemas.openxmlformats.org/drawingml/2006/picture">
                  <pic:nvPicPr>
                    <pic:cNvPr id="41" name="Picture" descr="/Users/jin/석사논문/Thermal_Catchment/figures/figure_감소율_시간대/서울/감소율_시간대.png"/>
                    <pic:cNvPicPr>
                      <a:picLocks noChangeAspect="1" noChangeArrowheads="1"/>
                    </pic:cNvPicPr>
                  </pic:nvPicPr>
                  <pic:blipFill>
                    <a:blip r:embed="rId10"/>
                    <a:stretch>
                      <a:fillRect/>
                    </a:stretch>
                  </pic:blipFill>
                  <pic:spPr bwMode="auto">
                    <a:xfrm>
                      <a:off x="0" y="0"/>
                      <a:ext cx="5029200" cy="2514600"/>
                    </a:xfrm>
                    <a:prstGeom prst="rect">
                      <a:avLst/>
                    </a:prstGeom>
                    <a:noFill/>
                    <a:ln w="9525">
                      <a:noFill/>
                      <a:headEnd/>
                      <a:tailEnd/>
                    </a:ln>
                  </pic:spPr>
                </pic:pic>
              </a:graphicData>
            </a:graphic>
          </wp:inline>
        </w:drawing>
      </w:r>
    </w:p>
    <w:p w14:paraId="0E8A4BC3" w14:textId="77777777" w:rsidR="003B6E21" w:rsidRPr="00207071" w:rsidRDefault="00000000">
      <w:pPr>
        <w:pStyle w:val="ImageCaption"/>
        <w:rPr>
          <w:rFonts w:ascii="바탕체" w:eastAsia="바탕체" w:hAnsi="바탕체"/>
          <w:sz w:val="20"/>
          <w:szCs w:val="20"/>
        </w:rPr>
      </w:pPr>
      <w:r w:rsidRPr="00207071">
        <w:rPr>
          <w:rFonts w:ascii="바탕체" w:eastAsia="바탕체" w:hAnsi="바탕체"/>
          <w:sz w:val="20"/>
          <w:szCs w:val="20"/>
        </w:rPr>
        <w:t>그림 8. 시간대별 감소율</w:t>
      </w:r>
    </w:p>
    <w:p w14:paraId="6A893D5F" w14:textId="77777777" w:rsidR="003B6E21" w:rsidRPr="00207071" w:rsidRDefault="00000000">
      <w:pPr>
        <w:pStyle w:val="a0"/>
        <w:rPr>
          <w:rFonts w:ascii="바탕체" w:eastAsia="바탕체" w:hAnsi="바탕체"/>
          <w:sz w:val="20"/>
          <w:szCs w:val="20"/>
        </w:rPr>
      </w:pPr>
      <w:r w:rsidRPr="00207071">
        <w:rPr>
          <w:rFonts w:ascii="바탕체" w:eastAsia="바탕체" w:hAnsi="바탕체"/>
          <w:b/>
          <w:bCs/>
          <w:sz w:val="20"/>
          <w:szCs w:val="20"/>
        </w:rPr>
        <w:t>그림 8.</w:t>
      </w:r>
      <w:r w:rsidRPr="00207071">
        <w:rPr>
          <w:rFonts w:ascii="바탕체" w:eastAsia="바탕체" w:hAnsi="바탕체"/>
          <w:sz w:val="20"/>
          <w:szCs w:val="20"/>
        </w:rPr>
        <w:t xml:space="preserve"> 서울 전역 집계구 기준 시간대별 감소율(%).</w:t>
      </w:r>
    </w:p>
    <w:p w14:paraId="2E0454EE"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감소율은 06~08시 0%에서 시작해 09시(39.9%) 이후 급격히 상승, 10시부터 17시까지 99% 내외의 포화 상태를 유지하다가 18시(90.7%)를 거쳐 19시(1.1%)로 다시 급락하는 종 모양 패턴을 보였다.</w:t>
      </w:r>
    </w:p>
    <w:p w14:paraId="773B0C1E"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위와 동일한 패턴은 서로 다른 세 공간 스케일에서 반복적으로 확인되었다: (1) 성동구 파일럿(응봉역·성수역 2개 지점), (2) 서울 전역 지하철역 367개 지점, (3) 서울 전역 집계구 17,754개 지점. 또한 메인 분석에 사용한 서울시 도보 네트워크 API 대신 OpenStreetMap으로 전체 파이프라인을 재현한 결과, 정오~오후 포화 시간대는 감소율 차이가 0.2%p 이내로 거의 완전히 일치했고 전환 시간대(09·18시)에서만 5%p 안팎의 차이가 나타났다 (평균 절대차이 0.83%p).</w:t>
      </w:r>
    </w:p>
    <w:p w14:paraId="2F4CDD0D" w14:textId="77777777" w:rsidR="003B6E21" w:rsidRPr="00207071" w:rsidRDefault="00000000">
      <w:pPr>
        <w:pStyle w:val="a0"/>
        <w:rPr>
          <w:rFonts w:ascii="바탕체" w:eastAsia="바탕체" w:hAnsi="바탕체"/>
          <w:sz w:val="20"/>
          <w:szCs w:val="20"/>
        </w:rPr>
      </w:pPr>
      <w:r w:rsidRPr="00207071">
        <w:rPr>
          <w:rFonts w:ascii="바탕체" w:eastAsia="바탕체" w:hAnsi="바탕체"/>
          <w:noProof/>
          <w:sz w:val="20"/>
          <w:szCs w:val="20"/>
        </w:rPr>
        <w:drawing>
          <wp:inline distT="0" distB="0" distL="0" distR="0" wp14:anchorId="09C58084" wp14:editId="78DFFA27">
            <wp:extent cx="2788920" cy="2788920"/>
            <wp:effectExtent l="0" t="0" r="0" b="0"/>
            <wp:docPr id="43" name="Picture" descr="그림 9. 응봉역 Classic vs SEAR"/>
            <wp:cNvGraphicFramePr/>
            <a:graphic xmlns:a="http://schemas.openxmlformats.org/drawingml/2006/main">
              <a:graphicData uri="http://schemas.openxmlformats.org/drawingml/2006/picture">
                <pic:pic xmlns:pic="http://schemas.openxmlformats.org/drawingml/2006/picture">
                  <pic:nvPicPr>
                    <pic:cNvPr id="44" name="Picture" descr="/Users/jin/석사논문/Thermal_Catchment/figures/figure_응봉성수캐치먼트/성동구/응봉역/eungbong_09시.png"/>
                    <pic:cNvPicPr>
                      <a:picLocks noChangeAspect="1" noChangeArrowheads="1"/>
                    </pic:cNvPicPr>
                  </pic:nvPicPr>
                  <pic:blipFill>
                    <a:blip r:embed="rId11"/>
                    <a:stretch>
                      <a:fillRect/>
                    </a:stretch>
                  </pic:blipFill>
                  <pic:spPr bwMode="auto">
                    <a:xfrm>
                      <a:off x="0" y="0"/>
                      <a:ext cx="2788920" cy="2788920"/>
                    </a:xfrm>
                    <a:prstGeom prst="rect">
                      <a:avLst/>
                    </a:prstGeom>
                    <a:noFill/>
                    <a:ln w="9525">
                      <a:noFill/>
                      <a:headEnd/>
                      <a:tailEnd/>
                    </a:ln>
                  </pic:spPr>
                </pic:pic>
              </a:graphicData>
            </a:graphic>
          </wp:inline>
        </w:drawing>
      </w:r>
      <w:r w:rsidRPr="00207071">
        <w:rPr>
          <w:rFonts w:ascii="바탕체" w:eastAsia="바탕체" w:hAnsi="바탕체"/>
          <w:sz w:val="20"/>
          <w:szCs w:val="20"/>
        </w:rPr>
        <w:t xml:space="preserve"> </w:t>
      </w:r>
      <w:r w:rsidRPr="00207071">
        <w:rPr>
          <w:rFonts w:ascii="바탕체" w:eastAsia="바탕체" w:hAnsi="바탕체"/>
          <w:noProof/>
          <w:sz w:val="20"/>
          <w:szCs w:val="20"/>
        </w:rPr>
        <w:drawing>
          <wp:inline distT="0" distB="0" distL="0" distR="0" wp14:anchorId="438C9ED5" wp14:editId="04B6242E">
            <wp:extent cx="2788920" cy="2788920"/>
            <wp:effectExtent l="0" t="0" r="0" b="0"/>
            <wp:docPr id="46" name="Picture" descr="그림 10. 성수역 Classic vs SEAR"/>
            <wp:cNvGraphicFramePr/>
            <a:graphic xmlns:a="http://schemas.openxmlformats.org/drawingml/2006/main">
              <a:graphicData uri="http://schemas.openxmlformats.org/drawingml/2006/picture">
                <pic:pic xmlns:pic="http://schemas.openxmlformats.org/drawingml/2006/picture">
                  <pic:nvPicPr>
                    <pic:cNvPr id="47" name="Picture" descr="/Users/jin/석사논문/Thermal_Catchment/figures/figure_응봉성수캐치먼트/성동구/성수역/sungsoo_09시.png"/>
                    <pic:cNvPicPr>
                      <a:picLocks noChangeAspect="1" noChangeArrowheads="1"/>
                    </pic:cNvPicPr>
                  </pic:nvPicPr>
                  <pic:blipFill>
                    <a:blip r:embed="rId12"/>
                    <a:stretch>
                      <a:fillRect/>
                    </a:stretch>
                  </pic:blipFill>
                  <pic:spPr bwMode="auto">
                    <a:xfrm>
                      <a:off x="0" y="0"/>
                      <a:ext cx="2788920" cy="2788920"/>
                    </a:xfrm>
                    <a:prstGeom prst="rect">
                      <a:avLst/>
                    </a:prstGeom>
                    <a:noFill/>
                    <a:ln w="9525">
                      <a:noFill/>
                      <a:headEnd/>
                      <a:tailEnd/>
                    </a:ln>
                  </pic:spPr>
                </pic:pic>
              </a:graphicData>
            </a:graphic>
          </wp:inline>
        </w:drawing>
      </w:r>
    </w:p>
    <w:p w14:paraId="32C902D5" w14:textId="77777777" w:rsidR="003B6E21" w:rsidRPr="00207071" w:rsidRDefault="00000000">
      <w:pPr>
        <w:pStyle w:val="a0"/>
        <w:rPr>
          <w:rFonts w:ascii="바탕체" w:eastAsia="바탕체" w:hAnsi="바탕체"/>
          <w:sz w:val="20"/>
          <w:szCs w:val="20"/>
        </w:rPr>
      </w:pPr>
      <w:r w:rsidRPr="00207071">
        <w:rPr>
          <w:rFonts w:ascii="바탕체" w:eastAsia="바탕체" w:hAnsi="바탕체"/>
          <w:b/>
          <w:bCs/>
          <w:sz w:val="20"/>
          <w:szCs w:val="20"/>
        </w:rPr>
        <w:t>그림 9~10.</w:t>
      </w:r>
      <w:r w:rsidRPr="00207071">
        <w:rPr>
          <w:rFonts w:ascii="바탕체" w:eastAsia="바탕체" w:hAnsi="바탕체"/>
          <w:sz w:val="20"/>
          <w:szCs w:val="20"/>
        </w:rPr>
        <w:t xml:space="preserve"> 응봉역(좌)·성수역(우) 인근 Classic Catchment vs SEAR — 서울시 도보 네트워크 API 기준, 09시·UTCI≥38°C. </w:t>
      </w:r>
      <w:r w:rsidRPr="00207071">
        <w:rPr>
          <w:rFonts w:ascii="Apple Color Emoji" w:eastAsia="바탕체" w:hAnsi="Apple Color Emoji" w:cs="Apple Color Emoji"/>
          <w:sz w:val="20"/>
          <w:szCs w:val="20"/>
        </w:rPr>
        <w:t>⚠️</w:t>
      </w:r>
      <w:r w:rsidRPr="00207071">
        <w:rPr>
          <w:rFonts w:ascii="바탕체" w:eastAsia="바탕체" w:hAnsi="바탕체"/>
          <w:sz w:val="20"/>
          <w:szCs w:val="20"/>
        </w:rPr>
        <w:t xml:space="preserve"> 척도(전체 노드 기준 vs 기회 기준) 재확인 필요.</w:t>
      </w:r>
    </w:p>
    <w:p w14:paraId="647E6750"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lastRenderedPageBreak/>
        <w:t>성동구 파일럿 확인 결과, 보행 네트워크 노드의 평균 차수(degree)는 2.50(중앙값 3)에 불과했으며, 노드의 28.2%는 차수 1(막다른 골목)이었다. 이러한 성긴 네트워크 구조에서는, 임계값을 초과하는 링크가 반경 내 일부(응봉역 반경 1.2km 기준 09시 10.5%)에 그치더라도, 도달 가능한 기회 기준 접근성은 09시 97.8% 감소하였다(성수역은 35.2%). 반면 19시에는 두 지점 모두 반경 내 초과 링크가 사실상 사라져(0.0%) 접근성 손실도 전혀 발생하지 않았다(감소율 0.0%).</w:t>
      </w:r>
    </w:p>
    <w:p w14:paraId="604E6245" w14:textId="77777777" w:rsidR="003B6E21" w:rsidRPr="00207071" w:rsidRDefault="00000000">
      <w:pPr>
        <w:pStyle w:val="3"/>
        <w:rPr>
          <w:rFonts w:ascii="바탕체" w:eastAsia="바탕체" w:hAnsi="바탕체"/>
          <w:sz w:val="20"/>
          <w:szCs w:val="20"/>
        </w:rPr>
      </w:pPr>
      <w:bookmarkStart w:id="13" w:name="해상도연구지역-규모-비교-mrt-기존-vs-우리"/>
      <w:bookmarkEnd w:id="12"/>
      <w:r w:rsidRPr="00207071">
        <w:rPr>
          <w:rFonts w:ascii="바탕체" w:eastAsia="바탕체" w:hAnsi="바탕체"/>
          <w:sz w:val="20"/>
          <w:szCs w:val="20"/>
        </w:rPr>
        <w:t>4.4 해상도·연구지역 규모 비교 — MRT 기존 vs 우리</w:t>
      </w:r>
    </w:p>
    <w:p w14:paraId="3A1CD4B9"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계산 해상도는 임의로 정하지 않고, 성동구를 대상으로 완전히 동일한 지형·건물·수목 입력 데이터에서 1/5/10/15/30m 5개 해상도로 SOLWEIG→UTCI 전체 파이프라인을 각각 실행해 실증 비교하였다(그림 11). 해상도를 30m에서 1m로 높일수록 계산 시간은 23초에서 23.9시간까지 3,739배 증가하는 반면, 1m 대비 정밀도(링크 UTCI 상관계수 r, 이진적 제거 판정 일치율)는 단조적으로 개선되었다. 5m 해상도는 1m 대비 r=0.9448, 판정 일치율 92.65%를 유지하면서 계산량은 78배 절감한다. 1m 해상도로 서울 전역을 처리할 경우 단순 선형 추정으로도 약 496시간(약 20.7일)이 소요되며, 이는 선행연구들의 연구지역 규모(표 1 — 가장 넓은 Basu의 보스턴도 서울의 20.64%)에서는 발생하지 않는 제약이다.</w:t>
      </w:r>
    </w:p>
    <w:p w14:paraId="7F198702"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DEM 비교: 국토지리정보원 1m 실측 DEM과 오픈소스 Copernicus GLO-30(30m)을 동일하게 5m으로 다운샘플링한 소스를 비교한 결과(서울 전역 469,010개 링크) 링크 UTCI r=0.9995, 이진적 제거 판정 일치율 99.27%로 사실상 동일한 결과를 얻었다.</w:t>
      </w:r>
    </w:p>
    <w:p w14:paraId="115D54B6" w14:textId="77777777" w:rsidR="003B6E21" w:rsidRPr="00207071" w:rsidRDefault="00000000">
      <w:pPr>
        <w:pStyle w:val="a0"/>
        <w:rPr>
          <w:rFonts w:ascii="바탕체" w:eastAsia="바탕체" w:hAnsi="바탕체"/>
          <w:sz w:val="20"/>
          <w:szCs w:val="20"/>
        </w:rPr>
      </w:pPr>
      <w:r w:rsidRPr="00207071">
        <w:rPr>
          <w:rFonts w:ascii="바탕체" w:eastAsia="바탕체" w:hAnsi="바탕체"/>
          <w:noProof/>
          <w:sz w:val="20"/>
          <w:szCs w:val="20"/>
        </w:rPr>
        <w:drawing>
          <wp:inline distT="0" distB="0" distL="0" distR="0" wp14:anchorId="5A96A12C" wp14:editId="5FB1F21E">
            <wp:extent cx="1133856" cy="975643"/>
            <wp:effectExtent l="0" t="0" r="0" b="0"/>
            <wp:docPr id="50" name="Picture" descr="그림 11. 해상도별 UTCI 공간분포 비교"/>
            <wp:cNvGraphicFramePr/>
            <a:graphic xmlns:a="http://schemas.openxmlformats.org/drawingml/2006/main">
              <a:graphicData uri="http://schemas.openxmlformats.org/drawingml/2006/picture">
                <pic:pic xmlns:pic="http://schemas.openxmlformats.org/drawingml/2006/picture">
                  <pic:nvPicPr>
                    <pic:cNvPr id="51" name="Picture" descr="/Users/jin/석사논문/Thermal_Catchment/figures/figure_해상도비교/성동구/UTCI/1m/UTCI_1m.png"/>
                    <pic:cNvPicPr>
                      <a:picLocks noChangeAspect="1" noChangeArrowheads="1"/>
                    </pic:cNvPicPr>
                  </pic:nvPicPr>
                  <pic:blipFill>
                    <a:blip r:embed="rId13"/>
                    <a:stretch>
                      <a:fillRect/>
                    </a:stretch>
                  </pic:blipFill>
                  <pic:spPr bwMode="auto">
                    <a:xfrm>
                      <a:off x="0" y="0"/>
                      <a:ext cx="1133856" cy="975643"/>
                    </a:xfrm>
                    <a:prstGeom prst="rect">
                      <a:avLst/>
                    </a:prstGeom>
                    <a:noFill/>
                    <a:ln w="9525">
                      <a:noFill/>
                      <a:headEnd/>
                      <a:tailEnd/>
                    </a:ln>
                  </pic:spPr>
                </pic:pic>
              </a:graphicData>
            </a:graphic>
          </wp:inline>
        </w:drawing>
      </w:r>
      <w:r w:rsidRPr="00207071">
        <w:rPr>
          <w:rFonts w:ascii="바탕체" w:eastAsia="바탕체" w:hAnsi="바탕체"/>
          <w:sz w:val="20"/>
          <w:szCs w:val="20"/>
        </w:rPr>
        <w:t xml:space="preserve"> </w:t>
      </w:r>
      <w:r w:rsidRPr="00207071">
        <w:rPr>
          <w:rFonts w:ascii="바탕체" w:eastAsia="바탕체" w:hAnsi="바탕체"/>
          <w:noProof/>
          <w:sz w:val="20"/>
          <w:szCs w:val="20"/>
        </w:rPr>
        <w:drawing>
          <wp:inline distT="0" distB="0" distL="0" distR="0" wp14:anchorId="48A260A2" wp14:editId="18620ABC">
            <wp:extent cx="1133856" cy="975643"/>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Users/jin/석사논문/Thermal_Catchment/figures/figure_해상도비교/성동구/UTCI/5m/UTCI_5m.png"/>
                    <pic:cNvPicPr>
                      <a:picLocks noChangeAspect="1" noChangeArrowheads="1"/>
                    </pic:cNvPicPr>
                  </pic:nvPicPr>
                  <pic:blipFill>
                    <a:blip r:embed="rId14"/>
                    <a:stretch>
                      <a:fillRect/>
                    </a:stretch>
                  </pic:blipFill>
                  <pic:spPr bwMode="auto">
                    <a:xfrm>
                      <a:off x="0" y="0"/>
                      <a:ext cx="1133856" cy="975643"/>
                    </a:xfrm>
                    <a:prstGeom prst="rect">
                      <a:avLst/>
                    </a:prstGeom>
                    <a:noFill/>
                    <a:ln w="9525">
                      <a:noFill/>
                      <a:headEnd/>
                      <a:tailEnd/>
                    </a:ln>
                  </pic:spPr>
                </pic:pic>
              </a:graphicData>
            </a:graphic>
          </wp:inline>
        </w:drawing>
      </w:r>
      <w:r w:rsidRPr="00207071">
        <w:rPr>
          <w:rFonts w:ascii="바탕체" w:eastAsia="바탕체" w:hAnsi="바탕체"/>
          <w:sz w:val="20"/>
          <w:szCs w:val="20"/>
        </w:rPr>
        <w:t xml:space="preserve"> </w:t>
      </w:r>
      <w:r w:rsidRPr="00207071">
        <w:rPr>
          <w:rFonts w:ascii="바탕체" w:eastAsia="바탕체" w:hAnsi="바탕체"/>
          <w:noProof/>
          <w:sz w:val="20"/>
          <w:szCs w:val="20"/>
        </w:rPr>
        <w:drawing>
          <wp:inline distT="0" distB="0" distL="0" distR="0" wp14:anchorId="044286A6" wp14:editId="07343233">
            <wp:extent cx="1133856" cy="975643"/>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Users/jin/석사논문/Thermal_Catchment/figures/figure_해상도비교/성동구/UTCI/10m/UTCI_10m.png"/>
                    <pic:cNvPicPr>
                      <a:picLocks noChangeAspect="1" noChangeArrowheads="1"/>
                    </pic:cNvPicPr>
                  </pic:nvPicPr>
                  <pic:blipFill>
                    <a:blip r:embed="rId15"/>
                    <a:stretch>
                      <a:fillRect/>
                    </a:stretch>
                  </pic:blipFill>
                  <pic:spPr bwMode="auto">
                    <a:xfrm>
                      <a:off x="0" y="0"/>
                      <a:ext cx="1133856" cy="975643"/>
                    </a:xfrm>
                    <a:prstGeom prst="rect">
                      <a:avLst/>
                    </a:prstGeom>
                    <a:noFill/>
                    <a:ln w="9525">
                      <a:noFill/>
                      <a:headEnd/>
                      <a:tailEnd/>
                    </a:ln>
                  </pic:spPr>
                </pic:pic>
              </a:graphicData>
            </a:graphic>
          </wp:inline>
        </w:drawing>
      </w:r>
      <w:r w:rsidRPr="00207071">
        <w:rPr>
          <w:rFonts w:ascii="바탕체" w:eastAsia="바탕체" w:hAnsi="바탕체"/>
          <w:sz w:val="20"/>
          <w:szCs w:val="20"/>
        </w:rPr>
        <w:t xml:space="preserve"> </w:t>
      </w:r>
      <w:r w:rsidRPr="00207071">
        <w:rPr>
          <w:rFonts w:ascii="바탕체" w:eastAsia="바탕체" w:hAnsi="바탕체"/>
          <w:noProof/>
          <w:sz w:val="20"/>
          <w:szCs w:val="20"/>
        </w:rPr>
        <w:drawing>
          <wp:inline distT="0" distB="0" distL="0" distR="0" wp14:anchorId="7876823A" wp14:editId="756ED1A5">
            <wp:extent cx="1133856" cy="974588"/>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Users/jin/석사논문/Thermal_Catchment/figures/figure_해상도비교/성동구/UTCI/15m/UTCI_15m.png"/>
                    <pic:cNvPicPr>
                      <a:picLocks noChangeAspect="1" noChangeArrowheads="1"/>
                    </pic:cNvPicPr>
                  </pic:nvPicPr>
                  <pic:blipFill>
                    <a:blip r:embed="rId16"/>
                    <a:stretch>
                      <a:fillRect/>
                    </a:stretch>
                  </pic:blipFill>
                  <pic:spPr bwMode="auto">
                    <a:xfrm>
                      <a:off x="0" y="0"/>
                      <a:ext cx="1133856" cy="974588"/>
                    </a:xfrm>
                    <a:prstGeom prst="rect">
                      <a:avLst/>
                    </a:prstGeom>
                    <a:noFill/>
                    <a:ln w="9525">
                      <a:noFill/>
                      <a:headEnd/>
                      <a:tailEnd/>
                    </a:ln>
                  </pic:spPr>
                </pic:pic>
              </a:graphicData>
            </a:graphic>
          </wp:inline>
        </w:drawing>
      </w:r>
      <w:r w:rsidRPr="00207071">
        <w:rPr>
          <w:rFonts w:ascii="바탕체" w:eastAsia="바탕체" w:hAnsi="바탕체"/>
          <w:sz w:val="20"/>
          <w:szCs w:val="20"/>
        </w:rPr>
        <w:t xml:space="preserve"> </w:t>
      </w:r>
      <w:r w:rsidRPr="00207071">
        <w:rPr>
          <w:rFonts w:ascii="바탕체" w:eastAsia="바탕체" w:hAnsi="바탕체"/>
          <w:noProof/>
          <w:sz w:val="20"/>
          <w:szCs w:val="20"/>
        </w:rPr>
        <w:drawing>
          <wp:inline distT="0" distB="0" distL="0" distR="0" wp14:anchorId="376D9A68" wp14:editId="02C95E2D">
            <wp:extent cx="1133856" cy="974588"/>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Users/jin/석사논문/Thermal_Catchment/figures/figure_해상도비교/성동구/UTCI/30m/UTCI_30m.png"/>
                    <pic:cNvPicPr>
                      <a:picLocks noChangeAspect="1" noChangeArrowheads="1"/>
                    </pic:cNvPicPr>
                  </pic:nvPicPr>
                  <pic:blipFill>
                    <a:blip r:embed="rId17"/>
                    <a:stretch>
                      <a:fillRect/>
                    </a:stretch>
                  </pic:blipFill>
                  <pic:spPr bwMode="auto">
                    <a:xfrm>
                      <a:off x="0" y="0"/>
                      <a:ext cx="1133856" cy="974588"/>
                    </a:xfrm>
                    <a:prstGeom prst="rect">
                      <a:avLst/>
                    </a:prstGeom>
                    <a:noFill/>
                    <a:ln w="9525">
                      <a:noFill/>
                      <a:headEnd/>
                      <a:tailEnd/>
                    </a:ln>
                  </pic:spPr>
                </pic:pic>
              </a:graphicData>
            </a:graphic>
          </wp:inline>
        </w:drawing>
      </w:r>
    </w:p>
    <w:p w14:paraId="44877CB2" w14:textId="77777777" w:rsidR="003B6E21" w:rsidRPr="00207071" w:rsidRDefault="00000000">
      <w:pPr>
        <w:pStyle w:val="a0"/>
        <w:rPr>
          <w:rFonts w:ascii="바탕체" w:eastAsia="바탕체" w:hAnsi="바탕체"/>
          <w:sz w:val="20"/>
          <w:szCs w:val="20"/>
        </w:rPr>
      </w:pPr>
      <w:r w:rsidRPr="00207071">
        <w:rPr>
          <w:rFonts w:ascii="바탕체" w:eastAsia="바탕체" w:hAnsi="바탕체"/>
          <w:b/>
          <w:bCs/>
          <w:sz w:val="20"/>
          <w:szCs w:val="20"/>
        </w:rPr>
        <w:t>그림 11.</w:t>
      </w:r>
      <w:r w:rsidRPr="00207071">
        <w:rPr>
          <w:rFonts w:ascii="바탕체" w:eastAsia="바탕체" w:hAnsi="바탕체"/>
          <w:sz w:val="20"/>
          <w:szCs w:val="20"/>
        </w:rPr>
        <w:t xml:space="preserve"> 계산 해상도별(왼쪽부터 1/5/10/15/30m) UTCI 공간분포 — 성동구, 06~19시 평균, 5개 해상도 공통 컬러스케일.</w:t>
      </w:r>
    </w:p>
    <w:p w14:paraId="1CC78372" w14:textId="77777777" w:rsidR="003B6E21" w:rsidRPr="00207071" w:rsidRDefault="00000000">
      <w:pPr>
        <w:pStyle w:val="3"/>
        <w:rPr>
          <w:rFonts w:ascii="바탕체" w:eastAsia="바탕체" w:hAnsi="바탕체"/>
          <w:sz w:val="20"/>
          <w:szCs w:val="20"/>
        </w:rPr>
      </w:pPr>
      <w:bookmarkStart w:id="14" w:name="utci-기상요인-반영-비교-우리-지역-내-신구-비교"/>
      <w:bookmarkEnd w:id="13"/>
      <w:r w:rsidRPr="00207071">
        <w:rPr>
          <w:rFonts w:ascii="바탕체" w:eastAsia="바탕체" w:hAnsi="바탕체"/>
          <w:sz w:val="20"/>
          <w:szCs w:val="20"/>
        </w:rPr>
        <w:t>4.5 UTCI 기상요인 반영 비교 — 우리 지역 내 신구 비교</w:t>
      </w:r>
    </w:p>
    <w:p w14:paraId="2D0A6A88"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b/>
          <w:bCs/>
          <w:sz w:val="20"/>
          <w:szCs w:val="20"/>
        </w:rPr>
        <w:t>표 5.</w:t>
      </w:r>
      <w:r w:rsidRPr="00207071">
        <w:rPr>
          <w:rFonts w:ascii="바탕체" w:eastAsia="바탕체" w:hAnsi="바탕체"/>
          <w:sz w:val="20"/>
          <w:szCs w:val="20"/>
        </w:rPr>
        <w:t xml:space="preserve"> 시각별 링크 UTCI≥38°C 비율 — 단일값 방식 vs KMA 격자 방식</w:t>
      </w:r>
    </w:p>
    <w:tbl>
      <w:tblPr>
        <w:tblStyle w:val="Table"/>
        <w:tblW w:w="0" w:type="auto"/>
        <w:tblLook w:val="0020" w:firstRow="1" w:lastRow="0" w:firstColumn="0" w:lastColumn="0" w:noHBand="0" w:noVBand="0"/>
      </w:tblPr>
      <w:tblGrid>
        <w:gridCol w:w="616"/>
        <w:gridCol w:w="1616"/>
        <w:gridCol w:w="1816"/>
        <w:gridCol w:w="1016"/>
      </w:tblGrid>
      <w:tr w:rsidR="003B6E21" w:rsidRPr="00207071" w14:paraId="681347CC" w14:textId="77777777" w:rsidTr="003B6E21">
        <w:trPr>
          <w:cnfStyle w:val="100000000000" w:firstRow="1" w:lastRow="0" w:firstColumn="0" w:lastColumn="0" w:oddVBand="0" w:evenVBand="0" w:oddHBand="0" w:evenHBand="0" w:firstRowFirstColumn="0" w:firstRowLastColumn="0" w:lastRowFirstColumn="0" w:lastRowLastColumn="0"/>
          <w:tblHeader/>
        </w:trPr>
        <w:tc>
          <w:tcPr>
            <w:tcW w:w="0" w:type="auto"/>
          </w:tcPr>
          <w:p w14:paraId="03A5AD24"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시각</w:t>
            </w:r>
          </w:p>
        </w:tc>
        <w:tc>
          <w:tcPr>
            <w:tcW w:w="0" w:type="auto"/>
          </w:tcPr>
          <w:p w14:paraId="05EFE75E"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단일값 방식(%)</w:t>
            </w:r>
          </w:p>
        </w:tc>
        <w:tc>
          <w:tcPr>
            <w:tcW w:w="0" w:type="auto"/>
          </w:tcPr>
          <w:p w14:paraId="5F8BB7D8"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KMA 격자 방식(%)</w:t>
            </w:r>
          </w:p>
        </w:tc>
        <w:tc>
          <w:tcPr>
            <w:tcW w:w="0" w:type="auto"/>
          </w:tcPr>
          <w:p w14:paraId="0E18CA3D"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차이(%p)</w:t>
            </w:r>
          </w:p>
        </w:tc>
      </w:tr>
      <w:tr w:rsidR="003B6E21" w:rsidRPr="00207071" w14:paraId="58C56A39" w14:textId="77777777">
        <w:tc>
          <w:tcPr>
            <w:tcW w:w="0" w:type="auto"/>
          </w:tcPr>
          <w:p w14:paraId="46B63B7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09</w:t>
            </w:r>
          </w:p>
        </w:tc>
        <w:tc>
          <w:tcPr>
            <w:tcW w:w="0" w:type="auto"/>
          </w:tcPr>
          <w:p w14:paraId="58135230"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47.0</w:t>
            </w:r>
          </w:p>
        </w:tc>
        <w:tc>
          <w:tcPr>
            <w:tcW w:w="0" w:type="auto"/>
          </w:tcPr>
          <w:p w14:paraId="7844EA1A"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16.9</w:t>
            </w:r>
          </w:p>
        </w:tc>
        <w:tc>
          <w:tcPr>
            <w:tcW w:w="0" w:type="auto"/>
          </w:tcPr>
          <w:p w14:paraId="06D5F284"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−30.1</w:t>
            </w:r>
          </w:p>
        </w:tc>
      </w:tr>
      <w:tr w:rsidR="003B6E21" w:rsidRPr="00207071" w14:paraId="7AEC5DD9" w14:textId="77777777">
        <w:tc>
          <w:tcPr>
            <w:tcW w:w="0" w:type="auto"/>
          </w:tcPr>
          <w:p w14:paraId="2888F65C"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10</w:t>
            </w:r>
          </w:p>
        </w:tc>
        <w:tc>
          <w:tcPr>
            <w:tcW w:w="0" w:type="auto"/>
          </w:tcPr>
          <w:p w14:paraId="295FDF3F"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92.0</w:t>
            </w:r>
          </w:p>
        </w:tc>
        <w:tc>
          <w:tcPr>
            <w:tcW w:w="0" w:type="auto"/>
          </w:tcPr>
          <w:p w14:paraId="5E0433B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86.3</w:t>
            </w:r>
          </w:p>
        </w:tc>
        <w:tc>
          <w:tcPr>
            <w:tcW w:w="0" w:type="auto"/>
          </w:tcPr>
          <w:p w14:paraId="6241371E"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−5.7</w:t>
            </w:r>
          </w:p>
        </w:tc>
      </w:tr>
      <w:tr w:rsidR="003B6E21" w:rsidRPr="00207071" w14:paraId="5053DFA0" w14:textId="77777777">
        <w:tc>
          <w:tcPr>
            <w:tcW w:w="0" w:type="auto"/>
          </w:tcPr>
          <w:p w14:paraId="58D959DF"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11</w:t>
            </w:r>
          </w:p>
        </w:tc>
        <w:tc>
          <w:tcPr>
            <w:tcW w:w="0" w:type="auto"/>
          </w:tcPr>
          <w:p w14:paraId="2559AC96"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96.2</w:t>
            </w:r>
          </w:p>
        </w:tc>
        <w:tc>
          <w:tcPr>
            <w:tcW w:w="0" w:type="auto"/>
          </w:tcPr>
          <w:p w14:paraId="7C3EB188"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94.1</w:t>
            </w:r>
          </w:p>
        </w:tc>
        <w:tc>
          <w:tcPr>
            <w:tcW w:w="0" w:type="auto"/>
          </w:tcPr>
          <w:p w14:paraId="0C2DB3B5"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−2.1</w:t>
            </w:r>
          </w:p>
        </w:tc>
      </w:tr>
      <w:tr w:rsidR="003B6E21" w:rsidRPr="00207071" w14:paraId="7B1D22F6" w14:textId="77777777">
        <w:tc>
          <w:tcPr>
            <w:tcW w:w="0" w:type="auto"/>
          </w:tcPr>
          <w:p w14:paraId="3CB6D1CB"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12</w:t>
            </w:r>
          </w:p>
        </w:tc>
        <w:tc>
          <w:tcPr>
            <w:tcW w:w="0" w:type="auto"/>
          </w:tcPr>
          <w:p w14:paraId="4C9B3C53"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96.6</w:t>
            </w:r>
          </w:p>
        </w:tc>
        <w:tc>
          <w:tcPr>
            <w:tcW w:w="0" w:type="auto"/>
          </w:tcPr>
          <w:p w14:paraId="7A66255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95.8</w:t>
            </w:r>
          </w:p>
        </w:tc>
        <w:tc>
          <w:tcPr>
            <w:tcW w:w="0" w:type="auto"/>
          </w:tcPr>
          <w:p w14:paraId="3BB3C86F"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−0.8</w:t>
            </w:r>
          </w:p>
        </w:tc>
      </w:tr>
      <w:tr w:rsidR="003B6E21" w:rsidRPr="00207071" w14:paraId="760D1962" w14:textId="77777777">
        <w:tc>
          <w:tcPr>
            <w:tcW w:w="0" w:type="auto"/>
          </w:tcPr>
          <w:p w14:paraId="27D33300"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13</w:t>
            </w:r>
          </w:p>
        </w:tc>
        <w:tc>
          <w:tcPr>
            <w:tcW w:w="0" w:type="auto"/>
          </w:tcPr>
          <w:p w14:paraId="6C58559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97.1</w:t>
            </w:r>
          </w:p>
        </w:tc>
        <w:tc>
          <w:tcPr>
            <w:tcW w:w="0" w:type="auto"/>
          </w:tcPr>
          <w:p w14:paraId="13D8BD2E"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96.3</w:t>
            </w:r>
          </w:p>
        </w:tc>
        <w:tc>
          <w:tcPr>
            <w:tcW w:w="0" w:type="auto"/>
          </w:tcPr>
          <w:p w14:paraId="7CDE4514"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−0.7</w:t>
            </w:r>
          </w:p>
        </w:tc>
      </w:tr>
      <w:tr w:rsidR="003B6E21" w:rsidRPr="00207071" w14:paraId="02382810" w14:textId="77777777">
        <w:tc>
          <w:tcPr>
            <w:tcW w:w="0" w:type="auto"/>
          </w:tcPr>
          <w:p w14:paraId="6F93ADE0"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14</w:t>
            </w:r>
          </w:p>
        </w:tc>
        <w:tc>
          <w:tcPr>
            <w:tcW w:w="0" w:type="auto"/>
          </w:tcPr>
          <w:p w14:paraId="0F824C2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97.6</w:t>
            </w:r>
          </w:p>
        </w:tc>
        <w:tc>
          <w:tcPr>
            <w:tcW w:w="0" w:type="auto"/>
          </w:tcPr>
          <w:p w14:paraId="14B07606"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96.4</w:t>
            </w:r>
          </w:p>
        </w:tc>
        <w:tc>
          <w:tcPr>
            <w:tcW w:w="0" w:type="auto"/>
          </w:tcPr>
          <w:p w14:paraId="50AC6F56"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−1.2</w:t>
            </w:r>
          </w:p>
        </w:tc>
      </w:tr>
      <w:tr w:rsidR="003B6E21" w:rsidRPr="00207071" w14:paraId="189CE2F2" w14:textId="77777777">
        <w:tc>
          <w:tcPr>
            <w:tcW w:w="0" w:type="auto"/>
          </w:tcPr>
          <w:p w14:paraId="3F659DEB"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15</w:t>
            </w:r>
          </w:p>
        </w:tc>
        <w:tc>
          <w:tcPr>
            <w:tcW w:w="0" w:type="auto"/>
          </w:tcPr>
          <w:p w14:paraId="38680B61"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99.7</w:t>
            </w:r>
          </w:p>
        </w:tc>
        <w:tc>
          <w:tcPr>
            <w:tcW w:w="0" w:type="auto"/>
          </w:tcPr>
          <w:p w14:paraId="0A894BE7"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96.3</w:t>
            </w:r>
          </w:p>
        </w:tc>
        <w:tc>
          <w:tcPr>
            <w:tcW w:w="0" w:type="auto"/>
          </w:tcPr>
          <w:p w14:paraId="50319138"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−3.3</w:t>
            </w:r>
          </w:p>
        </w:tc>
      </w:tr>
      <w:tr w:rsidR="003B6E21" w:rsidRPr="00207071" w14:paraId="105973D0" w14:textId="77777777">
        <w:tc>
          <w:tcPr>
            <w:tcW w:w="0" w:type="auto"/>
          </w:tcPr>
          <w:p w14:paraId="55BB09F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16</w:t>
            </w:r>
          </w:p>
        </w:tc>
        <w:tc>
          <w:tcPr>
            <w:tcW w:w="0" w:type="auto"/>
          </w:tcPr>
          <w:p w14:paraId="037A67CF"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99.2</w:t>
            </w:r>
          </w:p>
        </w:tc>
        <w:tc>
          <w:tcPr>
            <w:tcW w:w="0" w:type="auto"/>
          </w:tcPr>
          <w:p w14:paraId="09ED1538"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95.5</w:t>
            </w:r>
          </w:p>
        </w:tc>
        <w:tc>
          <w:tcPr>
            <w:tcW w:w="0" w:type="auto"/>
          </w:tcPr>
          <w:p w14:paraId="6753AE7A"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−3.7</w:t>
            </w:r>
          </w:p>
        </w:tc>
      </w:tr>
      <w:tr w:rsidR="003B6E21" w:rsidRPr="00207071" w14:paraId="4D151F70" w14:textId="77777777">
        <w:tc>
          <w:tcPr>
            <w:tcW w:w="0" w:type="auto"/>
          </w:tcPr>
          <w:p w14:paraId="52BC9ED8"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17</w:t>
            </w:r>
          </w:p>
        </w:tc>
        <w:tc>
          <w:tcPr>
            <w:tcW w:w="0" w:type="auto"/>
          </w:tcPr>
          <w:p w14:paraId="2926ABB9" w14:textId="77777777" w:rsidR="003B6E21" w:rsidRPr="00207071" w:rsidRDefault="00000000">
            <w:pPr>
              <w:pStyle w:val="Compact"/>
              <w:rPr>
                <w:rFonts w:ascii="바탕체" w:eastAsia="바탕체" w:hAnsi="바탕체"/>
                <w:sz w:val="20"/>
                <w:szCs w:val="20"/>
              </w:rPr>
            </w:pPr>
            <w:r w:rsidRPr="00207071">
              <w:rPr>
                <w:rFonts w:ascii="Apple Color Emoji" w:eastAsia="바탕체" w:hAnsi="Apple Color Emoji" w:cs="Apple Color Emoji"/>
                <w:sz w:val="20"/>
                <w:szCs w:val="20"/>
              </w:rPr>
              <w:t>⚠️</w:t>
            </w:r>
            <w:r w:rsidRPr="00207071">
              <w:rPr>
                <w:rFonts w:ascii="바탕체" w:eastAsia="바탕체" w:hAnsi="바탕체"/>
                <w:sz w:val="20"/>
                <w:szCs w:val="20"/>
              </w:rPr>
              <w:t>미확인</w:t>
            </w:r>
          </w:p>
        </w:tc>
        <w:tc>
          <w:tcPr>
            <w:tcW w:w="0" w:type="auto"/>
          </w:tcPr>
          <w:p w14:paraId="4B969739" w14:textId="77777777" w:rsidR="003B6E21" w:rsidRPr="00207071" w:rsidRDefault="00000000">
            <w:pPr>
              <w:pStyle w:val="Compact"/>
              <w:rPr>
                <w:rFonts w:ascii="바탕체" w:eastAsia="바탕체" w:hAnsi="바탕체"/>
                <w:sz w:val="20"/>
                <w:szCs w:val="20"/>
              </w:rPr>
            </w:pPr>
            <w:r w:rsidRPr="00207071">
              <w:rPr>
                <w:rFonts w:ascii="Apple Color Emoji" w:eastAsia="바탕체" w:hAnsi="Apple Color Emoji" w:cs="Apple Color Emoji"/>
                <w:sz w:val="20"/>
                <w:szCs w:val="20"/>
              </w:rPr>
              <w:t>⚠️</w:t>
            </w:r>
            <w:r w:rsidRPr="00207071">
              <w:rPr>
                <w:rFonts w:ascii="바탕체" w:eastAsia="바탕체" w:hAnsi="바탕체"/>
                <w:sz w:val="20"/>
                <w:szCs w:val="20"/>
              </w:rPr>
              <w:t>미확인</w:t>
            </w:r>
          </w:p>
        </w:tc>
        <w:tc>
          <w:tcPr>
            <w:tcW w:w="0" w:type="auto"/>
          </w:tcPr>
          <w:p w14:paraId="6B343654"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w:t>
            </w:r>
          </w:p>
        </w:tc>
      </w:tr>
      <w:tr w:rsidR="003B6E21" w:rsidRPr="00207071" w14:paraId="0EF3814B" w14:textId="77777777">
        <w:tc>
          <w:tcPr>
            <w:tcW w:w="0" w:type="auto"/>
          </w:tcPr>
          <w:p w14:paraId="3E63ED5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18</w:t>
            </w:r>
          </w:p>
        </w:tc>
        <w:tc>
          <w:tcPr>
            <w:tcW w:w="0" w:type="auto"/>
          </w:tcPr>
          <w:p w14:paraId="1A943044" w14:textId="77777777" w:rsidR="003B6E21" w:rsidRPr="00207071" w:rsidRDefault="00000000">
            <w:pPr>
              <w:pStyle w:val="Compact"/>
              <w:rPr>
                <w:rFonts w:ascii="바탕체" w:eastAsia="바탕체" w:hAnsi="바탕체"/>
                <w:sz w:val="20"/>
                <w:szCs w:val="20"/>
              </w:rPr>
            </w:pPr>
            <w:r w:rsidRPr="00207071">
              <w:rPr>
                <w:rFonts w:ascii="Apple Color Emoji" w:eastAsia="바탕체" w:hAnsi="Apple Color Emoji" w:cs="Apple Color Emoji"/>
                <w:sz w:val="20"/>
                <w:szCs w:val="20"/>
              </w:rPr>
              <w:t>⚠️</w:t>
            </w:r>
            <w:r w:rsidRPr="00207071">
              <w:rPr>
                <w:rFonts w:ascii="바탕체" w:eastAsia="바탕체" w:hAnsi="바탕체"/>
                <w:sz w:val="20"/>
                <w:szCs w:val="20"/>
              </w:rPr>
              <w:t>미확인</w:t>
            </w:r>
          </w:p>
        </w:tc>
        <w:tc>
          <w:tcPr>
            <w:tcW w:w="0" w:type="auto"/>
          </w:tcPr>
          <w:p w14:paraId="420C7380" w14:textId="77777777" w:rsidR="003B6E21" w:rsidRPr="00207071" w:rsidRDefault="00000000">
            <w:pPr>
              <w:pStyle w:val="Compact"/>
              <w:rPr>
                <w:rFonts w:ascii="바탕체" w:eastAsia="바탕체" w:hAnsi="바탕체"/>
                <w:sz w:val="20"/>
                <w:szCs w:val="20"/>
              </w:rPr>
            </w:pPr>
            <w:r w:rsidRPr="00207071">
              <w:rPr>
                <w:rFonts w:ascii="Apple Color Emoji" w:eastAsia="바탕체" w:hAnsi="Apple Color Emoji" w:cs="Apple Color Emoji"/>
                <w:sz w:val="20"/>
                <w:szCs w:val="20"/>
              </w:rPr>
              <w:t>⚠️</w:t>
            </w:r>
            <w:r w:rsidRPr="00207071">
              <w:rPr>
                <w:rFonts w:ascii="바탕체" w:eastAsia="바탕체" w:hAnsi="바탕체"/>
                <w:sz w:val="20"/>
                <w:szCs w:val="20"/>
              </w:rPr>
              <w:t>미확인</w:t>
            </w:r>
          </w:p>
        </w:tc>
        <w:tc>
          <w:tcPr>
            <w:tcW w:w="0" w:type="auto"/>
          </w:tcPr>
          <w:p w14:paraId="72B7C45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w:t>
            </w:r>
          </w:p>
        </w:tc>
      </w:tr>
      <w:tr w:rsidR="003B6E21" w:rsidRPr="00207071" w14:paraId="1E267868" w14:textId="77777777">
        <w:tc>
          <w:tcPr>
            <w:tcW w:w="0" w:type="auto"/>
          </w:tcPr>
          <w:p w14:paraId="2EB3C555"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19</w:t>
            </w:r>
          </w:p>
        </w:tc>
        <w:tc>
          <w:tcPr>
            <w:tcW w:w="0" w:type="auto"/>
          </w:tcPr>
          <w:p w14:paraId="41A6125D" w14:textId="77777777" w:rsidR="003B6E21" w:rsidRPr="00207071" w:rsidRDefault="00000000">
            <w:pPr>
              <w:pStyle w:val="Compact"/>
              <w:rPr>
                <w:rFonts w:ascii="바탕체" w:eastAsia="바탕체" w:hAnsi="바탕체"/>
                <w:sz w:val="20"/>
                <w:szCs w:val="20"/>
              </w:rPr>
            </w:pPr>
            <w:r w:rsidRPr="00207071">
              <w:rPr>
                <w:rFonts w:ascii="Apple Color Emoji" w:eastAsia="바탕체" w:hAnsi="Apple Color Emoji" w:cs="Apple Color Emoji"/>
                <w:sz w:val="20"/>
                <w:szCs w:val="20"/>
              </w:rPr>
              <w:t>⚠️</w:t>
            </w:r>
            <w:r w:rsidRPr="00207071">
              <w:rPr>
                <w:rFonts w:ascii="바탕체" w:eastAsia="바탕체" w:hAnsi="바탕체"/>
                <w:sz w:val="20"/>
                <w:szCs w:val="20"/>
              </w:rPr>
              <w:t>미확인</w:t>
            </w:r>
          </w:p>
        </w:tc>
        <w:tc>
          <w:tcPr>
            <w:tcW w:w="0" w:type="auto"/>
          </w:tcPr>
          <w:p w14:paraId="1B1B5460" w14:textId="77777777" w:rsidR="003B6E21" w:rsidRPr="00207071" w:rsidRDefault="00000000">
            <w:pPr>
              <w:pStyle w:val="Compact"/>
              <w:rPr>
                <w:rFonts w:ascii="바탕체" w:eastAsia="바탕체" w:hAnsi="바탕체"/>
                <w:sz w:val="20"/>
                <w:szCs w:val="20"/>
              </w:rPr>
            </w:pPr>
            <w:r w:rsidRPr="00207071">
              <w:rPr>
                <w:rFonts w:ascii="Apple Color Emoji" w:eastAsia="바탕체" w:hAnsi="Apple Color Emoji" w:cs="Apple Color Emoji"/>
                <w:sz w:val="20"/>
                <w:szCs w:val="20"/>
              </w:rPr>
              <w:t>⚠️</w:t>
            </w:r>
            <w:r w:rsidRPr="00207071">
              <w:rPr>
                <w:rFonts w:ascii="바탕체" w:eastAsia="바탕체" w:hAnsi="바탕체"/>
                <w:sz w:val="20"/>
                <w:szCs w:val="20"/>
              </w:rPr>
              <w:t>미확인</w:t>
            </w:r>
          </w:p>
        </w:tc>
        <w:tc>
          <w:tcPr>
            <w:tcW w:w="0" w:type="auto"/>
          </w:tcPr>
          <w:p w14:paraId="0280B18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w:t>
            </w:r>
          </w:p>
        </w:tc>
      </w:tr>
    </w:tbl>
    <w:p w14:paraId="44E5FFC1"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lastRenderedPageBreak/>
        <w:t>기존 도메인 단일값 방식과 비교하면, 링크 기준 UTCI≥38°C 비율은 시간대에 따라 차이의 크기가 크게 갈린다. 정오~오후 포화 시간대(11~16시)는 차이가 1~4%p 이내로 작은 반면, 전환 시간대(09·18·19시)에서는 최대 35%p까지 벌어진다(</w:t>
      </w:r>
      <w:r w:rsidRPr="00207071">
        <w:rPr>
          <w:rFonts w:ascii="Apple Color Emoji" w:eastAsia="바탕체" w:hAnsi="Apple Color Emoji" w:cs="Apple Color Emoji"/>
          <w:sz w:val="20"/>
          <w:szCs w:val="20"/>
        </w:rPr>
        <w:t>⚠️</w:t>
      </w:r>
      <w:r w:rsidRPr="00207071">
        <w:rPr>
          <w:rFonts w:ascii="바탕체" w:eastAsia="바탕체" w:hAnsi="바탕체"/>
          <w:sz w:val="20"/>
          <w:szCs w:val="20"/>
        </w:rPr>
        <w:t xml:space="preserve"> 17~19시 수치 확인 후 이 문장도 재검토 필요).</w:t>
      </w:r>
    </w:p>
    <w:p w14:paraId="46917504" w14:textId="77777777" w:rsidR="003B6E21" w:rsidRPr="00207071" w:rsidRDefault="00000000">
      <w:pPr>
        <w:pStyle w:val="3"/>
        <w:rPr>
          <w:rFonts w:ascii="바탕체" w:eastAsia="바탕체" w:hAnsi="바탕체"/>
          <w:sz w:val="20"/>
          <w:szCs w:val="20"/>
        </w:rPr>
      </w:pPr>
      <w:bookmarkStart w:id="15" w:name="sear-vs-ca-vs-연속적-평가-캐치먼트"/>
      <w:bookmarkEnd w:id="14"/>
      <w:r w:rsidRPr="00207071">
        <w:rPr>
          <w:rFonts w:ascii="바탕체" w:eastAsia="바탕체" w:hAnsi="바탕체"/>
          <w:sz w:val="20"/>
          <w:szCs w:val="20"/>
        </w:rPr>
        <w:t>4.6 SEAR vs CA vs 연속적 평가 캐치먼트</w:t>
      </w:r>
    </w:p>
    <w:p w14:paraId="5542F57D"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sz w:val="20"/>
          <w:szCs w:val="20"/>
        </w:rPr>
        <w:t>이진적 제거(SEAR)와 대비되는 연속형 접근성 방법 2편을 원문 그대로(또는 명시적으로 변형해) 응봉역·성수역 데이터에 적용했다(전체 방법론 검증은 별도 문서 참고: https://claude.ai/code/artifact/496c2771-c5cd-47b9-a20b-4e8922e95ef5).</w:t>
      </w:r>
    </w:p>
    <w:p w14:paraId="04D0B0DA" w14:textId="77777777" w:rsidR="003B6E21" w:rsidRPr="00207071" w:rsidRDefault="00000000">
      <w:pPr>
        <w:pStyle w:val="Compact"/>
        <w:numPr>
          <w:ilvl w:val="0"/>
          <w:numId w:val="2"/>
        </w:numPr>
        <w:rPr>
          <w:rFonts w:ascii="바탕체" w:eastAsia="바탕체" w:hAnsi="바탕체"/>
          <w:sz w:val="20"/>
          <w:szCs w:val="20"/>
        </w:rPr>
      </w:pPr>
      <w:r w:rsidRPr="00207071">
        <w:rPr>
          <w:rFonts w:ascii="바탕체" w:eastAsia="바탕체" w:hAnsi="바탕체"/>
          <w:b/>
          <w:bCs/>
          <w:sz w:val="20"/>
          <w:szCs w:val="20"/>
        </w:rPr>
        <w:t xml:space="preserve">Basu </w:t>
      </w:r>
      <w:proofErr w:type="gramStart"/>
      <w:r w:rsidRPr="00207071">
        <w:rPr>
          <w:rFonts w:ascii="바탕체" w:eastAsia="바탕체" w:hAnsi="바탕체"/>
          <w:b/>
          <w:bCs/>
          <w:sz w:val="20"/>
          <w:szCs w:val="20"/>
        </w:rPr>
        <w:t>et al.(</w:t>
      </w:r>
      <w:proofErr w:type="gramEnd"/>
      <w:r w:rsidRPr="00207071">
        <w:rPr>
          <w:rFonts w:ascii="바탕체" w:eastAsia="바탕체" w:hAnsi="바탕체"/>
          <w:b/>
          <w:bCs/>
          <w:sz w:val="20"/>
          <w:szCs w:val="20"/>
        </w:rPr>
        <w:t>2024)</w:t>
      </w:r>
      <w:r w:rsidRPr="00207071">
        <w:rPr>
          <w:rFonts w:ascii="바탕체" w:eastAsia="바탕체" w:hAnsi="바탕체"/>
          <w:sz w:val="20"/>
          <w:szCs w:val="20"/>
        </w:rPr>
        <w:t xml:space="preserve">: 체감거리 = 실제거리 + 104m × </w:t>
      </w:r>
      <w:proofErr w:type="gramStart"/>
      <w:r w:rsidRPr="00207071">
        <w:rPr>
          <w:rFonts w:ascii="바탕체" w:eastAsia="바탕체" w:hAnsi="바탕체"/>
          <w:sz w:val="20"/>
          <w:szCs w:val="20"/>
        </w:rPr>
        <w:t>max(</w:t>
      </w:r>
      <w:proofErr w:type="gramEnd"/>
      <w:r w:rsidRPr="00207071">
        <w:rPr>
          <w:rFonts w:ascii="바탕체" w:eastAsia="바탕체" w:hAnsi="바탕체"/>
          <w:sz w:val="20"/>
          <w:szCs w:val="20"/>
        </w:rPr>
        <w:t>0, UTCI−baseline) (Table 2, Model 2, N=1,361, p&lt;0.001). 원문 계수는 경로 단위(평균 643.2m)로 추정되어, 본 연구 링크(평균 45.8m)에 적용하기 위해 링크 길이 비례 배율(rate=104/643.2=0.1617)로 환산하였다 — 이 환산은 원문에 없는 본 연구의 유도. baseline은 두 가지로 계산: 원문 그대로(26°C)와 본 연구 임계값(38°C)으로 교체한 버전.</w:t>
      </w:r>
    </w:p>
    <w:p w14:paraId="551D5903" w14:textId="77777777" w:rsidR="003B6E21" w:rsidRPr="00207071" w:rsidRDefault="00000000">
      <w:pPr>
        <w:pStyle w:val="Compact"/>
        <w:numPr>
          <w:ilvl w:val="0"/>
          <w:numId w:val="2"/>
        </w:numPr>
        <w:rPr>
          <w:rFonts w:ascii="바탕체" w:eastAsia="바탕체" w:hAnsi="바탕체"/>
          <w:sz w:val="20"/>
          <w:szCs w:val="20"/>
        </w:rPr>
      </w:pPr>
      <w:r w:rsidRPr="00207071">
        <w:rPr>
          <w:rFonts w:ascii="바탕체" w:eastAsia="바탕체" w:hAnsi="바탕체"/>
          <w:b/>
          <w:bCs/>
          <w:sz w:val="20"/>
          <w:szCs w:val="20"/>
        </w:rPr>
        <w:t xml:space="preserve">Aydin </w:t>
      </w:r>
      <w:proofErr w:type="gramStart"/>
      <w:r w:rsidRPr="00207071">
        <w:rPr>
          <w:rFonts w:ascii="바탕체" w:eastAsia="바탕체" w:hAnsi="바탕체"/>
          <w:b/>
          <w:bCs/>
          <w:sz w:val="20"/>
          <w:szCs w:val="20"/>
        </w:rPr>
        <w:t>et al.(</w:t>
      </w:r>
      <w:proofErr w:type="gramEnd"/>
      <w:r w:rsidRPr="00207071">
        <w:rPr>
          <w:rFonts w:ascii="바탕체" w:eastAsia="바탕체" w:hAnsi="바탕체"/>
          <w:b/>
          <w:bCs/>
          <w:sz w:val="20"/>
          <w:szCs w:val="20"/>
        </w:rPr>
        <w:t>2026)</w:t>
      </w:r>
      <w:r w:rsidRPr="00207071">
        <w:rPr>
          <w:rFonts w:ascii="바탕체" w:eastAsia="바탕체" w:hAnsi="바탕체"/>
          <w:sz w:val="20"/>
          <w:szCs w:val="20"/>
        </w:rPr>
        <w:t xml:space="preserve">: UTCI를 </w:t>
      </w:r>
      <w:proofErr w:type="spellStart"/>
      <w:r w:rsidRPr="00207071">
        <w:rPr>
          <w:rFonts w:ascii="바탕체" w:eastAsia="바탕체" w:hAnsi="바탕체"/>
          <w:sz w:val="20"/>
          <w:szCs w:val="20"/>
        </w:rPr>
        <w:t>Bröde</w:t>
      </w:r>
      <w:proofErr w:type="spellEnd"/>
      <w:r w:rsidRPr="00207071">
        <w:rPr>
          <w:rFonts w:ascii="바탕체" w:eastAsia="바탕체" w:hAnsi="바탕체"/>
          <w:sz w:val="20"/>
          <w:szCs w:val="20"/>
        </w:rPr>
        <w:t xml:space="preserve"> </w:t>
      </w:r>
      <w:proofErr w:type="gramStart"/>
      <w:r w:rsidRPr="00207071">
        <w:rPr>
          <w:rFonts w:ascii="바탕체" w:eastAsia="바탕체" w:hAnsi="바탕체"/>
          <w:sz w:val="20"/>
          <w:szCs w:val="20"/>
        </w:rPr>
        <w:t>et al.(</w:t>
      </w:r>
      <w:proofErr w:type="gramEnd"/>
      <w:r w:rsidRPr="00207071">
        <w:rPr>
          <w:rFonts w:ascii="바탕체" w:eastAsia="바탕체" w:hAnsi="바탕체"/>
          <w:sz w:val="20"/>
          <w:szCs w:val="20"/>
        </w:rPr>
        <w:t>2012) 급간 경계(26/32/38/46°</w:t>
      </w:r>
      <w:proofErr w:type="gramStart"/>
      <w:r w:rsidRPr="00207071">
        <w:rPr>
          <w:rFonts w:ascii="바탕체" w:eastAsia="바탕체" w:hAnsi="바탕체"/>
          <w:sz w:val="20"/>
          <w:szCs w:val="20"/>
        </w:rPr>
        <w:t>C)에</w:t>
      </w:r>
      <w:proofErr w:type="gramEnd"/>
      <w:r w:rsidRPr="00207071">
        <w:rPr>
          <w:rFonts w:ascii="바탕체" w:eastAsia="바탕체" w:hAnsi="바탕체"/>
          <w:sz w:val="20"/>
          <w:szCs w:val="20"/>
        </w:rPr>
        <w:t xml:space="preserve"> 따른 구간별 선형식으로 </w:t>
      </w:r>
      <w:proofErr w:type="gramStart"/>
      <w:r w:rsidRPr="00207071">
        <w:rPr>
          <w:rFonts w:ascii="바탕체" w:eastAsia="바탕체" w:hAnsi="바탕체"/>
          <w:sz w:val="20"/>
          <w:szCs w:val="20"/>
        </w:rPr>
        <w:t>PTT(</w:t>
      </w:r>
      <w:proofErr w:type="gramEnd"/>
      <w:r w:rsidRPr="00207071">
        <w:rPr>
          <w:rFonts w:ascii="바탕체" w:eastAsia="바탕체" w:hAnsi="바탕체"/>
          <w:sz w:val="20"/>
          <w:szCs w:val="20"/>
        </w:rPr>
        <w:t xml:space="preserve">인지이동시간)로 변환한 뒤, 탐색반경 (d0=1.2km, 15분 도시 </w:t>
      </w:r>
      <w:proofErr w:type="gramStart"/>
      <w:r w:rsidRPr="00207071">
        <w:rPr>
          <w:rFonts w:ascii="바탕체" w:eastAsia="바탕체" w:hAnsi="바탕체"/>
          <w:sz w:val="20"/>
          <w:szCs w:val="20"/>
        </w:rPr>
        <w:t>개념)을</w:t>
      </w:r>
      <w:proofErr w:type="gramEnd"/>
      <w:r w:rsidRPr="00207071">
        <w:rPr>
          <w:rFonts w:ascii="바탕체" w:eastAsia="바탕체" w:hAnsi="바탕체"/>
          <w:sz w:val="20"/>
          <w:szCs w:val="20"/>
        </w:rPr>
        <w:t xml:space="preserve"> PTT배로 줄인다.</w:t>
      </w:r>
    </w:p>
    <w:p w14:paraId="61EC9C4F" w14:textId="77777777" w:rsidR="003B6E21" w:rsidRPr="00207071" w:rsidRDefault="00000000">
      <w:pPr>
        <w:pStyle w:val="Compact"/>
        <w:numPr>
          <w:ilvl w:val="0"/>
          <w:numId w:val="2"/>
        </w:numPr>
        <w:rPr>
          <w:rFonts w:ascii="바탕체" w:eastAsia="바탕체" w:hAnsi="바탕체"/>
          <w:sz w:val="20"/>
          <w:szCs w:val="20"/>
        </w:rPr>
      </w:pPr>
      <w:proofErr w:type="spellStart"/>
      <w:r w:rsidRPr="00207071">
        <w:rPr>
          <w:rFonts w:ascii="바탕체" w:eastAsia="바탕체" w:hAnsi="바탕체"/>
          <w:sz w:val="20"/>
          <w:szCs w:val="20"/>
        </w:rPr>
        <w:t>Colaninno</w:t>
      </w:r>
      <w:proofErr w:type="spellEnd"/>
      <w:r w:rsidRPr="00207071">
        <w:rPr>
          <w:rFonts w:ascii="바탕체" w:eastAsia="바탕체" w:hAnsi="바탕체"/>
          <w:sz w:val="20"/>
          <w:szCs w:val="20"/>
        </w:rPr>
        <w:t xml:space="preserve"> </w:t>
      </w:r>
      <w:proofErr w:type="gramStart"/>
      <w:r w:rsidRPr="00207071">
        <w:rPr>
          <w:rFonts w:ascii="바탕체" w:eastAsia="바탕체" w:hAnsi="바탕체"/>
          <w:sz w:val="20"/>
          <w:szCs w:val="20"/>
        </w:rPr>
        <w:t>et al.(2024)의</w:t>
      </w:r>
      <w:proofErr w:type="gramEnd"/>
      <w:r w:rsidRPr="00207071">
        <w:rPr>
          <w:rFonts w:ascii="바탕체" w:eastAsia="바탕체" w:hAnsi="바탕체"/>
          <w:sz w:val="20"/>
          <w:szCs w:val="20"/>
        </w:rPr>
        <w:t xml:space="preserve"> HEI는 이미 고정된 접근성 모델 위에 위험도를 오버레이하는 사후 지표이며 캐치먼트 반경·도달가능성 자체를 바꾸지 않아 이 비교에서 제외하였다.</w:t>
      </w:r>
    </w:p>
    <w:p w14:paraId="4D3562D5" w14:textId="77777777" w:rsidR="003B6E21" w:rsidRPr="00207071" w:rsidRDefault="00000000">
      <w:pPr>
        <w:pStyle w:val="FirstParagraph"/>
        <w:rPr>
          <w:rFonts w:ascii="바탕체" w:eastAsia="바탕체" w:hAnsi="바탕체"/>
          <w:sz w:val="20"/>
          <w:szCs w:val="20"/>
        </w:rPr>
      </w:pPr>
      <w:r w:rsidRPr="00207071">
        <w:rPr>
          <w:rFonts w:ascii="바탕체" w:eastAsia="바탕체" w:hAnsi="바탕체"/>
          <w:b/>
          <w:bCs/>
          <w:sz w:val="20"/>
          <w:szCs w:val="20"/>
        </w:rPr>
        <w:t>표 6.</w:t>
      </w:r>
      <w:r w:rsidRPr="00207071">
        <w:rPr>
          <w:rFonts w:ascii="바탕체" w:eastAsia="바탕체" w:hAnsi="바탕체"/>
          <w:sz w:val="20"/>
          <w:szCs w:val="20"/>
        </w:rPr>
        <w:t xml:space="preserve"> CA vs SEAR vs 연속형 3방식(응봉역·성수역)</w:t>
      </w:r>
    </w:p>
    <w:tbl>
      <w:tblPr>
        <w:tblStyle w:val="Table"/>
        <w:tblW w:w="5000" w:type="pct"/>
        <w:tblLayout w:type="fixed"/>
        <w:tblLook w:val="0020" w:firstRow="1" w:lastRow="0" w:firstColumn="0" w:lastColumn="0" w:noHBand="0" w:noVBand="0"/>
      </w:tblPr>
      <w:tblGrid>
        <w:gridCol w:w="1338"/>
        <w:gridCol w:w="1337"/>
        <w:gridCol w:w="1337"/>
        <w:gridCol w:w="1337"/>
        <w:gridCol w:w="1337"/>
        <w:gridCol w:w="1337"/>
        <w:gridCol w:w="1337"/>
      </w:tblGrid>
      <w:tr w:rsidR="003B6E21" w:rsidRPr="00207071" w14:paraId="6323CE3B" w14:textId="77777777" w:rsidTr="003B6E21">
        <w:trPr>
          <w:cnfStyle w:val="100000000000" w:firstRow="1" w:lastRow="0" w:firstColumn="0" w:lastColumn="0" w:oddVBand="0" w:evenVBand="0" w:oddHBand="0" w:evenHBand="0" w:firstRowFirstColumn="0" w:firstRowLastColumn="0" w:lastRowFirstColumn="0" w:lastRowLastColumn="0"/>
          <w:tblHeader/>
        </w:trPr>
        <w:tc>
          <w:tcPr>
            <w:tcW w:w="1131" w:type="dxa"/>
          </w:tcPr>
          <w:p w14:paraId="141D60F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지점</w:t>
            </w:r>
          </w:p>
        </w:tc>
        <w:tc>
          <w:tcPr>
            <w:tcW w:w="1131" w:type="dxa"/>
          </w:tcPr>
          <w:p w14:paraId="461CD60B"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시각</w:t>
            </w:r>
          </w:p>
        </w:tc>
        <w:tc>
          <w:tcPr>
            <w:tcW w:w="1131" w:type="dxa"/>
          </w:tcPr>
          <w:p w14:paraId="5B4C2B54"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CA</w:t>
            </w:r>
          </w:p>
        </w:tc>
        <w:tc>
          <w:tcPr>
            <w:tcW w:w="1131" w:type="dxa"/>
          </w:tcPr>
          <w:p w14:paraId="14270C5C"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SEAR</w:t>
            </w:r>
          </w:p>
        </w:tc>
        <w:tc>
          <w:tcPr>
            <w:tcW w:w="1131" w:type="dxa"/>
          </w:tcPr>
          <w:p w14:paraId="3911ECE7"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Basu-26</w:t>
            </w:r>
          </w:p>
        </w:tc>
        <w:tc>
          <w:tcPr>
            <w:tcW w:w="1131" w:type="dxa"/>
          </w:tcPr>
          <w:p w14:paraId="7FBA3EB1"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Basu-38</w:t>
            </w:r>
          </w:p>
        </w:tc>
        <w:tc>
          <w:tcPr>
            <w:tcW w:w="1131" w:type="dxa"/>
          </w:tcPr>
          <w:p w14:paraId="27041845"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Aydin</w:t>
            </w:r>
          </w:p>
        </w:tc>
      </w:tr>
      <w:tr w:rsidR="003B6E21" w:rsidRPr="00207071" w14:paraId="0C02B137" w14:textId="77777777">
        <w:tc>
          <w:tcPr>
            <w:tcW w:w="1131" w:type="dxa"/>
          </w:tcPr>
          <w:p w14:paraId="6FAB8BFE"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응봉역</w:t>
            </w:r>
          </w:p>
        </w:tc>
        <w:tc>
          <w:tcPr>
            <w:tcW w:w="1131" w:type="dxa"/>
          </w:tcPr>
          <w:p w14:paraId="232671F5"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09시</w:t>
            </w:r>
          </w:p>
        </w:tc>
        <w:tc>
          <w:tcPr>
            <w:tcW w:w="1131" w:type="dxa"/>
          </w:tcPr>
          <w:p w14:paraId="14EE8006"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46</w:t>
            </w:r>
          </w:p>
        </w:tc>
        <w:tc>
          <w:tcPr>
            <w:tcW w:w="1131" w:type="dxa"/>
          </w:tcPr>
          <w:p w14:paraId="1CB22C9D"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 (97.8%↓)</w:t>
            </w:r>
          </w:p>
        </w:tc>
        <w:tc>
          <w:tcPr>
            <w:tcW w:w="1131" w:type="dxa"/>
          </w:tcPr>
          <w:p w14:paraId="7A6652FB"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3 (93.5%↓)</w:t>
            </w:r>
          </w:p>
        </w:tc>
        <w:tc>
          <w:tcPr>
            <w:tcW w:w="1131" w:type="dxa"/>
          </w:tcPr>
          <w:p w14:paraId="428A601E"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46 (0.0%↓)</w:t>
            </w:r>
          </w:p>
        </w:tc>
        <w:tc>
          <w:tcPr>
            <w:tcW w:w="1131" w:type="dxa"/>
          </w:tcPr>
          <w:p w14:paraId="51963F2E"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15 (67.4%↓)</w:t>
            </w:r>
          </w:p>
        </w:tc>
      </w:tr>
      <w:tr w:rsidR="003B6E21" w:rsidRPr="00207071" w14:paraId="54DDF1D8" w14:textId="77777777">
        <w:tc>
          <w:tcPr>
            <w:tcW w:w="1131" w:type="dxa"/>
          </w:tcPr>
          <w:p w14:paraId="5E5534DD"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응봉역</w:t>
            </w:r>
          </w:p>
        </w:tc>
        <w:tc>
          <w:tcPr>
            <w:tcW w:w="1131" w:type="dxa"/>
          </w:tcPr>
          <w:p w14:paraId="05D9F0BC"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19시</w:t>
            </w:r>
          </w:p>
        </w:tc>
        <w:tc>
          <w:tcPr>
            <w:tcW w:w="1131" w:type="dxa"/>
          </w:tcPr>
          <w:p w14:paraId="14F505BC"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46</w:t>
            </w:r>
          </w:p>
        </w:tc>
        <w:tc>
          <w:tcPr>
            <w:tcW w:w="1131" w:type="dxa"/>
          </w:tcPr>
          <w:p w14:paraId="16E9C1EF"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46 (0.0%↓)</w:t>
            </w:r>
          </w:p>
        </w:tc>
        <w:tc>
          <w:tcPr>
            <w:tcW w:w="1131" w:type="dxa"/>
          </w:tcPr>
          <w:p w14:paraId="20C1AFFD"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5 (89.1%↓)</w:t>
            </w:r>
          </w:p>
        </w:tc>
        <w:tc>
          <w:tcPr>
            <w:tcW w:w="1131" w:type="dxa"/>
          </w:tcPr>
          <w:p w14:paraId="41893F4C"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46 (0.0%↓)</w:t>
            </w:r>
          </w:p>
        </w:tc>
        <w:tc>
          <w:tcPr>
            <w:tcW w:w="1131" w:type="dxa"/>
          </w:tcPr>
          <w:p w14:paraId="494E1DE7"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23 (50.0%↓)</w:t>
            </w:r>
          </w:p>
        </w:tc>
      </w:tr>
      <w:tr w:rsidR="003B6E21" w:rsidRPr="00207071" w14:paraId="60ED98BC" w14:textId="77777777">
        <w:tc>
          <w:tcPr>
            <w:tcW w:w="1131" w:type="dxa"/>
          </w:tcPr>
          <w:p w14:paraId="6193DDE2"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성수역</w:t>
            </w:r>
          </w:p>
        </w:tc>
        <w:tc>
          <w:tcPr>
            <w:tcW w:w="1131" w:type="dxa"/>
          </w:tcPr>
          <w:p w14:paraId="00B40EF5"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09시</w:t>
            </w:r>
          </w:p>
        </w:tc>
        <w:tc>
          <w:tcPr>
            <w:tcW w:w="1131" w:type="dxa"/>
          </w:tcPr>
          <w:p w14:paraId="16AE770B"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54</w:t>
            </w:r>
          </w:p>
        </w:tc>
        <w:tc>
          <w:tcPr>
            <w:tcW w:w="1131" w:type="dxa"/>
          </w:tcPr>
          <w:p w14:paraId="3E1990A7"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35 (35.2%↓)</w:t>
            </w:r>
          </w:p>
        </w:tc>
        <w:tc>
          <w:tcPr>
            <w:tcW w:w="1131" w:type="dxa"/>
          </w:tcPr>
          <w:p w14:paraId="75CF29B9"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8 (85.2%↓)</w:t>
            </w:r>
          </w:p>
        </w:tc>
        <w:tc>
          <w:tcPr>
            <w:tcW w:w="1131" w:type="dxa"/>
          </w:tcPr>
          <w:p w14:paraId="278098A4"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53 (1.9%↓)</w:t>
            </w:r>
          </w:p>
        </w:tc>
        <w:tc>
          <w:tcPr>
            <w:tcW w:w="1131" w:type="dxa"/>
          </w:tcPr>
          <w:p w14:paraId="0B6C9DC7"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19 (64.8%↓)</w:t>
            </w:r>
          </w:p>
        </w:tc>
      </w:tr>
      <w:tr w:rsidR="003B6E21" w:rsidRPr="00207071" w14:paraId="71DBBAE4" w14:textId="77777777">
        <w:tc>
          <w:tcPr>
            <w:tcW w:w="1131" w:type="dxa"/>
          </w:tcPr>
          <w:p w14:paraId="16093C0A"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성수역</w:t>
            </w:r>
          </w:p>
        </w:tc>
        <w:tc>
          <w:tcPr>
            <w:tcW w:w="1131" w:type="dxa"/>
          </w:tcPr>
          <w:p w14:paraId="7B511A01"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19시</w:t>
            </w:r>
          </w:p>
        </w:tc>
        <w:tc>
          <w:tcPr>
            <w:tcW w:w="1131" w:type="dxa"/>
          </w:tcPr>
          <w:p w14:paraId="715F986A"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54</w:t>
            </w:r>
          </w:p>
        </w:tc>
        <w:tc>
          <w:tcPr>
            <w:tcW w:w="1131" w:type="dxa"/>
          </w:tcPr>
          <w:p w14:paraId="7B6704AE"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54 (0.0%↓)</w:t>
            </w:r>
          </w:p>
        </w:tc>
        <w:tc>
          <w:tcPr>
            <w:tcW w:w="1131" w:type="dxa"/>
          </w:tcPr>
          <w:p w14:paraId="3A2B6FE3"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8 (85.2%↓)</w:t>
            </w:r>
          </w:p>
        </w:tc>
        <w:tc>
          <w:tcPr>
            <w:tcW w:w="1131" w:type="dxa"/>
          </w:tcPr>
          <w:p w14:paraId="2F7027DD"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54 (0.0%↓)</w:t>
            </w:r>
          </w:p>
        </w:tc>
        <w:tc>
          <w:tcPr>
            <w:tcW w:w="1131" w:type="dxa"/>
          </w:tcPr>
          <w:p w14:paraId="7CB61F4D" w14:textId="77777777" w:rsidR="003B6E21" w:rsidRPr="00207071" w:rsidRDefault="00000000">
            <w:pPr>
              <w:pStyle w:val="Compact"/>
              <w:rPr>
                <w:rFonts w:ascii="바탕체" w:eastAsia="바탕체" w:hAnsi="바탕체"/>
                <w:sz w:val="20"/>
                <w:szCs w:val="20"/>
              </w:rPr>
            </w:pPr>
            <w:r w:rsidRPr="00207071">
              <w:rPr>
                <w:rFonts w:ascii="바탕체" w:eastAsia="바탕체" w:hAnsi="바탕체"/>
                <w:sz w:val="20"/>
                <w:szCs w:val="20"/>
              </w:rPr>
              <w:t>23 (57.4%↓)</w:t>
            </w:r>
          </w:p>
        </w:tc>
      </w:tr>
    </w:tbl>
    <w:p w14:paraId="159DA8A7"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Basu 계수의 기울기(104m/°C)는 그대로 두고 baseline만 본 연구 임계값 (38°C)으로 교체한 버전(Basu-38)은 응봉역 09시조차 감소율 0.0%로 나타났다 — 같은 38°C 임계값을 넘는 링크가 존재해도, 그 초과분에 비례한 연속적 페널티만으로는 15분 예산 내 도달가능성이 거의 줄지 않는다. 반면 SEAR는 동일 조건에서 97.8% 감소한다.</w:t>
      </w:r>
    </w:p>
    <w:p w14:paraId="5C5BD0D4"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19시에는 SEAR가 감소율 0.0%(완전 회복)인 반면, 원문 baseline(26°C)을 쓴 Basu-26은 여전히 89.1% 감소로 남는다. 19시 응봉역 반경 1.2km UTCI 실측(2,864개 링크 전수)은 평균 35.0°C, 범위 33.3~37.8°C로 100%가 26°C를 초과하지만 38°C 미만이다.</w:t>
      </w:r>
    </w:p>
    <w:p w14:paraId="49673DC4" w14:textId="77777777" w:rsidR="003B6E21" w:rsidRPr="00207071" w:rsidRDefault="00000000">
      <w:pPr>
        <w:pStyle w:val="a0"/>
        <w:rPr>
          <w:rFonts w:ascii="바탕체" w:eastAsia="바탕체" w:hAnsi="바탕체"/>
          <w:sz w:val="20"/>
          <w:szCs w:val="20"/>
        </w:rPr>
      </w:pPr>
      <w:r w:rsidRPr="00207071">
        <w:rPr>
          <w:rFonts w:ascii="바탕체" w:eastAsia="바탕체" w:hAnsi="바탕체"/>
          <w:sz w:val="20"/>
          <w:szCs w:val="20"/>
        </w:rPr>
        <w:t>Aydin은 두 극단 사이(50.0~67.4% 감소)로 나타났다.</w:t>
      </w:r>
    </w:p>
    <w:p w14:paraId="18B95F7F" w14:textId="77777777" w:rsidR="003B6E21" w:rsidRPr="00207071" w:rsidRDefault="00000000">
      <w:pPr>
        <w:pStyle w:val="a0"/>
        <w:rPr>
          <w:rFonts w:ascii="바탕체" w:eastAsia="바탕체" w:hAnsi="바탕체"/>
          <w:sz w:val="20"/>
          <w:szCs w:val="20"/>
        </w:rPr>
      </w:pPr>
      <w:r w:rsidRPr="00207071">
        <w:rPr>
          <w:rFonts w:ascii="Apple Color Emoji" w:eastAsia="바탕체" w:hAnsi="Apple Color Emoji" w:cs="Apple Color Emoji"/>
          <w:sz w:val="20"/>
          <w:szCs w:val="20"/>
        </w:rPr>
        <w:t>⚠️</w:t>
      </w:r>
      <w:r w:rsidRPr="00207071">
        <w:rPr>
          <w:rFonts w:ascii="바탕체" w:eastAsia="바탕체" w:hAnsi="바탕체"/>
          <w:sz w:val="20"/>
          <w:szCs w:val="20"/>
        </w:rPr>
        <w:t xml:space="preserve"> 남은 판단: (1) 링크 배율 환산·Basu-38 baseline 교체는 본 연구의 유도이며 Basu(2024) 원문 그대로라고 서술하면 안 됨. (2) Aydin 적용 방식(목적지 단독 UTCI 기준 반경 축소, 경로상 누적 열노출 미반영)의 타당성 재검토 필요. (3) 이 절 전체를 Results/Discussion 중 어디에 배치할지 지도교수 논의 필요.</w:t>
      </w:r>
      <w:bookmarkEnd w:id="15"/>
    </w:p>
    <w:sectPr w:rsidR="003B6E21" w:rsidRPr="00207071">
      <w:footnotePr>
        <w:numRestart w:val="eachSect"/>
      </w:footnotePr>
      <w:pgSz w:w="12240" w:h="15840"/>
      <w:pgMar w:top="1701"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바탕체">
    <w:altName w:val="BatangChe"/>
    <w:panose1 w:val="02030609000101010101"/>
    <w:charset w:val="81"/>
    <w:family w:val="modern"/>
    <w:pitch w:val="fixed"/>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424F9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1CAF7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41256713">
    <w:abstractNumId w:val="0"/>
  </w:num>
  <w:num w:numId="2" w16cid:durableId="180893724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E21"/>
    <w:rsid w:val="0009055B"/>
    <w:rsid w:val="001B298D"/>
    <w:rsid w:val="00207071"/>
    <w:rsid w:val="002C416F"/>
    <w:rsid w:val="003031A2"/>
    <w:rsid w:val="00391510"/>
    <w:rsid w:val="003A01CA"/>
    <w:rsid w:val="003B6E21"/>
    <w:rsid w:val="003D0E4C"/>
    <w:rsid w:val="00445990"/>
    <w:rsid w:val="00451E5C"/>
    <w:rsid w:val="00896937"/>
    <w:rsid w:val="00A653A8"/>
    <w:rsid w:val="00CD2FF1"/>
    <w:rsid w:val="00D80C0B"/>
    <w:rsid w:val="00FD30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C0612"/>
  <w15:docId w15:val="{0242C33B-D844-2341-95DC-DEFA777C3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caption" w:uiPriority="35"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Char"/>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0"/>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0">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1"/>
    <w:uiPriority w:val="11"/>
    <w:qFormat/>
    <w:rsid w:val="00A10FD9"/>
    <w:pPr>
      <w:numPr>
        <w:ilvl w:val="1"/>
      </w:numPr>
    </w:pPr>
    <w:rPr>
      <w:spacing w:val="15"/>
      <w:sz w:val="28"/>
      <w:szCs w:val="28"/>
    </w:rPr>
  </w:style>
  <w:style w:type="character" w:customStyle="1" w:styleId="Char1">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2"/>
    <w:uiPriority w:val="35"/>
    <w:qFormat/>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2">
    <w:name w:val="캡션 Char"/>
    <w:basedOn w:val="a1"/>
    <w:link w:val="aa"/>
  </w:style>
  <w:style w:type="character" w:customStyle="1" w:styleId="VerbatimChar">
    <w:name w:val="Verbatim Char"/>
    <w:basedOn w:val="Char2"/>
    <w:link w:val="SourceCode"/>
    <w:rPr>
      <w:rFonts w:ascii="Consolas" w:hAnsi="Consolas"/>
      <w:sz w:val="22"/>
    </w:rPr>
  </w:style>
  <w:style w:type="character" w:customStyle="1" w:styleId="SectionNumber">
    <w:name w:val="Section Number"/>
    <w:basedOn w:val="Char2"/>
  </w:style>
  <w:style w:type="character" w:styleId="ab">
    <w:name w:val="footnote reference"/>
    <w:basedOn w:val="Char2"/>
    <w:rPr>
      <w:vertAlign w:val="superscript"/>
    </w:rPr>
  </w:style>
  <w:style w:type="character" w:styleId="ac">
    <w:name w:val="Hyperlink"/>
    <w:basedOn w:val="Char2"/>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Char">
    <w:name w:val="본문 Char"/>
    <w:basedOn w:val="a1"/>
    <w:link w:val="a0"/>
    <w:rsid w:val="001B2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11</Pages>
  <Words>2018</Words>
  <Characters>11505</Characters>
  <Application>Microsoft Office Word</Application>
  <DocSecurity>0</DocSecurity>
  <Lines>95</Lines>
  <Paragraphs>26</Paragraphs>
  <ScaleCrop>false</ScaleCrop>
  <Company/>
  <LinksUpToDate>false</LinksUpToDate>
  <CharactersWithSpaces>13497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신진</dc:creator>
  <cp:keywords/>
  <cp:lastModifiedBy>신진</cp:lastModifiedBy>
  <cp:revision>13</cp:revision>
  <cp:lastPrinted>2026-08-17T06:58:00Z</cp:lastPrinted>
  <dcterms:created xsi:type="dcterms:W3CDTF">2026-08-12T16:39:00Z</dcterms:created>
  <dcterms:modified xsi:type="dcterms:W3CDTF">2026-08-17T16:14:00Z</dcterms:modified>
</cp:coreProperties>
</file>