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emf" ContentType="image/x-emf"/>
  <Override PartName="/word/media/rId15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2. 방법론</w:t>
      </w:r>
    </w:p>
    <w:p>
      <w:pPr>
        <w:pStyle w:val="BodyText"/>
      </w:pPr>
      <w:r>
        <w:t xml:space="preserve">본 연구는 과열 링크의 이진적 제거를 통해 열노출을 반영하는 보행</w:t>
      </w:r>
      <w:r>
        <w:t xml:space="preserve"> </w:t>
      </w:r>
      <w:r>
        <w:t xml:space="preserve">네트워크를 수정하는 절차를 제안한다. 그 결과로 산출되는 열노출 반영 보행</w:t>
      </w:r>
      <w:r>
        <w:t xml:space="preserve"> </w:t>
      </w:r>
      <w:r>
        <w:t xml:space="preserve">네트워크를 SEAR(Stress-Exposure Adjusted Reach)로 명명한다. 본</w:t>
      </w:r>
      <w:r>
        <w:t xml:space="preserve"> </w:t>
      </w:r>
      <w:r>
        <w:t xml:space="preserve">연구에서는 누적기회형 접근성 측정치 중 단순한 방법인 컨투어 메저(Geurs</w:t>
      </w:r>
      <w:r>
        <w:t xml:space="preserve"> </w:t>
      </w:r>
      <w:r>
        <w:t xml:space="preserve">and van Wee, 2004)를 통해 SEAR의 활용을 예시로 보인다. 본 연구의 절차는</w:t>
      </w:r>
      <w:r>
        <w:t xml:space="preserve"> </w:t>
      </w:r>
      <w:r>
        <w:t xml:space="preserve">도달 가능 영역 개념을 차용하는 다른 접근성 측정 방법에도 동일하게 적용</w:t>
      </w:r>
      <w:r>
        <w:t xml:space="preserve"> </w:t>
      </w:r>
      <w:r>
        <w:t xml:space="preserve">가능하다. 이 절차는 MRT 산출, UTCI 계산, 과열 링크의 이진적 제거, 컨투어</w:t>
      </w:r>
      <w:r>
        <w:t xml:space="preserve"> </w:t>
      </w:r>
      <w:r>
        <w:t xml:space="preserve">메저 기반 접근성 비교, 그리고 정책 응용을 위한 병목 링크 식별 단계로</w:t>
      </w:r>
      <w:r>
        <w:t xml:space="preserve"> </w:t>
      </w:r>
      <w:r>
        <w:t xml:space="preserve">구성된 방법론적 파이프라인으로 구현된다(그림 1). 아래에서는 이</w:t>
      </w:r>
      <w:r>
        <w:t xml:space="preserve"> </w:t>
      </w:r>
      <w:r>
        <w:t xml:space="preserve">프레임워크를 대한민국 서울특별시와 이에 속한 성동구에 적용한 구체적인</w:t>
      </w:r>
      <w:r>
        <w:t xml:space="preserve"> </w:t>
      </w:r>
      <w:r>
        <w:t xml:space="preserve">연구지역, 데이터, 산출 절차를 순서대로 기술한다.</w:t>
      </w:r>
    </w:p>
    <w:p>
      <w:pPr>
        <w:pStyle w:val="BodyText"/>
      </w:pPr>
      <w:r>
        <w:rPr>
          <w:b/>
          <w:bCs/>
        </w:rPr>
        <w:t xml:space="preserve">[그림 1 — 파이프라인 모식도: 삽입 예정]</w:t>
      </w:r>
    </w:p>
    <w:bookmarkStart w:id="9" w:name="study-area"/>
    <w:p>
      <w:pPr>
        <w:pStyle w:val="Heading2"/>
      </w:pPr>
      <w:r>
        <w:t xml:space="preserve">2.1 Study Area</w:t>
      </w:r>
    </w:p>
    <w:p>
      <w:pPr>
        <w:pStyle w:val="FirstParagraph"/>
      </w:pPr>
      <w:r>
        <w:t xml:space="preserve">서울은 단일 도시 안에 열노출 평가 방법론을 다양한 조건에서 시험할 수</w:t>
      </w:r>
      <w:r>
        <w:t xml:space="preserve"> </w:t>
      </w:r>
      <w:r>
        <w:t xml:space="preserve">있는 이질적인 건조·자연 환경을 포함한다. 한강이라는 대형 수공간, 서울숲·</w:t>
      </w:r>
      <w:r>
        <w:t xml:space="preserve"> </w:t>
      </w:r>
      <w:r>
        <w:t xml:space="preserve">어린이대공원과 같은 대형 녹지시설, 고층 건축 밀집지역과 저층 노후</w:t>
      </w:r>
      <w:r>
        <w:t xml:space="preserve"> </w:t>
      </w:r>
      <w:r>
        <w:t xml:space="preserve">주거지역, 대형 지하철 역사와 국지적 버스정류장이 혼재하는 대중교통</w:t>
      </w:r>
      <w:r>
        <w:t xml:space="preserve"> </w:t>
      </w:r>
      <w:r>
        <w:t xml:space="preserve">인프라가 갖춰져 있다. 또한 보행 이동의 실질적 목적지는 아니지만,</w:t>
      </w:r>
      <w:r>
        <w:t xml:space="preserve"> </w:t>
      </w:r>
      <w:r>
        <w:t xml:space="preserve">방법론이 극단적으로 다른 지표면·개방도 조건에서도 타당하게 작동하는지</w:t>
      </w:r>
      <w:r>
        <w:t xml:space="preserve"> </w:t>
      </w:r>
      <w:r>
        <w:t xml:space="preserve">확인할 수 있는 북한산·관악산과 같은 산림지역까지 포함되어 있다.</w:t>
      </w:r>
    </w:p>
    <w:p>
      <w:pPr>
        <w:pStyle w:val="BodyText"/>
      </w:pPr>
      <w:r>
        <w:t xml:space="preserve">서울 25개 자치구 중 성동구(16.82km², 행정구역 실측)를 보조 연구지역으로</w:t>
      </w:r>
      <w:r>
        <w:t xml:space="preserve"> </w:t>
      </w:r>
      <w:r>
        <w:t xml:space="preserve">선정하였다. 성동구는 고가도로, 산림, 하천, 고층 건물, 저층 주거지역을</w:t>
      </w:r>
      <w:r>
        <w:t xml:space="preserve"> </w:t>
      </w:r>
      <w:r>
        <w:t xml:space="preserve">하나의 자치구 안에 모두 포함하고 있어, 서울 전역이 지닌 환경적 다양성의</w:t>
      </w:r>
      <w:r>
        <w:t xml:space="preserve"> </w:t>
      </w:r>
      <w:r>
        <w:t xml:space="preserve">축소판 역할을 한다. 이러한 특성 덕분에 서울 전역에서는 계산 비용상</w:t>
      </w:r>
      <w:r>
        <w:t xml:space="preserve"> </w:t>
      </w:r>
      <w:r>
        <w:t xml:space="preserve">실행하기 어려운 세밀한 검증(예: 1m 해상도 산출)을 성동구 단위에서 수행할</w:t>
      </w:r>
      <w:r>
        <w:t xml:space="preserve"> </w:t>
      </w:r>
      <w:r>
        <w:t xml:space="preserve">수 있다.</w:t>
      </w:r>
    </w:p>
    <w:p>
      <w:pPr>
        <w:pStyle w:val="BodyText"/>
      </w:pPr>
      <w:r>
        <w:t xml:space="preserve">서울(605.70km²)은 UTCI 기반 보행 접근성 관련 최근 선행연구의 대상 규모를</w:t>
      </w:r>
      <w:r>
        <w:t xml:space="preserve"> </w:t>
      </w:r>
      <w:r>
        <w:t xml:space="preserve">크게 상회한다. Colaninno et al.(2024)의 로스앤젤레스는 36km², Basu et</w:t>
      </w:r>
      <w:r>
        <w:t xml:space="preserve"> </w:t>
      </w:r>
      <w:r>
        <w:t xml:space="preserve">al.(2024)의 보스턴은 125km², Buo et al.(2026)의 ASU Tempe 캠퍼스는</w:t>
      </w:r>
      <w:r>
        <w:t xml:space="preserve"> </w:t>
      </w:r>
      <w:r>
        <w:t xml:space="preserve">7.01km², Aydin et al.(2026)의 싱가포르 풍갈(Punggol) 지역은 112ha(약</w:t>
      </w:r>
      <w:r>
        <w:t xml:space="preserve"> </w:t>
      </w:r>
      <w:r>
        <w:t xml:space="preserve">1.12km²)에 그친다(표 1). 서울은 이들 중 가장 넓은 보스턴보다도 약 4.8배,</w:t>
      </w:r>
      <w:r>
        <w:t xml:space="preserve"> </w:t>
      </w:r>
      <w:r>
        <w:t xml:space="preserve">가장 좁은 싱가포르 사례보다는 약 540배 넓다. 이러한 스케일 차이는 열노출</w:t>
      </w:r>
      <w:r>
        <w:t xml:space="preserve"> </w:t>
      </w:r>
      <w:r>
        <w:t xml:space="preserve">평가 방법론이 실험적 규모를 넘어 도시 전역 스케일에서도 계산적으로 실행</w:t>
      </w:r>
      <w:r>
        <w:t xml:space="preserve"> </w:t>
      </w:r>
      <w:r>
        <w:t xml:space="preserve">가능한지를 검증하는 기회를 제공한다.</w:t>
      </w:r>
    </w:p>
    <w:p>
      <w:pPr>
        <w:pStyle w:val="TableCaption"/>
      </w:pPr>
      <w:r>
        <w:t xml:space="preserve">표 1. 선행연구와의 연구 지역 규모 및 결과 해상도 비교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표 1. 선행연구와의 연구 지역 규모 및 결과 해상도 비교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연구</w:t>
            </w:r>
          </w:p>
        </w:tc>
        <w:tc>
          <w:tcPr/>
          <w:p>
            <w:pPr>
              <w:pStyle w:val="Compact"/>
            </w:pPr>
            <w:r>
              <w:t xml:space="preserve">연구지역</w:t>
            </w:r>
          </w:p>
        </w:tc>
        <w:tc>
          <w:tcPr/>
          <w:p>
            <w:pPr>
              <w:pStyle w:val="Compact"/>
            </w:pPr>
            <w:r>
              <w:t xml:space="preserve">면적</w:t>
            </w:r>
          </w:p>
        </w:tc>
        <w:tc>
          <w:tcPr/>
          <w:p>
            <w:pPr>
              <w:pStyle w:val="Compact"/>
            </w:pPr>
            <w:r>
              <w:t xml:space="preserve">서울 대비 배율</w:t>
            </w:r>
          </w:p>
        </w:tc>
        <w:tc>
          <w:tcPr/>
          <w:p>
            <w:pPr>
              <w:pStyle w:val="Compact"/>
            </w:pPr>
            <w:r>
              <w:t xml:space="preserve">계산 해상도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서울</w:t>
            </w:r>
          </w:p>
        </w:tc>
        <w:tc>
          <w:tcPr/>
          <w:p>
            <w:pPr>
              <w:pStyle w:val="Compact"/>
            </w:pPr>
            <w:r>
              <w:t xml:space="preserve">605.70 km²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성동구</w:t>
            </w:r>
          </w:p>
        </w:tc>
        <w:tc>
          <w:tcPr/>
          <w:p>
            <w:pPr>
              <w:pStyle w:val="Compact"/>
            </w:pPr>
            <w:r>
              <w:t xml:space="preserve">16.82 km²</w:t>
            </w:r>
          </w:p>
        </w:tc>
        <w:tc>
          <w:tcPr/>
          <w:p>
            <w:pPr>
              <w:pStyle w:val="Compact"/>
            </w:pPr>
            <w:r>
              <w:t xml:space="preserve">2.78%</w:t>
            </w:r>
          </w:p>
        </w:tc>
        <w:tc>
          <w:tcPr/>
          <w:p>
            <w:pPr>
              <w:pStyle w:val="Compact"/>
            </w:pPr>
            <w:r>
              <w:t xml:space="preserve">1/5/10/15/30m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Colaninno et al.(2024)</w:t>
            </w:r>
          </w:p>
        </w:tc>
        <w:tc>
          <w:tcPr/>
          <w:p>
            <w:pPr>
              <w:pStyle w:val="Compact"/>
            </w:pPr>
            <w:r>
              <w:t xml:space="preserve">로스앤젤레스</w:t>
            </w:r>
          </w:p>
        </w:tc>
        <w:tc>
          <w:tcPr/>
          <w:p>
            <w:pPr>
              <w:pStyle w:val="Compact"/>
            </w:pPr>
            <w:r>
              <w:t xml:space="preserve">36 km²</w:t>
            </w:r>
          </w:p>
        </w:tc>
        <w:tc>
          <w:tcPr/>
          <w:p>
            <w:pPr>
              <w:pStyle w:val="Compact"/>
            </w:pPr>
            <w:r>
              <w:t xml:space="preserve">5.94%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Basu et al.(2024)</w:t>
            </w:r>
          </w:p>
        </w:tc>
        <w:tc>
          <w:tcPr/>
          <w:p>
            <w:pPr>
              <w:pStyle w:val="Compact"/>
            </w:pPr>
            <w:r>
              <w:t xml:space="preserve">보스턴</w:t>
            </w:r>
          </w:p>
        </w:tc>
        <w:tc>
          <w:tcPr/>
          <w:p>
            <w:pPr>
              <w:pStyle w:val="Compact"/>
            </w:pPr>
            <w:r>
              <w:t xml:space="preserve">125 km²</w:t>
            </w:r>
          </w:p>
        </w:tc>
        <w:tc>
          <w:tcPr/>
          <w:p>
            <w:pPr>
              <w:pStyle w:val="Compact"/>
            </w:pPr>
            <w:r>
              <w:t xml:space="preserve">20.64%</w:t>
            </w:r>
          </w:p>
        </w:tc>
        <w:tc>
          <w:tcPr/>
          <w:p>
            <w:pPr>
              <w:pStyle w:val="Compact"/>
            </w:pPr>
            <w:r>
              <w:t xml:space="preserve">2.5m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Buo et al.(2026)</w:t>
            </w:r>
          </w:p>
        </w:tc>
        <w:tc>
          <w:tcPr/>
          <w:p>
            <w:pPr>
              <w:pStyle w:val="Compact"/>
            </w:pPr>
            <w:r>
              <w:t xml:space="preserve">ASU Tempe Campus</w:t>
            </w:r>
          </w:p>
        </w:tc>
        <w:tc>
          <w:tcPr/>
          <w:p>
            <w:pPr>
              <w:pStyle w:val="Compact"/>
            </w:pPr>
            <w:r>
              <w:t xml:space="preserve">7.01 km²</w:t>
            </w:r>
          </w:p>
        </w:tc>
        <w:tc>
          <w:tcPr/>
          <w:p>
            <w:pPr>
              <w:pStyle w:val="Compact"/>
            </w:pPr>
            <w:r>
              <w:t xml:space="preserve">1.16%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Aydin et al.(2026)</w:t>
            </w:r>
          </w:p>
        </w:tc>
        <w:tc>
          <w:tcPr/>
          <w:p>
            <w:pPr>
              <w:pStyle w:val="Compact"/>
            </w:pPr>
            <w:r>
              <w:t xml:space="preserve">싱가포르 Punggol</w:t>
            </w:r>
          </w:p>
        </w:tc>
        <w:tc>
          <w:tcPr/>
          <w:p>
            <w:pPr>
              <w:pStyle w:val="Compact"/>
            </w:pPr>
            <w:r>
              <w:t xml:space="preserve">1.12 km²</w:t>
            </w:r>
          </w:p>
        </w:tc>
        <w:tc>
          <w:tcPr/>
          <w:p>
            <w:pPr>
              <w:pStyle w:val="Compact"/>
            </w:pPr>
            <w:r>
              <w:t xml:space="preserve">0.18%</w:t>
            </w:r>
          </w:p>
        </w:tc>
        <w:tc>
          <w:tcPr/>
          <w:p>
            <w:pPr>
              <w:pStyle w:val="Compact"/>
            </w:pPr>
            <w:r>
              <w:t xml:space="preserve">2m 간격</w:t>
            </w:r>
          </w:p>
        </w:tc>
      </w:tr>
    </w:tbl>
    <w:p>
      <w:pPr>
        <w:pStyle w:val="BodyText"/>
      </w:pPr>
      <w:r>
        <w:t xml:space="preserve">선행연구들은 1~2.5m급 고해상도를 채택했지만, 서울 면적을 기준으로 이들</w:t>
      </w:r>
      <w:r>
        <w:t xml:space="preserve"> </w:t>
      </w:r>
      <w:r>
        <w:t xml:space="preserve">연구지역은 가장 큰 보스턴은 20.64%에 그치고 가장 작은 싱가포르 사례는</w:t>
      </w:r>
      <w:r>
        <w:t xml:space="preserve"> </w:t>
      </w:r>
      <w:r>
        <w:t xml:space="preserve">0.18%에 불과하다. 본 연구는 성동구에서 1m부터 30m까지 5개 해상도를 직접</w:t>
      </w:r>
      <w:r>
        <w:t xml:space="preserve"> </w:t>
      </w:r>
      <w:r>
        <w:t xml:space="preserve">비교·검증한 뒤, 계산량과 정밀도의 균형점인 5m 해상도를 서울 전역에 확장</w:t>
      </w:r>
      <w:r>
        <w:t xml:space="preserve"> </w:t>
      </w:r>
      <w:r>
        <w:t xml:space="preserve">적용하였다.</w:t>
      </w:r>
    </w:p>
    <w:bookmarkEnd w:id="9"/>
    <w:bookmarkStart w:id="10" w:name="data"/>
    <w:p>
      <w:pPr>
        <w:pStyle w:val="Heading2"/>
      </w:pPr>
      <w:r>
        <w:t xml:space="preserve">2.2 Data</w:t>
      </w:r>
    </w:p>
    <w:p>
      <w:pPr>
        <w:pStyle w:val="FirstParagraph"/>
      </w:pPr>
      <w:r>
        <w:t xml:space="preserve">본 연구는 지형, 건조환경, 수목, 토지피복, 기상, 보행 네트워크 여섯</w:t>
      </w:r>
      <w:r>
        <w:t xml:space="preserve"> </w:t>
      </w:r>
      <w:r>
        <w:t xml:space="preserve">종류의 입력자료를 사용한다(표 2). 지면 표고는 국토지리정보원의 1m 해상도</w:t>
      </w:r>
      <w:r>
        <w:t xml:space="preserve"> </w:t>
      </w:r>
      <w:r>
        <w:t xml:space="preserve">실측 DEM과 오픈소스 Copernicus Global Digital Elevation Model(GLO-30,</w:t>
      </w:r>
      <w:r>
        <w:t xml:space="preserve"> </w:t>
      </w:r>
      <w:r>
        <w:t xml:space="preserve">30m; European Space Agency, 2024)을 사용한다. 이 두 데이터를 비교하여</w:t>
      </w:r>
      <w:r>
        <w:t xml:space="preserve"> </w:t>
      </w:r>
      <w:r>
        <w:t xml:space="preserve">UTCI 산출 후 비교를 통해 고해상도 DEM의 접근 권한 부재에도 오픈소스를</w:t>
      </w:r>
      <w:r>
        <w:t xml:space="preserve"> </w:t>
      </w:r>
      <w:r>
        <w:t xml:space="preserve">통한 재현 가능성을 확인한다. DSM 데이터를 합성하기 위해 활용한 건물</w:t>
      </w:r>
      <w:r>
        <w:t xml:space="preserve"> </w:t>
      </w:r>
      <w:r>
        <w:t xml:space="preserve">높이는 건축물대장의 실측 층수, 도로명주소 건물자료의 층수 자료 기반으로</w:t>
      </w:r>
      <w:r>
        <w:t xml:space="preserve"> </w:t>
      </w:r>
      <w:r>
        <w:t xml:space="preserve">층당 3m를 곱하는 방식을 적용한다. 수목 캐노피는 산림청 임상도(1:5,000)의</w:t>
      </w:r>
      <w:r>
        <w:t xml:space="preserve"> </w:t>
      </w:r>
      <w:r>
        <w:t xml:space="preserve">실측 수고 값을 사용한다. 토지피복은 환경부 세분류(41클래스)를 UMEP</w:t>
      </w:r>
      <w:r>
        <w:t xml:space="preserve"> </w:t>
      </w:r>
      <w:r>
        <w:t xml:space="preserve">5클래스 체계로 재분류하여 적용한다.</w:t>
      </w:r>
    </w:p>
    <w:p>
      <w:pPr>
        <w:pStyle w:val="BodyText"/>
      </w:pPr>
      <w:r>
        <w:t xml:space="preserve">분석 기간은 2025년 폭염일 중 가장 지속 기간이 길었던 12일(2025-07-23~</w:t>
      </w:r>
      <w:r>
        <w:t xml:space="preserve"> </w:t>
      </w:r>
      <w:r>
        <w:t xml:space="preserve">08-03)이며, 매 시각에 대해 12일간 값을 각각 평균하여 사용한다(예: 09시</w:t>
      </w:r>
      <w:r>
        <w:t xml:space="preserve"> </w:t>
      </w:r>
      <w:r>
        <w:t xml:space="preserve">값은 12일치 09시 관측값의 평균).</w:t>
      </w:r>
    </w:p>
    <w:p>
      <w:pPr>
        <w:pStyle w:val="BodyText"/>
      </w:pPr>
      <w:r>
        <w:t xml:space="preserve">MRT 산출에 활용된 SOLWEIG(Lindberg et al., 2008; UMEP 구현체는 Lindberg</w:t>
      </w:r>
      <w:r>
        <w:t xml:space="preserve"> </w:t>
      </w:r>
      <w:r>
        <w:t xml:space="preserve">et al., 2018)는 도메인 전체에 단일 기상 시계열(met.txt)만 입력받는</w:t>
      </w:r>
      <w:r>
        <w:t xml:space="preserve"> </w:t>
      </w:r>
      <w:r>
        <w:t xml:space="preserve">구조적 제약이 있어, Tmrt 산출에는 대표 단일값 기상을 사용한다 — Ta, RH는</w:t>
      </w:r>
      <w:r>
        <w:t xml:space="preserve"> </w:t>
      </w:r>
      <w:r>
        <w:t xml:space="preserve">S-DoT 서울 전체 센서 단순평균, 풍속은 AWS 서울 전체 관측소(27개)</w:t>
      </w:r>
      <w:r>
        <w:t xml:space="preserve"> </w:t>
      </w:r>
      <w:r>
        <w:t xml:space="preserve">단순평균, 일사량은 ASOS 108(서울) 단일 관측소값이다(표 2). 이는 동일한</w:t>
      </w:r>
      <w:r>
        <w:t xml:space="preserve"> </w:t>
      </w:r>
      <w:r>
        <w:t xml:space="preserve">제약 하에서 SOLWEIG로 공간 MRT를 산출한 선행연구(Basu et al., 2024;</w:t>
      </w:r>
      <w:r>
        <w:t xml:space="preserve"> </w:t>
      </w:r>
      <w:r>
        <w:t xml:space="preserve">Colaninno et al., 2024)의 접근과 같다.</w:t>
      </w:r>
      <w:r>
        <w:t xml:space="preserve"> </w:t>
      </w:r>
      <w:r>
        <w:t xml:space="preserve">이렇게 산출된 Tmrt의 공간적 그림자·복사 패턴은 유지한 채, UTCI 산출</w:t>
      </w:r>
      <w:r>
        <w:t xml:space="preserve"> </w:t>
      </w:r>
      <w:r>
        <w:t xml:space="preserve">단계에서만 기온, 상대습도, 풍속을 기상청 API 허브의 500m 해상도 융합기상</w:t>
      </w:r>
      <w:r>
        <w:t xml:space="preserve"> </w:t>
      </w:r>
      <w:r>
        <w:t xml:space="preserve">격자자료로 링크별 공간화하여 투입한다. 이는 Basu(2024)·Colaninno(2024)가</w:t>
      </w:r>
      <w:r>
        <w:t xml:space="preserve"> </w:t>
      </w:r>
      <w:r>
        <w:t xml:space="preserve">채택한 도메인 단일값과 달리, 연구지역이 서울 전역 스케일로 커짐에 따라</w:t>
      </w:r>
      <w:r>
        <w:t xml:space="preserve"> </w:t>
      </w:r>
      <w:r>
        <w:t xml:space="preserve">맞춘 확장이다(근거는 §2.4.1 참고). 일사량은 SOLWEIG 입력이므로 ASOS</w:t>
      </w:r>
      <w:r>
        <w:t xml:space="preserve"> </w:t>
      </w:r>
      <w:r>
        <w:t xml:space="preserve">단일 관측소(108)값을 유지하며, 보행 네트워크는 서울시 도보 네트워크 API</w:t>
      </w:r>
      <w:r>
        <w:t xml:space="preserve"> </w:t>
      </w:r>
      <w:r>
        <w:t xml:space="preserve">및 OpenStreetMap(OSMnx; Boeing, 2017)을 사용한다.</w:t>
      </w:r>
    </w:p>
    <w:p>
      <w:pPr>
        <w:pStyle w:val="TableCaption"/>
      </w:pPr>
      <w:r>
        <w:t xml:space="preserve">표 2. 입력자료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표 2. 입력자료 요약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변수</w:t>
            </w:r>
          </w:p>
        </w:tc>
        <w:tc>
          <w:tcPr/>
          <w:p>
            <w:pPr>
              <w:pStyle w:val="Compact"/>
            </w:pPr>
            <w:r>
              <w:t xml:space="preserve">데이터 출처</w:t>
            </w:r>
          </w:p>
        </w:tc>
        <w:tc>
          <w:tcPr/>
          <w:p>
            <w:pPr>
              <w:pStyle w:val="Compact"/>
            </w:pPr>
            <w:r>
              <w:t xml:space="preserve">처리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지면(DEM)</w:t>
            </w:r>
          </w:p>
        </w:tc>
        <w:tc>
          <w:tcPr/>
          <w:p>
            <w:pPr>
              <w:pStyle w:val="Compact"/>
            </w:pPr>
            <w:r>
              <w:t xml:space="preserve">국토지리정보원 1m 실측(공개제한)</w:t>
            </w:r>
          </w:p>
        </w:tc>
        <w:tc>
          <w:tcPr/>
          <w:p>
            <w:pPr>
              <w:pStyle w:val="Compact"/>
            </w:pPr>
            <w:r>
              <w:t xml:space="preserve">5m 계산격자로 다운샘플링; GLO-30(30m, 오픈소스)과 비교검증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건물 높이</w:t>
            </w:r>
          </w:p>
        </w:tc>
        <w:tc>
          <w:tcPr/>
          <w:p>
            <w:pPr>
              <w:pStyle w:val="Compact"/>
            </w:pPr>
            <w:r>
              <w:t xml:space="preserve">건축물대장 실측 층수, 도로명주소 자료 교차보완</w:t>
            </w:r>
          </w:p>
        </w:tc>
        <w:tc>
          <w:tcPr/>
          <w:p>
            <w:pPr>
              <w:pStyle w:val="Compact"/>
            </w:pPr>
            <w:r>
              <w:t xml:space="preserve">층수 정보 × 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수목 캐노피</w:t>
            </w:r>
          </w:p>
        </w:tc>
        <w:tc>
          <w:tcPr/>
          <w:p>
            <w:pPr>
              <w:pStyle w:val="Compact"/>
            </w:pPr>
            <w:r>
              <w:t xml:space="preserve">산림청 임상도(1:5,000) 실측 높이</w:t>
            </w:r>
          </w:p>
        </w:tc>
        <w:tc>
          <w:tcPr/>
          <w:p>
            <w:pPr>
              <w:pStyle w:val="Compact"/>
            </w:pPr>
            <w:r>
              <w:t xml:space="preserve">Python rasterize, τ=0.03(SOLWEIG 기본값)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토지피복</w:t>
            </w:r>
          </w:p>
        </w:tc>
        <w:tc>
          <w:tcPr/>
          <w:p>
            <w:pPr>
              <w:pStyle w:val="Compact"/>
            </w:pPr>
            <w:r>
              <w:t xml:space="preserve">환경부 세분류(41클래스)</w:t>
            </w:r>
          </w:p>
        </w:tc>
        <w:tc>
          <w:tcPr/>
          <w:p>
            <w:pPr>
              <w:pStyle w:val="Compact"/>
            </w:pPr>
            <w:r>
              <w:t xml:space="preserve">UMEP 5클래스 재분류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기온·상대습도(MRT용)</w:t>
            </w:r>
          </w:p>
        </w:tc>
        <w:tc>
          <w:tcPr/>
          <w:p>
            <w:pPr>
              <w:pStyle w:val="Compact"/>
            </w:pPr>
            <w:r>
              <w:t xml:space="preserve">S-DoT 서울 전체 센서 단순평균</w:t>
            </w:r>
          </w:p>
        </w:tc>
        <w:tc>
          <w:tcPr/>
          <w:p>
            <w:pPr>
              <w:pStyle w:val="Compact"/>
            </w:pPr>
            <w:r>
              <w:t xml:space="preserve">도메인 대표 단일값(SOLWEIG met.txt)으로 Tmrt 산출 전용 투입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풍속(MRT용)</w:t>
            </w:r>
          </w:p>
        </w:tc>
        <w:tc>
          <w:tcPr/>
          <w:p>
            <w:pPr>
              <w:pStyle w:val="Compact"/>
            </w:pPr>
            <w:r>
              <w:t xml:space="preserve">AWS 서울 전체 관측소(27개) 단순평균</w:t>
            </w:r>
          </w:p>
        </w:tc>
        <w:tc>
          <w:tcPr/>
          <w:p>
            <w:pPr>
              <w:pStyle w:val="Compact"/>
            </w:pPr>
            <w:r>
              <w:t xml:space="preserve">도메인 대표 단일값(SOLWEIG met.txt)으로 Tmrt 산출 전용 투입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기온·상대습도·풍속(UTCI용)</w:t>
            </w:r>
          </w:p>
        </w:tc>
        <w:tc>
          <w:tcPr/>
          <w:p>
            <w:pPr>
              <w:pStyle w:val="Compact"/>
            </w:pPr>
            <w:r>
              <w:t xml:space="preserve">기상청 API 허브 500m 융합격자</w:t>
            </w:r>
          </w:p>
        </w:tc>
        <w:tc>
          <w:tcPr/>
          <w:p>
            <w:pPr>
              <w:pStyle w:val="Compact"/>
            </w:pPr>
            <w:r>
              <w:t xml:space="preserve">링크별 최근접 격자값 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일사량(SOLWEIG용)</w:t>
            </w:r>
          </w:p>
        </w:tc>
        <w:tc>
          <w:tcPr/>
          <w:p>
            <w:pPr>
              <w:pStyle w:val="Compact"/>
            </w:pPr>
            <w:r>
              <w:t xml:space="preserve">ASOS 108(서울) 단일 관측소</w:t>
            </w:r>
          </w:p>
        </w:tc>
        <w:tc>
          <w:tcPr/>
          <w:p>
            <w:pPr>
              <w:pStyle w:val="Compact"/>
            </w:pPr>
            <w:r>
              <w:t xml:space="preserve">Erbs et al.(1982) 직달·확산 분리모델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보행 네트워크</w:t>
            </w:r>
          </w:p>
        </w:tc>
        <w:tc>
          <w:tcPr/>
          <w:p>
            <w:pPr>
              <w:pStyle w:val="Compact"/>
            </w:pPr>
            <w:r>
              <w:t xml:space="preserve">서울시 도보 네트워크 API, OpenStreetMap(width)</w:t>
            </w:r>
          </w:p>
        </w:tc>
        <w:tc>
          <w:tcPr/>
          <w:p>
            <w:pPr>
              <w:pStyle w:val="Compact"/>
            </w:pPr>
            <w:r>
              <w:t xml:space="preserve">실제 보도 형상 기반 링크에 Tmrt·UTCI 래스터를 직접 버퍼+zonal mean으로 집계(width는 OSM 최근접매칭 상속)</w:t>
            </w:r>
          </w:p>
        </w:tc>
      </w:tr>
    </w:tbl>
    <w:bookmarkEnd w:id="10"/>
    <w:bookmarkStart w:id="19" w:name="mrt-산출"/>
    <w:p>
      <w:pPr>
        <w:pStyle w:val="Heading2"/>
      </w:pPr>
      <w:r>
        <w:t xml:space="preserve">2.3 MRT 산출</w:t>
      </w:r>
    </w:p>
    <w:p>
      <w:pPr>
        <w:pStyle w:val="FirstParagraph"/>
      </w:pPr>
      <w:r>
        <w:t xml:space="preserve">MRT는 SOLWEIG(Solar and LongWave Environmental Irradiance Geometry;</w:t>
      </w:r>
      <w:r>
        <w:t xml:space="preserve"> </w:t>
      </w:r>
      <w:r>
        <w:t xml:space="preserve">Lindberg et al., 2008)로 산출한다. SOLWEIG는 DSM에서 픽셀 단위로</w:t>
      </w:r>
      <w:r>
        <w:t xml:space="preserve"> </w:t>
      </w:r>
      <w:r>
        <w:t xml:space="preserve">하늘시야율(Sky View Factor)과 그림자 패턴을 계산해 6방향 단파·장파 복사</w:t>
      </w:r>
      <w:r>
        <w:t xml:space="preserve"> </w:t>
      </w:r>
      <w:r>
        <w:t xml:space="preserve">플럭스를 합산하는 방식으로 MRT의 공간 분포를 산출한다. Lindberg &amp;</w:t>
      </w:r>
      <w:r>
        <w:t xml:space="preserve"> </w:t>
      </w:r>
      <w:r>
        <w:t xml:space="preserve">Grimmond(2011)는 캐노피·수간부를 별도 DSM으로 분리 입력하는 식생 스킴을</w:t>
      </w:r>
      <w:r>
        <w:t xml:space="preserve"> </w:t>
      </w:r>
      <w:r>
        <w:t xml:space="preserve">추가해 SOLWEIG 2.0으로 발전시켰다. SOLWEIG는 QGIS 기반 오픈소스 플랫폼</w:t>
      </w:r>
      <w:r>
        <w:t xml:space="preserve"> </w:t>
      </w:r>
      <w:r>
        <w:t xml:space="preserve">UMEP(Lindberg et al., 2018)에 통합 배포되며, 본 연구는 이 배포판의</w:t>
      </w:r>
      <w:r>
        <w:t xml:space="preserve"> </w:t>
      </w:r>
      <w:r>
        <w:t xml:space="preserve">SOLWEIG 알고리즘을 수정 없이 그대로 사용한다.</w:t>
      </w:r>
    </w:p>
    <w:bookmarkStart w:id="14" w:name="태양기하학-기반-버퍼-타일링"/>
    <w:p>
      <w:pPr>
        <w:pStyle w:val="Heading3"/>
      </w:pPr>
      <w:r>
        <w:t xml:space="preserve">2.3.1 태양기하학 기반 버퍼 타일링</w:t>
      </w:r>
    </w:p>
    <w:p>
      <w:pPr>
        <w:pStyle w:val="FirstParagraph"/>
      </w:pPr>
      <w:r>
        <w:t xml:space="preserve">UMEP SOLWEIG 알고리즘은 DSM·CDSM·토지피복·SVF 등 모든 입력 래스터를 한</w:t>
      </w:r>
      <w:r>
        <w:t xml:space="preserve"> </w:t>
      </w:r>
      <w:r>
        <w:t xml:space="preserve">번에 전체를 메모리에 올려 계산하며, 코드 전체에 도메인을 타일·청크</w:t>
      </w:r>
      <w:r>
        <w:t xml:space="preserve"> </w:t>
      </w:r>
      <w:r>
        <w:t xml:space="preserve">단위로 나눠 처리하는 로직이 없다 — 이는 이 분야가 아직 풀지 못한 캠퍼스</w:t>
      </w:r>
      <w:r>
        <w:t xml:space="preserve"> </w:t>
      </w:r>
      <w:r>
        <w:t xml:space="preserve">규모→도시 규모 확장 문제다(Buo et al., 2026, ASU Tempe 7.01km²에서도</w:t>
      </w:r>
      <w:r>
        <w:t xml:space="preserve"> </w:t>
      </w:r>
      <w:r>
        <w:t xml:space="preserve">32GB RAM·약 4시간 소요; 선행연구와의 상세 비교는 Discussion 참고). 본</w:t>
      </w:r>
      <w:r>
        <w:t xml:space="preserve"> </w:t>
      </w:r>
      <w:r>
        <w:t xml:space="preserve">연구는 SOLWEIG 알고리즘 자체는 수정하지 않고, 그림자가 인접 타일로</w:t>
      </w:r>
      <w:r>
        <w:t xml:space="preserve"> </w:t>
      </w:r>
      <w:r>
        <w:t xml:space="preserve">도달할 수 있는 최대 수평거리를 태양기하학으로부터 직접 유도한 버퍼</w:t>
      </w:r>
      <w:r>
        <w:t xml:space="preserve"> </w:t>
      </w:r>
      <w:r>
        <w:t xml:space="preserve">타일링만으로 이 문제를 해결하였다(그림 2). 타일 경계 버퍼거리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</m:sSub>
      </m:oMath>
      <w:r>
        <w:t xml:space="preserve">는 다음과 같이 산출한다: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rPr>
                  <m:sty m:val="p"/>
                </m:rPr>
                <m:t>tan</m:t>
              </m:r>
              <m:r>
                <m:t>θ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대표 건물높이(=100m),</w:t>
      </w:r>
      <w:r>
        <w:t xml:space="preserve"> </w:t>
      </w:r>
      <m:oMath>
        <m:r>
          <m:t>θ</m:t>
        </m:r>
      </m:oMath>
      <w:r>
        <w:t xml:space="preserve">는 분석 시간대(06~19시) 중</w:t>
      </w:r>
      <w:r>
        <w:t xml:space="preserve"> </w:t>
      </w:r>
      <w:r>
        <w:t xml:space="preserve">최저 태양고도(≈6°)이다. 서울 전역 래스터를 등분한 뒤 이 값을 식(1)에</w:t>
      </w:r>
      <w:r>
        <w:t xml:space="preserve"> </w:t>
      </w:r>
      <w:r>
        <w:t xml:space="preserve">대입하면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≈</m:t>
        </m:r>
        <m:r>
          <m:t>950</m:t>
        </m:r>
      </m:oMath>
      <w:r>
        <w:t xml:space="preserve">m가 산출된다. 각 타일 경계에 950m</w:t>
      </w:r>
      <w:r>
        <w:t xml:space="preserve"> </w:t>
      </w:r>
      <w:r>
        <w:t xml:space="preserve">버퍼를 좌우로 추가해 SOLWEIG를 독립적으로 실행하고, 코어 영역만 잘라내</w:t>
      </w:r>
      <w:r>
        <w:t xml:space="preserve"> </w:t>
      </w:r>
      <w:r>
        <w:t xml:space="preserve">모자이크한다. 이 버퍼 폭은 해상도와 무관하게 물리량(그림자 도달거리)으로</w:t>
      </w:r>
      <w:r>
        <w:t xml:space="preserve"> </w:t>
      </w:r>
      <w:r>
        <w:t xml:space="preserve">고정된다.</w:t>
      </w:r>
    </w:p>
    <w:p>
      <w:pPr>
        <w:pStyle w:val="CaptionedFigure"/>
      </w:pPr>
      <w:r>
        <w:drawing>
          <wp:inline>
            <wp:extent cx="5334000" cy="3000301"/>
            <wp:effectExtent b="0" l="0" r="0" t="0"/>
            <wp:docPr descr="그림 2. 태양기하학 기반 버퍼 타일링" title="" id="12" name="Picture"/>
            <a:graphic>
              <a:graphicData uri="http://schemas.openxmlformats.org/drawingml/2006/picture">
                <pic:pic>
                  <pic:nvPicPr>
                    <pic:cNvPr descr="media_0811/media/image1.emf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태양기하학 기반 버퍼 타일링</w:t>
      </w:r>
    </w:p>
    <w:bookmarkEnd w:id="14"/>
    <w:bookmarkStart w:id="18" w:name="계산-해상도-선택"/>
    <w:p>
      <w:pPr>
        <w:pStyle w:val="Heading3"/>
      </w:pPr>
      <w:r>
        <w:t xml:space="preserve">2.3.2 계산 해상도 선택</w:t>
      </w:r>
    </w:p>
    <w:p>
      <w:pPr>
        <w:pStyle w:val="FirstParagraph"/>
      </w:pPr>
      <w:r>
        <w:t xml:space="preserve">계산 해상도는 임의로 정하지 않고, 성동구를 대상으로 완전히 동일한</w:t>
      </w:r>
      <w:r>
        <w:t xml:space="preserve"> </w:t>
      </w:r>
      <w:r>
        <w:t xml:space="preserve">지형·건물·수목 입력 데이터(1m 원본을 각 해상도로 다운샘플링한 소스)에서</w:t>
      </w:r>
      <w:r>
        <w:t xml:space="preserve"> </w:t>
      </w:r>
      <w:r>
        <w:t xml:space="preserve">1/5/10/15/30m 5개 해상도로 SOLWEIG 기반 UTCI 산출 전체 파이프라인을</w:t>
      </w:r>
      <w:r>
        <w:t xml:space="preserve"> </w:t>
      </w:r>
      <w:r>
        <w:t xml:space="preserve">각각 실행해 실증 비교하였다(그림 3). 해상도를 30m에서 1m로 높일수록</w:t>
      </w:r>
      <w:r>
        <w:t xml:space="preserve"> </w:t>
      </w:r>
      <w:r>
        <w:t xml:space="preserve">계산 시간은 23초에서 23.9시간까지 3,739배 증가하는 반면, 1m 대비</w:t>
      </w:r>
      <w:r>
        <w:t xml:space="preserve"> </w:t>
      </w:r>
      <w:r>
        <w:t xml:space="preserve">정밀도는 단조적으로 개선되었다. 5m 해상도는 1m 대비 r=0.9448, 판정</w:t>
      </w:r>
      <w:r>
        <w:t xml:space="preserve"> </w:t>
      </w:r>
      <w:r>
        <w:t xml:space="preserve">일치율 92.65%를 유지하면서 연산량은 78배 절감하여, 계산 가능성과 정밀도</w:t>
      </w:r>
      <w:r>
        <w:t xml:space="preserve"> </w:t>
      </w:r>
      <w:r>
        <w:t xml:space="preserve">두 기준을 동시에 만족하는 지점에 위치한다. 이에 따라 본 연구는 5m을</w:t>
      </w:r>
      <w:r>
        <w:t xml:space="preserve"> </w:t>
      </w:r>
      <w:r>
        <w:t xml:space="preserve">서울 전역 계산 해상도로 채택하였다.</w:t>
      </w:r>
    </w:p>
    <w:p>
      <w:pPr>
        <w:pStyle w:val="CaptionedFigure"/>
      </w:pPr>
      <w:r>
        <w:drawing>
          <wp:inline>
            <wp:extent cx="5334000" cy="1579380"/>
            <wp:effectExtent b="0" l="0" r="0" t="0"/>
            <wp:docPr descr="그림 3. 해상도별 소요시간(3a), 정밀도 상관계수(3b), 판정일치율(3c)" title="" id="16" name="Picture"/>
            <a:graphic>
              <a:graphicData uri="http://schemas.openxmlformats.org/drawingml/2006/picture">
                <pic:pic>
                  <pic:nvPicPr>
                    <pic:cNvPr descr="media_0811/media/image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9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3. 해상도별 소요시간(3a), 정밀도 상관계수(3b), 판정일치율(3c)</w:t>
      </w:r>
    </w:p>
    <w:p>
      <w:pPr>
        <w:pStyle w:val="BodyText"/>
      </w:pPr>
      <w:r>
        <w:t xml:space="preserve">본 연구는 국토지리정보원의 1m 실측 DEM(공개제한 자료)을 사용하지만,</w:t>
      </w:r>
      <w:r>
        <w:t xml:space="preserve"> </w:t>
      </w:r>
      <w:r>
        <w:t xml:space="preserve">오픈소스 Copernicus GLO-30(30m)을 동일하게 5m으로 다운샘플링한 소스와</w:t>
      </w:r>
      <w:r>
        <w:t xml:space="preserve"> </w:t>
      </w:r>
      <w:r>
        <w:t xml:space="preserve">비교한 결과(서울 전역 469,010개 링크) 링크 UTCI r=0.9995, 이진적 제거</w:t>
      </w:r>
      <w:r>
        <w:t xml:space="preserve"> </w:t>
      </w:r>
      <w:r>
        <w:t xml:space="preserve">판정 일치율 99.27%로 매우 유사한 결과를 얻었다. 이는 제한된 접근 권한이</w:t>
      </w:r>
      <w:r>
        <w:t xml:space="preserve"> </w:t>
      </w:r>
      <w:r>
        <w:t xml:space="preserve">필요한 1m 실측 DEM 없이도 오픈소스 기반으로 본 연구의 결론을 재현할 수</w:t>
      </w:r>
      <w:r>
        <w:t xml:space="preserve"> </w:t>
      </w:r>
      <w:r>
        <w:t xml:space="preserve">있음을 보여준다.</w:t>
      </w:r>
    </w:p>
    <w:bookmarkEnd w:id="18"/>
    <w:bookmarkEnd w:id="19"/>
    <w:bookmarkStart w:id="24" w:name="utci-calculation"/>
    <w:p>
      <w:pPr>
        <w:pStyle w:val="Heading2"/>
      </w:pPr>
      <w:r>
        <w:t xml:space="preserve">2.4 UTCI Calculation</w:t>
      </w:r>
    </w:p>
    <w:p>
      <w:pPr>
        <w:pStyle w:val="FirstParagraph"/>
      </w:pPr>
      <w:r>
        <w:t xml:space="preserve">MRT 공간 분포와 기온·상대습도·풍속을 Bröde et al.(2012)의 표준 UTCI</w:t>
      </w:r>
      <w:r>
        <w:t xml:space="preserve"> </w:t>
      </w:r>
      <w:r>
        <w:t xml:space="preserve">회귀식(pythermalcomfort 라이브러리 구현)으로 결합해 픽셀·링크 단위</w:t>
      </w:r>
      <w:r>
        <w:t xml:space="preserve"> </w:t>
      </w:r>
      <w:r>
        <w:t xml:space="preserve">UTCI를 산출한다: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T</m:t>
          </m:r>
          <m:r>
            <m:t>C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U</m:t>
              </m:r>
              <m:r>
                <m:t>T</m:t>
              </m:r>
              <m:r>
                <m:t>C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t xml:space="preserve">는 기온,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r</m:t>
            </m:r>
            <m:r>
              <m:t>t</m:t>
            </m:r>
          </m:sub>
        </m:sSub>
      </m:oMath>
      <w:r>
        <w:t xml:space="preserve">는 평균방사온도(MRT),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는 풍속,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는 수증기압(상대습도로부터 산출)이며,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U</m:t>
            </m:r>
            <m:r>
              <m:t>T</m:t>
            </m:r>
            <m:r>
              <m:t>C</m:t>
            </m:r>
            <m:r>
              <m:t>I</m:t>
            </m:r>
          </m:sub>
        </m:sSub>
      </m:oMath>
      <w:r>
        <w:t xml:space="preserve">는 이 네</w:t>
      </w:r>
      <w:r>
        <w:t xml:space="preserve"> </w:t>
      </w:r>
      <w:r>
        <w:t xml:space="preserve">변수의 다항 회귀로 표현되는 오프셋 함수다(Bröde et al., 2012).</w:t>
      </w:r>
    </w:p>
    <w:bookmarkStart w:id="23" w:name="kma-격자기상-통합"/>
    <w:p>
      <w:pPr>
        <w:pStyle w:val="Heading3"/>
      </w:pPr>
      <w:r>
        <w:t xml:space="preserve">2.4.1 KMA 격자기상 통합</w:t>
      </w:r>
    </w:p>
    <w:p>
      <w:pPr>
        <w:pStyle w:val="FirstParagraph"/>
      </w:pPr>
      <w:r>
        <w:t xml:space="preserve">선행연구 그대로 따라 가지만, 우리는 연구지역이 확장된 만큼 기상요인에</w:t>
      </w:r>
      <w:r>
        <w:t xml:space="preserve"> </w:t>
      </w:r>
      <w:r>
        <w:t xml:space="preserve">대해서 공간적 차이를 반영할 필요가 있었다. 도시 스케일 UTCI-보행접근성</w:t>
      </w:r>
      <w:r>
        <w:t xml:space="preserve"> </w:t>
      </w:r>
      <w:r>
        <w:t xml:space="preserve">선행연구 5편(Basu et al., 2024; Colaninno et al., 2024; Aydin et al.,</w:t>
      </w:r>
      <w:r>
        <w:t xml:space="preserve"> </w:t>
      </w:r>
      <w:r>
        <w:t xml:space="preserve">2026; Buo et al., 2026; Jia et al., 2022) 중 기상 입력에 다중관측소</w:t>
      </w:r>
      <w:r>
        <w:t xml:space="preserve"> </w:t>
      </w:r>
      <w:r>
        <w:t xml:space="preserve">공간보간(IDW·크리깅 등)을 적용한 사례는 없었다 — 모두 단일 관측값을</w:t>
      </w:r>
      <w:r>
        <w:t xml:space="preserve"> </w:t>
      </w:r>
      <w:r>
        <w:t xml:space="preserve">도메인 전체에 적용했다. 이는 각 연구의 대상 스케일이 도시 일부 구역에</w:t>
      </w:r>
      <w:r>
        <w:t xml:space="preserve"> </w:t>
      </w:r>
      <w:r>
        <w:t xml:space="preserve">그쳐 단일값으로도 충분했기 때문으로 보인다(표 1 참고, 가장 넓은 Basu의</w:t>
      </w:r>
      <w:r>
        <w:t xml:space="preserve"> </w:t>
      </w:r>
      <w:r>
        <w:t xml:space="preserve">보스턴도 서울의 20.64%). 서울 전역을 다루는 본 연구는 넓어진 스케일에</w:t>
      </w:r>
      <w:r>
        <w:t xml:space="preserve"> </w:t>
      </w:r>
      <w:r>
        <w:t xml:space="preserve">맞춰 이 공백을 채운다 — 기온·상대습도·풍속을 기상청 API 허브의 500m</w:t>
      </w:r>
      <w:r>
        <w:t xml:space="preserve"> </w:t>
      </w:r>
      <w:r>
        <w:t xml:space="preserve">해상도 융합기상 격자자료로 링크별 최근접 배정하여 공간적으로 변이하는</w:t>
      </w:r>
      <w:r>
        <w:t xml:space="preserve"> </w:t>
      </w:r>
      <w:r>
        <w:t xml:space="preserve">값을 투입한다. 일사량만 기존 방식(ASOS 108 단일 관측소, Erbs et al.,</w:t>
      </w:r>
      <w:r>
        <w:t xml:space="preserve"> </w:t>
      </w:r>
      <w:r>
        <w:t xml:space="preserve">1982의 직달·확산 분리모델)을 유지하는 것은, 500m 격자망을 갖춘</w:t>
      </w:r>
      <w:r>
        <w:t xml:space="preserve"> </w:t>
      </w:r>
      <w:r>
        <w:t xml:space="preserve">기온·습도·풍속과 달리 서울 내 ASOS 관측소가 사실상 1개소뿐이라</w:t>
      </w:r>
      <w:r>
        <w:t xml:space="preserve"> </w:t>
      </w:r>
      <w:r>
        <w:t xml:space="preserve">공간보간이 물리적으로 의미를 갖기 어렵기 때문이다.</w:t>
      </w:r>
    </w:p>
    <w:p>
      <w:pPr>
        <w:pStyle w:val="BodyText"/>
      </w:pPr>
      <w:r>
        <w:t xml:space="preserve">기존 도메인 단일값 방식과 비교하면, 링크 기준 UTCI≥38°C 비율은 시간대에</w:t>
      </w:r>
      <w:r>
        <w:t xml:space="preserve"> </w:t>
      </w:r>
      <w:r>
        <w:t xml:space="preserve">따라 차이의 크기가 갈린다(그림 4). 정오는 차이가 1~4%p 이내로 작은 반면,</w:t>
      </w:r>
      <w:r>
        <w:t xml:space="preserve"> </w:t>
      </w:r>
      <w:r>
        <w:t xml:space="preserve">전환 시간대(09·18·19시)에서는 최대 35%p까지 벌어진다. 이는 기상 입력의</w:t>
      </w:r>
      <w:r>
        <w:t xml:space="preserve"> </w:t>
      </w:r>
      <w:r>
        <w:t xml:space="preserve">공간적 정밀도가 결과에 미치는 영향이 포화 구간이 아니라 전환 구간에</w:t>
      </w:r>
      <w:r>
        <w:t xml:space="preserve"> </w:t>
      </w:r>
      <w:r>
        <w:t xml:space="preserve">집중된다는 뜻이다.</w:t>
      </w:r>
    </w:p>
    <w:p>
      <w:pPr>
        <w:pStyle w:val="CaptionedFigure"/>
      </w:pPr>
      <w:r>
        <w:drawing>
          <wp:inline>
            <wp:extent cx="5334000" cy="2633906"/>
            <wp:effectExtent b="0" l="0" r="0" t="0"/>
            <wp:docPr descr="그림 4. 시각별 UTCI 임계값 초과 링크 비율(단일 기상 값과 고해상도 격자 자료 비교)" title="" id="21" name="Picture"/>
            <a:graphic>
              <a:graphicData uri="http://schemas.openxmlformats.org/drawingml/2006/picture">
                <pic:pic>
                  <pic:nvPicPr>
                    <pic:cNvPr descr="media_0811/media/image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4. 시각별 UTCI 임계값 초과 링크 비율(단일 기상 값과 고해상도 격자 자료 비교)</w:t>
      </w:r>
    </w:p>
    <w:bookmarkEnd w:id="23"/>
    <w:bookmarkEnd w:id="24"/>
    <w:bookmarkStart w:id="29" w:name="binary-network-modification-and-sear"/>
    <w:p>
      <w:pPr>
        <w:pStyle w:val="Heading2"/>
      </w:pPr>
      <w:r>
        <w:t xml:space="preserve">2.5 Binary Network Modification and SEAR</w:t>
      </w:r>
    </w:p>
    <w:bookmarkStart w:id="28" w:name="이진적-제거-및-sear-산출"/>
    <w:p>
      <w:pPr>
        <w:pStyle w:val="Heading3"/>
      </w:pPr>
      <w:r>
        <w:t xml:space="preserve">2.5.1 이진적 제거 및 SEAR 산출</w:t>
      </w:r>
    </w:p>
    <w:p>
      <w:pPr>
        <w:pStyle w:val="FirstParagraph"/>
      </w:pPr>
      <w:r>
        <w:t xml:space="preserve">SEAR 산출의 핵심 개념은 다음과 같다. 먼저 특정 열노출 임계값을 초과하는</w:t>
      </w:r>
      <w:r>
        <w:t xml:space="preserve"> </w:t>
      </w:r>
      <w:r>
        <w:t xml:space="preserve">링크를 보행 네트워크에서 완전히 제거(이진적 제거)한다. 본 연구에서는</w:t>
      </w:r>
      <w:r>
        <w:t xml:space="preserve"> </w:t>
      </w:r>
      <w:r>
        <w:t xml:space="preserve">UTCI 공식 급간(Bröde et al., 2012, Table 3) 경계값을 기준으로</w:t>
      </w:r>
      <w:r>
        <w:t xml:space="preserve"> </w:t>
      </w:r>
      <w:r>
        <w:t xml:space="preserve">선정하였다. 임계값 초과 링크가 제거된 네트워크에 대해 Dijkstra</w:t>
      </w:r>
      <w:r>
        <w:t xml:space="preserve"> </w:t>
      </w:r>
      <w:r>
        <w:t xml:space="preserve">알고리즘으로 재탐색하여, 제거 전·후 도달 가능한 노드 집합을 각각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  <m:r>
              <m:t>i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t>h</m:t>
            </m:r>
            <m:r>
              <m:t>e</m:t>
            </m:r>
            <m:r>
              <m:t>r</m:t>
            </m:r>
            <m:r>
              <m:t>m</m:t>
            </m:r>
            <m:r>
              <m:t>a</m:t>
            </m:r>
            <m:r>
              <m:t>l</m:t>
            </m:r>
          </m:sub>
        </m:sSub>
      </m:oMath>
      <w:r>
        <w:t xml:space="preserve">로 다시 산출한다(그림 5).</w:t>
      </w:r>
    </w:p>
    <w:p>
      <w:pPr>
        <w:pStyle w:val="CaptionedFigure"/>
      </w:pPr>
      <w:r>
        <w:drawing>
          <wp:inline>
            <wp:extent cx="5334000" cy="2980799"/>
            <wp:effectExtent b="0" l="0" r="0" t="0"/>
            <wp:docPr descr="그림 5. Classic Catchment &amp; SEAR 개념도" title="" id="26" name="Picture"/>
            <a:graphic>
              <a:graphicData uri="http://schemas.openxmlformats.org/drawingml/2006/picture">
                <pic:pic>
                  <pic:nvPicPr>
                    <pic:cNvPr descr="media_0811/media/image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5. Classic Catchment &amp; SEAR 개념도</w:t>
      </w:r>
    </w:p>
    <w:p>
      <w:pPr>
        <w:pStyle w:val="BodyText"/>
      </w:pPr>
      <w:r>
        <w:t xml:space="preserve">본 연구에서는 출발지에서 15분(Moreno et al., 2021) 시간 예산 내 도달</w:t>
      </w:r>
      <w:r>
        <w:t xml:space="preserve"> </w:t>
      </w:r>
      <w:r>
        <w:t xml:space="preserve">가능한 노드 집합을 산출하며, 보행 속도는 4.0km/h로 고정한다(Bröde et</w:t>
      </w:r>
      <w:r>
        <w:t xml:space="preserve"> </w:t>
      </w:r>
      <w:r>
        <w:t xml:space="preserve">al., 2012, p.483, UTCI 기준활동 보행속도). 이렇게 산출한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  <m:r>
              <m:t>i</m:t>
            </m:r>
            <m:r>
              <m:t>c</m:t>
            </m:r>
          </m:sub>
        </m:sSub>
      </m:oMath>
      <w:r>
        <w:t xml:space="preserve">과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t>h</m:t>
            </m:r>
            <m:r>
              <m:t>e</m:t>
            </m:r>
            <m:r>
              <m:t>r</m:t>
            </m:r>
            <m:r>
              <m:t>m</m:t>
            </m:r>
            <m:r>
              <m:t>a</m:t>
            </m:r>
            <m:r>
              <m:t>l</m:t>
            </m:r>
          </m:sub>
        </m:sSub>
      </m:oMath>
      <w:r>
        <w:t xml:space="preserve">을 각각 Classic Catchment(CA)·Stress-Exposure Adjusted</w:t>
      </w:r>
      <w:r>
        <w:t xml:space="preserve"> </w:t>
      </w:r>
      <w:r>
        <w:t xml:space="preserve">Reach(SEAR)로 부르며, 감소 정도는 감소율(%)로 정량화한다: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감소율</m:t>
              </m:r>
            </m:e>
            <m:sub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S</m:t>
              </m:r>
              <m:r>
                <m:t>E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C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S</m:t>
        </m:r>
        <m:r>
          <m:t>E</m:t>
        </m:r>
        <m:r>
          <m:t>A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는 각각 출발지</w:t>
      </w:r>
      <w:r>
        <w:t xml:space="preserve"> </w:t>
      </w:r>
      <m:oMath>
        <m:r>
          <m:t>i</m:t>
        </m:r>
      </m:oMath>
      <w:r>
        <w:t xml:space="preserve">의 Classic Catchment·SEAR</w:t>
      </w:r>
      <w:r>
        <w:t xml:space="preserve"> </w:t>
      </w:r>
      <w:r>
        <w:t xml:space="preserve">값(도달 가능한 기회 노드 수)이다.</w:t>
      </w:r>
    </w:p>
    <w:p>
      <w:pPr>
        <w:pStyle w:val="BodyText"/>
      </w:pPr>
      <w:r>
        <w:t xml:space="preserve">SEAR는 특정 접근성 측정 방법에 종속되지 않는다 — 본 연구에서는 누적</w:t>
      </w:r>
      <w:r>
        <w:t xml:space="preserve"> </w:t>
      </w:r>
      <w:r>
        <w:t xml:space="preserve">기회형 접근성 측정치 중 단순한 방법인 컨투어 메저(Geurs and van Wee,</w:t>
      </w:r>
      <w:r>
        <w:t xml:space="preserve"> </w:t>
      </w:r>
      <w:r>
        <w:t xml:space="preserve">2004)를 통해 SEAR의 활용을 예시로 보이며(§2.1 참고), 도달 가능한</w:t>
      </w:r>
      <w:r>
        <w:t xml:space="preserve"> </w:t>
      </w:r>
      <w:r>
        <w:t xml:space="preserve">지하철역·버스정류장 개수를 기회(opportunity)로 계수한다. 출발지 정의는</w:t>
      </w:r>
      <w:r>
        <w:t xml:space="preserve"> </w:t>
      </w:r>
      <w:r>
        <w:t xml:space="preserve">분석 목적에 따라 둘로 나뉜다: 서울 전역 메인 분석은 서울 집계구 중심점을</w:t>
      </w:r>
      <w:r>
        <w:t xml:space="preserve"> </w:t>
      </w:r>
      <w:r>
        <w:t xml:space="preserve">각각 출발지로 스냅하며, 응봉역·성수역 병목 링크 사례 분석(§2.5.2)은 두</w:t>
      </w:r>
      <w:r>
        <w:t xml:space="preserve"> </w:t>
      </w:r>
      <w:r>
        <w:t xml:space="preserve">역 자체를 출발지로 삼아</w:t>
      </w:r>
      <w:r>
        <w:t xml:space="preserve"> </w:t>
      </w:r>
      <w:r>
        <w:t xml:space="preserve">“이 역까지 도보로 얼마나 접근 가능한가”</w:t>
      </w:r>
      <w:r>
        <w:t xml:space="preserve">를</w:t>
      </w:r>
      <w:r>
        <w:t xml:space="preserve"> </w:t>
      </w:r>
      <w:r>
        <w:t xml:space="preserve">역방향으로 묻는다. 최초부터 Classic 기준 접근 불가인 출발지는 분석에서</w:t>
      </w:r>
      <w:r>
        <w:t xml:space="preserve"> </w:t>
      </w:r>
      <w:r>
        <w:t xml:space="preserve">제외한다.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emf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2026-08-11T16:35:46Z</dcterms:created>
  <dcterms:modified xsi:type="dcterms:W3CDTF">2026-08-11T16:35:46Z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