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Xa30401cf5b08c9b472a2233eb33c63721cb5332"/>
    <w:p>
      <w:pPr>
        <w:pStyle w:val="Heading1"/>
      </w:pPr>
      <w:r>
        <w:t xml:space="preserve">Thermal Catchment Area: 열노출을 반영한 보행 환경 접근성 공간 단위 제안</w:t>
      </w:r>
    </w:p>
    <w:p>
      <w:pPr>
        <w:pStyle w:val="BlockText"/>
      </w:pPr>
      <w:r>
        <w:t xml:space="preserve">작성일: 2026-06-23 | 버전: v1 (뼈대 초안)</w:t>
      </w:r>
      <w:r>
        <w:t xml:space="preserve"> </w:t>
      </w:r>
      <w:r>
        <w:t xml:space="preserve">상태: 선행연구 미확보 항목 ⚠️ 표시, 결과 미입력 항목 [RESULT] 표시</w:t>
      </w:r>
      <w:r>
        <w:t xml:space="preserve"> </w:t>
      </w:r>
      <w:r>
        <w:t xml:space="preserve">주의: 이 파일은 구 TAVI 코드/md 참조 없이 작성됨</w:t>
      </w:r>
    </w:p>
    <w:p>
      <w:r>
        <w:pict>
          <v:rect style="width:0;height:1.5pt" o:hralign="center" o:hrstd="t" o:hr="t"/>
        </w:pict>
      </w:r>
    </w:p>
    <w:bookmarkStart w:id="9" w:name="abstract"/>
    <w:p>
      <w:pPr>
        <w:pStyle w:val="Heading2"/>
      </w:pPr>
      <w:r>
        <w:t xml:space="preserve">Abstract</w:t>
      </w:r>
    </w:p>
    <w:p>
      <w:pPr>
        <w:pStyle w:val="FirstParagraph"/>
      </w:pPr>
      <w:r>
        <w:t xml:space="preserve">[마지막 작성 — 결과 확정 후]</w:t>
      </w:r>
    </w:p>
    <w:p>
      <w:r>
        <w:pict>
          <v:rect style="width:0;height:1.5pt" o:hralign="center" o:hrstd="t" o:hr="t"/>
        </w:pict>
      </w:r>
    </w:p>
    <w:bookmarkEnd w:id="9"/>
    <w:bookmarkStart w:id="11" w:name="introduction"/>
    <w:p>
      <w:pPr>
        <w:pStyle w:val="Heading2"/>
      </w:pPr>
      <w:r>
        <w:t xml:space="preserve">1. Introduction</w:t>
      </w:r>
    </w:p>
    <w:p>
      <w:pPr>
        <w:pStyle w:val="FirstParagraph"/>
      </w:pPr>
      <w:r>
        <w:t xml:space="preserve">보행 접근성 분석에서 Catchment Area는 특정 출발지를 기준으로, 주어진 시간 예산 안에 보행 네트워크를 통해 도달 가능한 공간 범위를 산출하는 공간 단위다(Geurs &amp; van Wee, 2004). Hägerstrand(1970)의 시공간 프리즘 개념이 Miller(1991)에 의해 GIS 네트워크 분석으로 구현된 이후, 이 방법론은 도시 시설 접근성 측정의 표준적 수단으로 활용되어왔다. 이동 가능한 경로가 있으면 도달할 수 있다는 것이 이 틀의 전제다.</w:t>
      </w:r>
    </w:p>
    <w:p>
      <w:pPr>
        <w:pStyle w:val="BodyText"/>
      </w:pPr>
      <w:r>
        <w:t xml:space="preserve">그 전제가 흔들리는 조건이 있다. 폭염이다.</w:t>
      </w:r>
    </w:p>
    <w:p>
      <w:pPr>
        <w:pStyle w:val="BodyText"/>
      </w:pPr>
      <w:r>
        <w:t xml:space="preserve">기후변화로 도시 폭염의 빈도와 강도는 증가하고 있다(IPCC, 2022; Yoon et al., 2020). 도시 열섬 효과와 결합한 여름 낮 시간대 도심 보행 환경에서, 열 스트레스는 단순한 불쾌감이 아니라 심혈관계에 직접적인 부담을 준다. UTCI 38°C 이상 구간은 국제적으로 극한더위(Very Strong Heat Stress)로 분류되며(Bröde et al., 2012), 이 조건에서의 지속적 노출은 열사병 위험을 동반한다. 실제로 Melnikov et al.(2022)과 Azegami et al.(2023)에 따르면 기온이 임계값을 넘으면 보행자는 해당 구간을 우회하거나 외출 자체를 포기한다. 느려지는 것이 아니라 가지 않는 선택을 한다.</w:t>
      </w:r>
    </w:p>
    <w:p>
      <w:pPr>
        <w:pStyle w:val="BodyText"/>
      </w:pPr>
      <w:r>
        <w:t xml:space="preserve">기존 연구들도 이 문제를 다루었다. Jia et al.(2022)과 Basu et al.(2024)은 열환경 수준이 높아질수록 보행자의 이동 시간과 경로 선택이 변화함을 실증하였으며, 이를 보행 속도 감소로 모델에 반영하는 소프트 패널티 방식을 택했다. 접근성 점수가 낮아진다는 방향은 맞다. 그러나 이 방식은 접근성 값의 감소를 포착할 뿐, 접근 가능한 공간 범위 자체의 변화를 다루지 않는다. 어떤 경로를 통해서도 특정 목적지에 닿을 수 없게 되는 상황, 즉 공간 단위 차원의 변화는 소프트 패널티 프레임에서 보이지 않는다.</w:t>
      </w:r>
    </w:p>
    <w:p>
      <w:pPr>
        <w:pStyle w:val="BodyText"/>
      </w:pPr>
      <w:r>
        <w:t xml:space="preserve">본 연구는 열노출 임계값을 초과하는 링크를 보행 네트워크에서 완전히 제거(Hard Cut)한 뒤 Dijkstra 탐색을 재실행하는 방식으로, 폭염 조건에서 실질적으로 도달 가능한 공간 범위를 산출하고 이를</w:t>
      </w:r>
      <w:r>
        <w:t xml:space="preserve"> </w:t>
      </w:r>
      <w:r>
        <w:rPr>
          <w:b/>
          <w:bCs/>
        </w:rPr>
        <w:t xml:space="preserve">Thermal Catchment Area</w:t>
      </w:r>
      <w:r>
        <w:t xml:space="preserve">로 정의한다. 임계값 초과 링크 자체뿐 아니라, 그 링크 너머에 고립되어 우회로 없이 15분 예산 내 도달 불가한 공간도 Thermal Catchment Area에서 사라진다. 이 감소를 정량화한 지표를</w:t>
      </w:r>
      <w:r>
        <w:t xml:space="preserve"> </w:t>
      </w:r>
      <w:hyperlink r:id="rId10">
        <w:r>
          <w:rPr>
            <w:rStyle w:val="Hyperlink"/>
          </w:rPr>
          <w:t xml:space="preserve">검증 지표명 미확정</w:t>
        </w:r>
      </w:hyperlink>
      <w:r>
        <w:t xml:space="preserve">으로 산출한다.</w:t>
      </w:r>
    </w:p>
    <w:p>
      <w:pPr>
        <w:pStyle w:val="BodyText"/>
      </w:pPr>
      <w:r>
        <w:t xml:space="preserve">열노출 지표로는 MRT(평균복사온도)를 채택했다. 폭염 조건에서 UTCI를 직접 적용하면 공간 분화가 불가능해진다. 파일럿 분석에서 성동구 전체 링크의 98.9%가 UTCI 기준 극한더위 이상 구간에 집중되었다. 반면 MRT는 건물 높이, 도로 폭, 캐노피 분포에 따라 같은 폭염 조건에서도 링크별로 수십 도 차이를 보인다(Lindberg et al., 2016). 공간 분화 능력이 있어야 링크 단위 분석의 근거가 된다.</w:t>
      </w:r>
    </w:p>
    <w:p>
      <w:pPr>
        <w:pStyle w:val="BodyText"/>
      </w:pPr>
      <w:r>
        <w:t xml:space="preserve">연구 질문은 두 가지다. 첫째, 폭염 조건에서 보행 열환경을 링크 단위로 공간 분화할 수 있는가. 둘째, 그 분화를 바탕으로 산출한 Thermal Catchment Area의 감소 패턴은 어떠한가.</w:t>
      </w:r>
    </w:p>
    <w:p>
      <w:r>
        <w:pict>
          <v:rect style="width:0;height:1.5pt" o:hralign="center" o:hrstd="t" o:hr="t"/>
        </w:pict>
      </w:r>
    </w:p>
    <w:bookmarkEnd w:id="11"/>
    <w:bookmarkStart w:id="17" w:name="이론적-배경-및-선행연구"/>
    <w:p>
      <w:pPr>
        <w:pStyle w:val="Heading2"/>
      </w:pPr>
      <w:r>
        <w:t xml:space="preserve">2. 이론적 배경 및 선행연구</w:t>
      </w:r>
    </w:p>
    <w:bookmarkStart w:id="12" w:name="네트워크-기반-보행-접근성과-catchment-area"/>
    <w:p>
      <w:pPr>
        <w:pStyle w:val="Heading3"/>
      </w:pPr>
      <w:r>
        <w:t xml:space="preserve">2.1 네트워크 기반 보행 접근성과 Catchment Area</w:t>
      </w:r>
    </w:p>
    <w:p>
      <w:pPr>
        <w:pStyle w:val="FirstParagraph"/>
      </w:pPr>
      <w:r>
        <w:t xml:space="preserve">접근성 측정의 역사는 거리 지표에서 도달 가능 공간량 측정으로의 전환이었다. Hägerstrand(1970)의 시공간 프리즘은 개인이 정해진 시간 예산 내에서 이동할 수 있는 공간 범위를 3차원으로 개념화하면서, 물리적 이동 가능성을 분석 단위로 설정하는 틀을 제시했다. Miller(1991)는 이를 GIS 네트워크 분석으로 구현하여 네트워크 기반 도달 가능 영역(Potential Path Area) 개념을 정립했다.</w:t>
      </w:r>
    </w:p>
    <w:p>
      <w:pPr>
        <w:pStyle w:val="BodyText"/>
      </w:pPr>
      <w:r>
        <w:t xml:space="preserve">이 틀에서 Catchment Area는 출발 노드에서 Dijkstra 알고리즘(Dijkstra, 1959)으로 최단 경로를 탐색하고, 시간 예산 이내에 도달 가능한 노드 집합으로 정의된다. 버퍼 기반 반경 분석과 달리 실제 도로 구조를 반영하며, 국내외 도시 시설 접근성 분석에서 표준 방법론으로 자리 잡았다(정희지 &amp; 강전영, 2024). 시간 예산 15분은 일상 서비스 도보 접근의 기준으로 광범위하게 사용된다(Moreno et al., 2021).</w:t>
      </w:r>
    </w:p>
    <w:p>
      <w:pPr>
        <w:pStyle w:val="BodyText"/>
      </w:pPr>
      <w:r>
        <w:t xml:space="preserve">이 방법론의 한계는 경로의 물리적 존재만을 조건으로 삼는다는 점이다. 폭염이나 홍수 같은 환경 조건이 경로의 실질적 이용 가능성을 제한하는 상황을 반영하지 못한다.</w:t>
      </w:r>
    </w:p>
    <w:bookmarkEnd w:id="12"/>
    <w:bookmarkStart w:id="13" w:name="폭염과-보행자-행동"/>
    <w:p>
      <w:pPr>
        <w:pStyle w:val="Heading3"/>
      </w:pPr>
      <w:r>
        <w:t xml:space="preserve">2.2 폭염과 보행자 행동</w:t>
      </w:r>
    </w:p>
    <w:p>
      <w:pPr>
        <w:pStyle w:val="FirstParagraph"/>
      </w:pPr>
      <w:r>
        <w:t xml:space="preserve">폭염 조건에서 보행자가 어떻게 반응하는지는 Thermal Catchment Area의 방법론적 전제와 직결된다. 연구 질문이</w:t>
      </w:r>
      <w:r>
        <w:t xml:space="preserve"> </w:t>
      </w:r>
      <w:r>
        <w:t xml:space="preserve">“보행이 얼마나 느려지는가”</w:t>
      </w:r>
      <w:r>
        <w:t xml:space="preserve">가 아니라</w:t>
      </w:r>
      <w:r>
        <w:t xml:space="preserve"> </w:t>
      </w:r>
      <w:r>
        <w:t xml:space="preserve">“어디를 갈 수 없게 되는가”</w:t>
      </w:r>
      <w:r>
        <w:t xml:space="preserve">인 이유가 여기 있다.</w:t>
      </w:r>
    </w:p>
    <w:p>
      <w:pPr>
        <w:pStyle w:val="BodyText"/>
      </w:pPr>
      <w:r>
        <w:t xml:space="preserve">Melnikov et al.(2022)은 열 조절 행동이 보행자의 경로 선택을 결정짓는 주요 기제임을 행동 관찰로 실증하였다. Azegami et al.(2023)은 여름철 도로 내 태양복사량이 보행자의 경로 선택에 미치는 영향을 분석하여, 응답자의 28.2%가 그늘 확보를 위해 더 긴 경로를 택한다고 보고했다. 이는 열 스트레스를 속도 감소로만 표현하는 소프트 패널티 모델과는 질적으로 다른 현실이다. 기후변화로 이 같은 조건의 빈도는 증가 추세에 있다(IPCC, 2022).</w:t>
      </w:r>
    </w:p>
    <w:bookmarkEnd w:id="13"/>
    <w:bookmarkStart w:id="14" w:name="열환경-지표의-선택"/>
    <w:p>
      <w:pPr>
        <w:pStyle w:val="Heading3"/>
      </w:pPr>
      <w:r>
        <w:t xml:space="preserve">2.3 열환경 지표의 선택</w:t>
      </w:r>
    </w:p>
    <w:p>
      <w:pPr>
        <w:pStyle w:val="FirstParagraph"/>
      </w:pPr>
      <w:r>
        <w:t xml:space="preserve">열환경을 보행 링크 단위로 분화하려면 지표 선택이 먼저다. 주요 지표 세 가지의 특성 차이는 크다.</w:t>
      </w:r>
    </w:p>
    <w:p>
      <w:pPr>
        <w:pStyle w:val="BodyText"/>
      </w:pPr>
      <w:r>
        <w:t xml:space="preserve">LST(지표면온도)는 위성 원격탐사로 취득이 용이하나 지표면 온도이지 보행자가 경험하는 복사 환경이 아니다. UTCI(Universal Thermal Climate Index)는 기온·습도·풍속·MRT를 통합한 인체 열쾌적성 지수로 국제 표준으로 확립되어 있다(Bröde et al., 2012). 다만 폭염 조건에서는 입력 변수들이 이미 극단값에 수렴하여 공간 분화 능력이 급격히 저하된다. 본 연구의 파일럿 분석(서울 성동구, 2025년 폭염일 7일 평균 13시)에서 전체 링크의 98.9%가 UTCI 38°C 이상 구간에 집중되었다.</w:t>
      </w:r>
    </w:p>
    <w:p>
      <w:pPr>
        <w:pStyle w:val="BodyText"/>
      </w:pPr>
      <w:r>
        <w:t xml:space="preserve">MRT(Mean Radiant Temperature, 평균복사온도)는 보행자를 둘러싼 6방향 단파·장파 복사 에너지를 단일 온도값으로 통합한 지표다(Lindberg et al., 2016). 건물 높이와 도로 폭의 비율(H/W), 수목 캐노피, 태양 기하학적 조건에 따라 같은 기상 조건에서도 링크별로 수십 도 차이가 발생한다. Thorsson et al.(2007)의 옥외 MRT 측정 방법론 비교와 Kántor &amp; Unger(2011)의 연구에서도 MRT의 공간 분화 능력이 확인된 바 있다.</w:t>
      </w:r>
    </w:p>
    <w:p>
      <w:pPr>
        <w:pStyle w:val="BodyText"/>
      </w:pPr>
      <w:r>
        <w:t xml:space="preserve">이 연구에서 MRT를 선택한 이유는 UTCI가 나빠서가 아니라, 폭염 조건에서 링크 간 차이를 구분하는 분석 도구로 기능할 수 없기 때문이다.</w:t>
      </w:r>
    </w:p>
    <w:bookmarkEnd w:id="14"/>
    <w:bookmarkStart w:id="15" w:name="열환경-제약을-보행-접근성에-통합한-선행연구"/>
    <w:p>
      <w:pPr>
        <w:pStyle w:val="Heading3"/>
      </w:pPr>
      <w:r>
        <w:t xml:space="preserve">2.4 열환경 제약을 보행 접근성에 통합한 선행연구</w:t>
      </w:r>
    </w:p>
    <w:p>
      <w:pPr>
        <w:pStyle w:val="FirstParagraph"/>
      </w:pPr>
      <w:r>
        <w:t xml:space="preserve">열환경을 보행 접근성에 통합한 기존 연구들은 주로 소프트 패널티 방식을 택했다. Jia et al.(2022)은 싱가포르 야외 환경에서 열환경이 보행자의 이동 포기 및 경로 변경 행동에 미치는 영향을 실증하였고, Basu et al.(2024)은 미국 도시들에서 폭염이 보행 경로 선택과 접근성 감소에 미치는 영향을 분석했다. 최근 Aydin et al.(2026)은 싱가포르를 대상으로 UTCI 값에 비례하여 보행 시간을 늘리는 방식으로 열환경 조정 보행 접근성을 산출하였다. Dong et al.(2024)은 도시 열환경 공급과 접근성 수요 간의 불일치를 분석했다.</w:t>
      </w:r>
    </w:p>
    <w:p>
      <w:pPr>
        <w:pStyle w:val="BodyText"/>
      </w:pPr>
      <w:r>
        <w:t xml:space="preserve">이 연구들의 결과는 모두 접근성 점수 또는 지수의 형태다. 폭염이 심할수록 점수가 낮아진다. 그러나 이 틀에서는</w:t>
      </w:r>
      <w:r>
        <w:t xml:space="preserve"> </w:t>
      </w:r>
      <w:r>
        <w:t xml:space="preserve">“어떤 집계구에서는 15분 내 도달 가능한 시설이 폭염 시 아예 없어진다”</w:t>
      </w:r>
      <w:r>
        <w:t xml:space="preserve">는 공간 단위의 변화를 표현하지 못한다. 본 연구가 제안하는 Thermal Catchment Area는 이 지점에서 기존 접근성 지표와 다르다. 값의 크기가 아니라 공간의 범위가 달라지는 것을 포착한다.</w:t>
      </w:r>
    </w:p>
    <w:p>
      <w:pPr>
        <w:pStyle w:val="BodyText"/>
      </w:pPr>
      <w:r>
        <w:t xml:space="preserve">열환경 임계값 기반 Hard Cut으로 Catchment Area를 재정의한 연구는 현재까지 확인되지 않는다.</w:t>
      </w:r>
    </w:p>
    <w:bookmarkEnd w:id="15"/>
    <w:bookmarkStart w:id="16" w:name="mrt-산출-방법론"/>
    <w:p>
      <w:pPr>
        <w:pStyle w:val="Heading3"/>
      </w:pPr>
      <w:r>
        <w:t xml:space="preserve">2.5 MRT 산출 방법론</w:t>
      </w:r>
    </w:p>
    <w:p>
      <w:pPr>
        <w:pStyle w:val="FirstParagraph"/>
      </w:pPr>
      <w:r>
        <w:t xml:space="preserve">도시 보행 환경에서 MRT를 어떻게 산출할 것인가는 방법론적으로 중요한 선택이다. 정밀도와 데이터 접근성, 연산 비용이 방법마다 다르기 때문이다.</w:t>
      </w:r>
    </w:p>
    <w:p>
      <w:pPr>
        <w:pStyle w:val="BodyText"/>
      </w:pPr>
      <w:r>
        <w:t xml:space="preserve">SOLWEIG(Solar and Long-Wave Environmental Irradiance Geometry; Lindberg et al., 2008)는 DSM(수치표면모델)을 입력받아 1m 해상도 픽셀 단위 MRT를 산출하는 표준 모델이다. 풀 SOLWEIG는 LiDAR DSM이 필요하지만, Lindberg et al.(2018)의 UMEP 플랫폼은 건물 폴리곤과 층수 정보로 합성 DSM을 생성하는 워크플로를 공식 지원한다. Colaninno et al.(2024)은 LiDAR DSM 기반 SOLWEIG로 보도 세그먼트 단위 열위험을 평가한 바 있다.</w:t>
      </w:r>
    </w:p>
    <w:p>
      <w:pPr>
        <w:pStyle w:val="BodyText"/>
      </w:pPr>
      <w:r>
        <w:t xml:space="preserve">본 연구는 세 가지 MRT 산출 방법을 서울을 대상으로 비교한다. 방법 A는 Oke(1987)의 H/W Canyon 공식으로 SVF를 근사하고 SOLWEIG 수식을 간소화 구현한 것으로, LiDAR DSM 없이 OSM 네트워크와 건물 SHP만으로 실행 가능하다. 방법 B는 건물 폴리곤 기반 합성 DSM을 생성하여 SOLWEIG를 구동한다. 방법 C는 오픈소스 30m 해상도 DSM을 사용한다. 이 비교의 목적은 정확도 순위를 매기는 것이 아니라, 어떤 수준의 정밀도가 Thermal Catchment Area 산출 결과에 실질적 차이를 만드는지 검토하는 것이다.</w:t>
      </w:r>
    </w:p>
    <w:p>
      <w:r>
        <w:pict>
          <v:rect style="width:0;height:1.5pt" o:hralign="center" o:hrstd="t" o:hr="t"/>
        </w:pict>
      </w:r>
    </w:p>
    <w:bookmarkEnd w:id="16"/>
    <w:bookmarkEnd w:id="17"/>
    <w:bookmarkStart w:id="18" w:name="연구-지역-및-데이터"/>
    <w:p>
      <w:pPr>
        <w:pStyle w:val="Heading2"/>
      </w:pPr>
      <w:r>
        <w:t xml:space="preserve">3. 연구 지역 및 데이터</w:t>
      </w:r>
    </w:p>
    <w:p>
      <w:pPr>
        <w:pStyle w:val="FirstParagraph"/>
      </w:pPr>
      <w:r>
        <w:rPr>
          <w:b/>
          <w:bCs/>
        </w:rPr>
        <w:t xml:space="preserve">연구 지역 (파일럿)</w:t>
      </w:r>
      <w:r>
        <w:t xml:space="preserve">: 서울특별시 성동구. 한강·중량천 수변, 서울숲 대형 녹지, 왕십리·성수 업무지구, 아파트 단지가 혼재하여 도시 형태 이질성이 높고 열환경 공간 변이가 크다. 방법론 검증 및 개념 유효성 확인 목적의 파일럿 사례이며, 향후 서울 전역 및 타 도시로 확장 예정이다.</w:t>
      </w:r>
    </w:p>
    <w:p>
      <w:pPr>
        <w:pStyle w:val="BodyText"/>
      </w:pPr>
      <w:r>
        <w:rPr>
          <w:b/>
          <w:bCs/>
        </w:rPr>
        <w:t xml:space="preserve">분석 기간</w:t>
      </w:r>
      <w:r>
        <w:t xml:space="preserve">: 2025년 7월 28일–8월 3일 폭염일 7일 평균</w:t>
      </w:r>
    </w:p>
    <w:p>
      <w:pPr>
        <w:pStyle w:val="BodyText"/>
      </w:pPr>
      <w:r>
        <w:rPr>
          <w:b/>
          <w:bCs/>
        </w:rPr>
        <w:t xml:space="preserve">분석 시각</w:t>
      </w:r>
      <w:r>
        <w:t xml:space="preserve">: 13시 기준 (일 최고 복사량 시간대)</w:t>
      </w:r>
    </w:p>
    <w:tbl>
      <w:tblPr>
        <w:tblStyle w:val="Table"/>
        <w:tblW w:type="pct" w:w="5000"/>
        <w:tblLayout w:type="fixed"/>
        <w:tblLook w:firstRow="1" w:lastRow="0" w:firstColumn="0" w:lastColumn="0" w:noHBand="0" w:noVBand="0" w:val="0020"/>
      </w:tblPr>
      <w:tblGrid>
        <w:gridCol w:w="2457"/>
        <w:gridCol w:w="3004"/>
        <w:gridCol w:w="2457"/>
      </w:tblGrid>
      <w:tr>
        <w:trPr>
          <w:tblHeader w:val="on"/>
        </w:trPr>
        <w:tc>
          <w:tcPr/>
          <w:p>
            <w:pPr>
              <w:pStyle w:val="Compact"/>
            </w:pPr>
            <w:r>
              <w:t xml:space="preserve">입력 변수</w:t>
            </w:r>
          </w:p>
        </w:tc>
        <w:tc>
          <w:tcPr/>
          <w:p>
            <w:pPr>
              <w:pStyle w:val="Compact"/>
            </w:pPr>
            <w:r>
              <w:t xml:space="preserve">데이터 출처</w:t>
            </w:r>
          </w:p>
        </w:tc>
        <w:tc>
          <w:tcPr/>
          <w:p>
            <w:pPr>
              <w:pStyle w:val="Compact"/>
            </w:pPr>
            <w:r>
              <w:t xml:space="preserve">처리 방법</w:t>
            </w:r>
          </w:p>
        </w:tc>
      </w:tr>
      <w:tr>
        <w:tc>
          <w:tcPr/>
          <w:p>
            <w:pPr>
              <w:pStyle w:val="Compact"/>
            </w:pPr>
            <w:r>
              <w:t xml:space="preserve">기온·상대습도·풍속</w:t>
            </w:r>
          </w:p>
        </w:tc>
        <w:tc>
          <w:tcPr/>
          <w:p>
            <w:pPr>
              <w:pStyle w:val="Compact"/>
            </w:pPr>
            <w:r>
              <w:t xml:space="preserve">S-DoT 서울시 도시데이터 센서 (김지수·강민규, 2022)</w:t>
            </w:r>
          </w:p>
        </w:tc>
        <w:tc>
          <w:tcPr/>
          <w:p>
            <w:pPr>
              <w:pStyle w:val="Compact"/>
            </w:pPr>
            <w:r>
              <w:t xml:space="preserve">IDW 보간 → 링크별 할당</w:t>
            </w:r>
          </w:p>
        </w:tc>
      </w:tr>
      <w:tr>
        <w:tc>
          <w:tcPr/>
          <w:p>
            <w:pPr>
              <w:pStyle w:val="Compact"/>
            </w:pPr>
            <w:r>
              <w:t xml:space="preserve">일사량(GHI)</w:t>
            </w:r>
          </w:p>
        </w:tc>
        <w:tc>
          <w:tcPr/>
          <w:p>
            <w:pPr>
              <w:pStyle w:val="Compact"/>
            </w:pPr>
            <w:r>
              <w:t xml:space="preserve">Open-Meteo ERA5 archive (Zippenfenig, 2023)</w:t>
            </w:r>
          </w:p>
        </w:tc>
        <w:tc>
          <w:tcPr/>
          <w:p>
            <w:pPr>
              <w:pStyle w:val="Compact"/>
            </w:pPr>
            <w:r>
              <w:t xml:space="preserve">폭염일 평균</w:t>
            </w:r>
          </w:p>
        </w:tc>
      </w:tr>
      <w:tr>
        <w:tc>
          <w:tcPr/>
          <w:p>
            <w:pPr>
              <w:pStyle w:val="Compact"/>
            </w:pPr>
            <w:r>
              <w:t xml:space="preserve">건물 높이</w:t>
            </w:r>
          </w:p>
        </w:tc>
        <w:tc>
          <w:tcPr/>
          <w:p>
            <w:pPr>
              <w:pStyle w:val="Compact"/>
            </w:pPr>
            <w:r>
              <w:t xml:space="preserve">도로명주소 건물 SHP</w:t>
            </w:r>
          </w:p>
        </w:tc>
        <w:tc>
          <w:tcPr/>
          <w:p>
            <w:pPr>
              <w:pStyle w:val="Compact"/>
            </w:pPr>
            <w:r>
              <w:t xml:space="preserve">지상층수 × 3m (설계 기준 근사)</w:t>
            </w:r>
          </w:p>
        </w:tc>
      </w:tr>
      <w:tr>
        <w:tc>
          <w:tcPr/>
          <w:p>
            <w:pPr>
              <w:pStyle w:val="Compact"/>
            </w:pPr>
            <w:r>
              <w:t xml:space="preserve">도시숲 캐노피</w:t>
            </w:r>
          </w:p>
        </w:tc>
        <w:tc>
          <w:tcPr/>
          <w:p>
            <w:pPr>
              <w:pStyle w:val="Compact"/>
            </w:pPr>
            <w:r>
              <w:t xml:space="preserve">서울시 녹지 SHP</w:t>
            </w:r>
          </w:p>
        </w:tc>
        <w:tc>
          <w:tcPr/>
          <w:p>
            <w:pPr>
              <w:pStyle w:val="Compact"/>
            </w:pPr>
            <w:r>
              <w:t xml:space="preserve">10m 고정 가정 (Method A 한계로 명시)</w:t>
            </w:r>
          </w:p>
        </w:tc>
      </w:tr>
      <w:tr>
        <w:tc>
          <w:tcPr/>
          <w:p>
            <w:pPr>
              <w:pStyle w:val="Compact"/>
            </w:pPr>
            <w:r>
              <w:t xml:space="preserve">보행 네트워크</w:t>
            </w:r>
          </w:p>
        </w:tc>
        <w:tc>
          <w:tcPr/>
          <w:p>
            <w:pPr>
              <w:pStyle w:val="Compact"/>
            </w:pPr>
            <w:r>
              <w:t xml:space="preserve">OpenStreetMap</w:t>
            </w:r>
          </w:p>
        </w:tc>
        <w:tc>
          <w:tcPr/>
          <w:p>
            <w:pPr>
              <w:pStyle w:val="Compact"/>
            </w:pPr>
            <w:r>
              <w:t xml:space="preserve">network_type=</w:t>
            </w:r>
            <w:r>
              <w:t xml:space="preserve">‘walk’</w:t>
            </w:r>
            <w:r>
              <w:t xml:space="preserve"> </w:t>
            </w:r>
            <w:r>
              <w:t xml:space="preserve">(Boeing, 2017)</w:t>
            </w:r>
          </w:p>
        </w:tc>
      </w:tr>
    </w:tbl>
    <w:p>
      <w:r>
        <w:pict>
          <v:rect style="width:0;height:1.5pt" o:hralign="center" o:hrstd="t" o:hr="t"/>
        </w:pict>
      </w:r>
    </w:p>
    <w:bookmarkEnd w:id="18"/>
    <w:bookmarkStart w:id="26" w:name="연구-방법"/>
    <w:p>
      <w:pPr>
        <w:pStyle w:val="Heading2"/>
      </w:pPr>
      <w:r>
        <w:t xml:space="preserve">4. 연구 방법</w:t>
      </w:r>
    </w:p>
    <w:bookmarkStart w:id="23" w:name="링크별-mrt-산출"/>
    <w:p>
      <w:pPr>
        <w:pStyle w:val="Heading3"/>
      </w:pPr>
      <w:r>
        <w:t xml:space="preserve">4.1 링크별 MRT 산출</w:t>
      </w:r>
    </w:p>
    <w:bookmarkStart w:id="19" w:name="방법-a-간소화-solweig-hw-canyon-svf"/>
    <w:p>
      <w:pPr>
        <w:pStyle w:val="Heading4"/>
      </w:pPr>
      <w:r>
        <w:t xml:space="preserve">방법 A — 간소화 SOLWEIG (H/W Canyon SVF)</w:t>
      </w:r>
    </w:p>
    <w:p>
      <w:pPr>
        <w:pStyle w:val="FirstParagraph"/>
      </w:pPr>
      <w:r>
        <w:t xml:space="preserve">링크 중심점을 기준으로 SVF(Sky View Factor)를 Oke(1987)의 H/W Canyon 공식으로 근사한다.</w:t>
      </w:r>
    </w:p>
    <w:p>
      <w:pPr>
        <w:pStyle w:val="SourceCode"/>
      </w:pPr>
      <w:r>
        <w:rPr>
          <w:rStyle w:val="VerbatimChar"/>
        </w:rPr>
        <w:t xml:space="preserve">SVF = 1 / √(1 + (H_eff / W)²)</w:t>
      </w:r>
      <w:r>
        <w:br/>
      </w:r>
      <w:r>
        <w:rPr>
          <w:rStyle w:val="VerbatimChar"/>
        </w:rPr>
        <w:t xml:space="preserve">H_eff = H_building + 10.0 × canopy_ratio</w:t>
      </w:r>
    </w:p>
    <w:p>
      <w:pPr>
        <w:pStyle w:val="FirstParagraph"/>
      </w:pPr>
      <w:r>
        <w:t xml:space="preserve">H_building은 링크 주변 20m 버퍼 내 건물 평균 높이(지상층수 × 3m), W는 도로 유형별 표준 폭이다. SVF를 입력으로 SOLWEIG 복사 교환 수식(Lindberg &amp; Grimmond, 2011)을 적용하여 MRT를 산출한다.</w:t>
      </w:r>
    </w:p>
    <w:p>
      <w:pPr>
        <w:pStyle w:val="SourceCode"/>
      </w:pPr>
      <w:r>
        <w:rPr>
          <w:rStyle w:val="VerbatimChar"/>
        </w:rPr>
        <w:t xml:space="preserve">T_mrt = [1/σ · (K_sw + L_lw)]^0.25 − 273.15</w:t>
      </w:r>
      <w:r>
        <w:br/>
      </w:r>
      <w:r>
        <w:br/>
      </w:r>
      <w:r>
        <w:rPr>
          <w:rStyle w:val="VerbatimChar"/>
        </w:rPr>
        <w:t xml:space="preserve">K_sw = α_p[(1−SVF)·K_dif + shadow·K_dir·cosθ + SVF·K_dif]</w:t>
      </w:r>
      <w:r>
        <w:br/>
      </w:r>
      <w:r>
        <w:rPr>
          <w:rStyle w:val="VerbatimChar"/>
        </w:rPr>
        <w:t xml:space="preserve">L_lw = ε_p[SVF·L_sky + (1−SVF)·L_wall]</w:t>
      </w:r>
    </w:p>
    <w:p>
      <w:pPr>
        <w:pStyle w:val="Compact"/>
        <w:numPr>
          <w:ilvl w:val="0"/>
          <w:numId w:val="1001"/>
        </w:numPr>
      </w:pPr>
      <w:r>
        <w:t xml:space="preserve">shadow: 링크 방위각·태양 고도 기반 이진값(1=일사, 0=그늘). 본 방법에서는 SVF 기반 확률값으로 근사.</w:t>
      </w:r>
    </w:p>
    <w:p>
      <w:pPr>
        <w:pStyle w:val="Compact"/>
        <w:numPr>
          <w:ilvl w:val="0"/>
          <w:numId w:val="1001"/>
        </w:numPr>
      </w:pPr>
      <w:r>
        <w:t xml:space="preserve">물리 상수: α_p = 0.70(Fanger, 1970), ε_p = 0.97(ISO 7726, 1998), FP = 0.308(Höppe, 1992), ε_w = 0.90(Oke, 1987).</w:t>
      </w:r>
    </w:p>
    <w:p>
      <w:pPr>
        <w:pStyle w:val="Compact"/>
        <w:numPr>
          <w:ilvl w:val="0"/>
          <w:numId w:val="1001"/>
        </w:numPr>
      </w:pPr>
      <w:r>
        <w:t xml:space="preserve">직산 분리: Erbs et al.(1982). 대기 장파(L_sky): Brutsaert(1975). 벽면 온도: SOLWEIG 경험식(Bogren et al., 2000; Lindberg et al., 2016) 기반 T_air + 10K 근사.</w:t>
      </w:r>
    </w:p>
    <w:p>
      <w:pPr>
        <w:pStyle w:val="FirstParagraph"/>
      </w:pPr>
      <w:r>
        <w:t xml:space="preserve">기상 입력: 기온·상대습도는 S-DoT 센서 IDW 보간(Shepard, 1968; 김지수·강민규, 2022), GHI는 Open-Meteo(Zippenfenig, 2023) archive 사용.</w:t>
      </w:r>
    </w:p>
    <w:p>
      <w:pPr>
        <w:pStyle w:val="BodyText"/>
      </w:pPr>
      <w:r>
        <w:rPr>
          <w:b/>
          <w:bCs/>
        </w:rPr>
        <w:t xml:space="preserve">이 방법의 한계</w:t>
      </w:r>
      <w:r>
        <w:t xml:space="preserve">: DSM 기반 실제 그림자 계산 없음. SVF를 2D Canyon 공식으로 근사하므로 불규칙 도시 형태에서 오차 가능. 이 한계가 방법 B, C 비교의 출발점이다.</w:t>
      </w:r>
    </w:p>
    <w:bookmarkEnd w:id="19"/>
    <w:bookmarkStart w:id="20" w:name="방법-b-합성-dsm-solweig"/>
    <w:p>
      <w:pPr>
        <w:pStyle w:val="Heading4"/>
      </w:pPr>
      <w:r>
        <w:t xml:space="preserve">방법 B — 합성 DSM + SOLWEIG</w:t>
      </w:r>
    </w:p>
    <w:p>
      <w:pPr>
        <w:pStyle w:val="FirstParagraph"/>
      </w:pPr>
      <w:r>
        <w:t xml:space="preserve">[⚠️ 구현 후 작성 — Lindberg et al. 2018 UMEP 워크플로 적용]</w:t>
      </w:r>
    </w:p>
    <w:bookmarkEnd w:id="20"/>
    <w:bookmarkStart w:id="21" w:name="방법-c-오픈소스-30m-dsm-solweig"/>
    <w:p>
      <w:pPr>
        <w:pStyle w:val="Heading4"/>
      </w:pPr>
      <w:r>
        <w:t xml:space="preserve">방법 C — 오픈소스 30m DSM + SOLWEIG</w:t>
      </w:r>
    </w:p>
    <w:p>
      <w:pPr>
        <w:pStyle w:val="FirstParagraph"/>
      </w:pPr>
      <w:r>
        <w:t xml:space="preserve">[⚠️ 구현 후 작성 — DSM 데이터 취득 및 SOLWEIG 구동 후 작성]</w:t>
      </w:r>
    </w:p>
    <w:bookmarkEnd w:id="21"/>
    <w:bookmarkStart w:id="22" w:name="방법-비교-기준"/>
    <w:p>
      <w:pPr>
        <w:pStyle w:val="Heading4"/>
      </w:pPr>
      <w:r>
        <w:t xml:space="preserve">방법 비교 기준</w:t>
      </w:r>
    </w:p>
    <w:p>
      <w:pPr>
        <w:pStyle w:val="FirstParagraph"/>
      </w:pPr>
      <w:r>
        <w:t xml:space="preserve">[RESULT] 세 방법 간 링크별 MRT 값 분포 차이, 임계값(55°C) 초과 링크 비율 차이, 최종 Thermal Catchment Area 산출 결과 차이를 비교한다.</w:t>
      </w:r>
    </w:p>
    <w:bookmarkEnd w:id="22"/>
    <w:bookmarkEnd w:id="23"/>
    <w:bookmarkStart w:id="24" w:name="보행-회피-임계값-추정"/>
    <w:p>
      <w:pPr>
        <w:pStyle w:val="Heading3"/>
      </w:pPr>
      <w:r>
        <w:t xml:space="preserve">4.2 보행 회피 임계값 추정</w:t>
      </w:r>
    </w:p>
    <w:p>
      <w:pPr>
        <w:pStyle w:val="FirstParagraph"/>
      </w:pPr>
      <w:r>
        <w:t xml:space="preserve">UTCI를 직접 적용하면 폭염 조건에서 공간 분화가 불가능하다(98.9% 포화). 이를 우회하기 위해 UTCI 극한더위 기준(38°C; Bröde et al., 2012)을 폭염일 대표 기상 조건(Tair = 36°C, RH = 60%, va = 2.37 m/s, 폭염일 7일 평균)에서 MRT로 역산한다.</w:t>
      </w:r>
    </w:p>
    <w:p>
      <w:pPr>
        <w:pStyle w:val="SourceCode"/>
      </w:pPr>
      <w:r>
        <w:rPr>
          <w:rStyle w:val="VerbatimChar"/>
        </w:rPr>
        <w:t xml:space="preserve">MRT* = f⁻¹_UTCI(38°C | Tair, RH, va)</w:t>
      </w:r>
    </w:p>
    <w:p>
      <w:pPr>
        <w:pStyle w:val="FirstParagraph"/>
      </w:pPr>
      <w:r>
        <w:t xml:space="preserve">pythermalcomfort 라이브러리를 활용하여 역산한 결과 MRT* ≈ 55°C를 임계값으로 설정한다.</w:t>
      </w:r>
    </w:p>
    <w:p>
      <w:pPr>
        <w:pStyle w:val="BodyText"/>
      </w:pPr>
      <w:r>
        <w:t xml:space="preserve">본 연구는 이 임계값을</w:t>
      </w:r>
      <w:r>
        <w:t xml:space="preserve"> </w:t>
      </w:r>
      <w:r>
        <w:t xml:space="preserve">“보행자가 물리적으로 이동을 멈추는 지점”</w:t>
      </w:r>
      <w:r>
        <w:t xml:space="preserve">으로 해석하지 않는다. 대신</w:t>
      </w:r>
      <w:r>
        <w:t xml:space="preserve"> </w:t>
      </w:r>
      <w:r>
        <w:rPr>
          <w:b/>
          <w:bCs/>
        </w:rPr>
        <w:t xml:space="preserve">UTCI 기준 극한더위 조건에 해당하는 링크를 보수적 열환경 플래닝 시나리오에서 배제</w:t>
      </w:r>
      <w:r>
        <w:t xml:space="preserve">하는 것으로 정의한다. 이는 공중보건 계획의 관점에서 국제적으로 확립된 극한더위 기준(Bröde et al., 2012)을 보행 접근성 분석에 직접 적용한 것이다. MRT ≥ 55°C 링크는 이 시나리오 하에서 보행 불가 구간으로 처리된다.</w:t>
      </w:r>
    </w:p>
    <w:bookmarkEnd w:id="24"/>
    <w:bookmarkStart w:id="25" w:name="thermal-catchment-area-산출"/>
    <w:p>
      <w:pPr>
        <w:pStyle w:val="Heading3"/>
      </w:pPr>
      <w:r>
        <w:t xml:space="preserve">4.3 Thermal Catchment Area 산출</w:t>
      </w:r>
    </w:p>
    <w:p>
      <w:pPr>
        <w:pStyle w:val="SourceCode"/>
      </w:pPr>
      <w:r>
        <w:rPr>
          <w:rStyle w:val="VerbatimChar"/>
        </w:rPr>
        <w:t xml:space="preserve"># Hard Cut: MRT 임계값 초과 링크 제거</w:t>
      </w:r>
      <w:r>
        <w:br/>
      </w:r>
      <w:r>
        <w:rPr>
          <w:rStyle w:val="VerbatimChar"/>
        </w:rPr>
        <w:t xml:space="preserve">G_thermal = G.copy()</w:t>
      </w:r>
      <w:r>
        <w:br/>
      </w:r>
      <w:r>
        <w:rPr>
          <w:rStyle w:val="VerbatimChar"/>
        </w:rPr>
        <w:t xml:space="preserve">G_thermal.remove_edges_from({(u,v) for u,v,d in G.edges(data=True) if d['mrt'] &gt;= 55})</w:t>
      </w:r>
      <w:r>
        <w:br/>
      </w:r>
      <w:r>
        <w:br/>
      </w:r>
      <w:r>
        <w:rPr>
          <w:rStyle w:val="VerbatimChar"/>
        </w:rPr>
        <w:t xml:space="preserve"># Dijkstra 재탐색</w:t>
      </w:r>
      <w:r>
        <w:br/>
      </w:r>
      <w:r>
        <w:rPr>
          <w:rStyle w:val="VerbatimChar"/>
        </w:rPr>
        <w:t xml:space="preserve">S_classic  = reachable_nodes(G,        origin, budget=15min)</w:t>
      </w:r>
      <w:r>
        <w:br/>
      </w:r>
      <w:r>
        <w:rPr>
          <w:rStyle w:val="VerbatimChar"/>
        </w:rPr>
        <w:t xml:space="preserve">S_thermal  = reachable_nodes(G_thermal, origin, budget=15min)</w:t>
      </w:r>
    </w:p>
    <w:p>
      <w:pPr>
        <w:pStyle w:val="FirstParagraph"/>
      </w:pPr>
      <w:r>
        <w:t xml:space="preserve">집계구 중심점을 출발지로 설정하고 15분(Moreno et al., 2021) 시간 예산 내 도달 가능한 노드 집합을 산출한다. 보행 속도는 OSMnx 보행 네트워크 분석 관행(Boeing, 2017)에 따라 4.5 km/h로 고정한다.</w:t>
      </w:r>
    </w:p>
    <w:p>
      <w:pPr>
        <w:pStyle w:val="BodyText"/>
      </w:pPr>
      <w:r>
        <w:t xml:space="preserve">지표_i = (S_classic_i − S_thermal_i) / S_classic_i × 100</w:t>
      </w:r>
      <w:r>
        <w:t xml:space="preserve"> </w:t>
      </w:r>
      <w:r>
        <w:t xml:space="preserve">```</w:t>
      </w:r>
    </w:p>
    <w:p>
      <w:pPr>
        <w:pStyle w:val="BodyText"/>
      </w:pPr>
      <w:r>
        <w:t xml:space="preserve">최초부터 Classic 기준 접근 불가인 출발지는 분석에서 제외한다.</w:t>
      </w:r>
    </w:p>
    <w:p>
      <w:r>
        <w:pict>
          <v:rect style="width:0;height:1.5pt" o:hralign="center" o:hrstd="t" o:hr="t"/>
        </w:pict>
      </w:r>
    </w:p>
    <w:bookmarkEnd w:id="25"/>
    <w:bookmarkEnd w:id="26"/>
    <w:bookmarkStart w:id="31" w:name="분석-결과"/>
    <w:p>
      <w:pPr>
        <w:pStyle w:val="Heading2"/>
      </w:pPr>
      <w:r>
        <w:t xml:space="preserve">5. 분석 결과</w:t>
      </w:r>
    </w:p>
    <w:bookmarkStart w:id="27" w:name="링크별-mrt-분포-방법-a-파일럿-결과"/>
    <w:p>
      <w:pPr>
        <w:pStyle w:val="Heading3"/>
      </w:pPr>
      <w:r>
        <w:t xml:space="preserve">5.1 링크별 MRT 분포 — 방법 A 파일럿 결과</w:t>
      </w:r>
    </w:p>
    <w:p>
      <w:pPr>
        <w:pStyle w:val="FirstParagraph"/>
      </w:pPr>
      <w:r>
        <w:t xml:space="preserve">성동구 보행 네트워크 전체 링크(약 16,200개)를 대상으로 폭염일 13시 기준 MRT를 산출한 결과, 링크별 MRT는 42.0°C~63.0°C의 범위를 보였다. 42.0~48.5°C 구간 3,200개, 48.5~51.8°C 구간 3,230개, 51.8~54.0°C 구간 3,150개, 54.0~56.2°C 구간 3,146개, 56.2~63.0°C 구간 3,220개로 구간별 분포는 비교적 균등하다.</w:t>
      </w:r>
    </w:p>
    <w:p>
      <w:pPr>
        <w:pStyle w:val="BodyText"/>
      </w:pPr>
      <w:r>
        <w:t xml:space="preserve">공간 패턴은 도시 형태와 명확히 대응된다. 한강·중량천 인근 교량 및 대로변 구간은 SVF가 높아 MRT가 상위 분위에 집중되었다. 반면 왕십리·성수 업무지구의 고층 건물 밀집 지역과 이면도로는 건물 그늘로 SVF가 낮고 MRT도 낮은 구간에 분포했다. 같은 행정구역 내에서도 도시 형태에 따라 MRT가 최대 20°C 이상 차이가 났다.</w:t>
      </w:r>
    </w:p>
    <w:p>
      <w:pPr>
        <w:pStyle w:val="BlockText"/>
      </w:pPr>
      <w:r>
        <w:t xml:space="preserve">⚠️ 방법 B·C 비교 결과는 구현 완료 후 이 절에 추가</w:t>
      </w:r>
    </w:p>
    <w:bookmarkEnd w:id="27"/>
    <w:bookmarkStart w:id="28" w:name="임계값-초과-링크-공간-분포"/>
    <w:p>
      <w:pPr>
        <w:pStyle w:val="Heading3"/>
      </w:pPr>
      <w:r>
        <w:t xml:space="preserve">5.2 임계값 초과 링크 공간 분포</w:t>
      </w:r>
    </w:p>
    <w:p>
      <w:pPr>
        <w:pStyle w:val="FirstParagraph"/>
      </w:pPr>
      <w:r>
        <w:t xml:space="preserve">MRT ≥ 55°C를 초과하여 Hard Cut 대상으로 분류된 링크는 전체의 약 30.1%였다. 이 링크들은 수변 구간(한강변, 중량천변), 성동구 동측 외곽 대로, 교량 구조물에 집중적으로 분포하였다. 반면 응봉·성수·왕십리 인근 밀집 주거·업무 지구에서는 MRT 55°C 미만 링크가 이면도로를 중심으로 유지되었다.</w:t>
      </w:r>
    </w:p>
    <w:p>
      <w:pPr>
        <w:pStyle w:val="BodyText"/>
      </w:pPr>
      <w:r>
        <w:t xml:space="preserve">UTCI로 산출했다면 전체 링크의 98.9%가 극한더위 이상에 집중되어 이 같은 공간 분화가 불가능했다. MRT 기반 임계값 적용이 링크 단위 분석의 전제 조건임을 확인했다.</w:t>
      </w:r>
    </w:p>
    <w:bookmarkEnd w:id="28"/>
    <w:bookmarkStart w:id="29" w:name="thermal-catchment-area-및-tarr-산출-결과"/>
    <w:p>
      <w:pPr>
        <w:pStyle w:val="Heading3"/>
      </w:pPr>
      <w:r>
        <w:t xml:space="preserve">5.3 Thermal Catchment Area 및 TARR 산출 결과</w:t>
      </w:r>
    </w:p>
    <w:p>
      <w:pPr>
        <w:pStyle w:val="FirstParagraph"/>
      </w:pPr>
      <w:r>
        <w:t xml:space="preserve">Hard Cut 후 Dijkstra 재탐색으로 산출한 Thermal Catchment Area와 Classic Catchment Area를 집계구 단위로 비교한 결과는 아래와 같다.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지표</w:t>
            </w:r>
          </w:p>
        </w:tc>
        <w:tc>
          <w:tcPr/>
          <w:p>
            <w:pPr>
              <w:pStyle w:val="Compact"/>
            </w:pPr>
            <w:r>
              <w:t xml:space="preserve">값</w:t>
            </w:r>
          </w:p>
        </w:tc>
      </w:tr>
      <w:tr>
        <w:tc>
          <w:tcPr/>
          <w:p>
            <w:pPr>
              <w:pStyle w:val="Compact"/>
            </w:pPr>
            <w:r>
              <w:t xml:space="preserve">전체 평균 TARR</w:t>
            </w:r>
          </w:p>
        </w:tc>
        <w:tc>
          <w:tcPr/>
          <w:p>
            <w:pPr>
              <w:pStyle w:val="Compact"/>
            </w:pPr>
            <w:r>
              <w:t xml:space="preserve">68.0%</w:t>
            </w:r>
          </w:p>
        </w:tc>
      </w:tr>
      <w:tr>
        <w:tc>
          <w:tcPr/>
          <w:p>
            <w:pPr>
              <w:pStyle w:val="Compact"/>
            </w:pPr>
            <w:r>
              <w:t xml:space="preserve">표준편차</w:t>
            </w:r>
          </w:p>
        </w:tc>
        <w:tc>
          <w:tcPr/>
          <w:p>
            <w:pPr>
              <w:pStyle w:val="Compact"/>
            </w:pPr>
            <w:r>
              <w:t xml:space="preserve">23.6%</w:t>
            </w:r>
          </w:p>
        </w:tc>
      </w:tr>
      <w:tr>
        <w:tc>
          <w:tcPr/>
          <w:p>
            <w:pPr>
              <w:pStyle w:val="Compact"/>
            </w:pPr>
            <w:r>
              <w:t xml:space="preserve">중앙값</w:t>
            </w:r>
          </w:p>
        </w:tc>
        <w:tc>
          <w:tcPr/>
          <w:p>
            <w:pPr>
              <w:pStyle w:val="Compact"/>
            </w:pPr>
            <w:r>
              <w:t xml:space="preserve">67.5%</w:t>
            </w:r>
          </w:p>
        </w:tc>
      </w:tr>
      <w:tr>
        <w:tc>
          <w:tcPr/>
          <w:p>
            <w:pPr>
              <w:pStyle w:val="Compact"/>
            </w:pPr>
            <w:r>
              <w:t xml:space="preserve">TARR = 0% (손실 없음)</w:t>
            </w:r>
          </w:p>
        </w:tc>
        <w:tc>
          <w:tcPr/>
          <w:p>
            <w:pPr>
              <w:pStyle w:val="Compact"/>
            </w:pPr>
            <w:r>
              <w:t xml:space="preserve">1개 집계구 (0.2%)</w:t>
            </w:r>
          </w:p>
        </w:tc>
      </w:tr>
      <w:tr>
        <w:tc>
          <w:tcPr/>
          <w:p>
            <w:pPr>
              <w:pStyle w:val="Compact"/>
            </w:pPr>
            <w:r>
              <w:t xml:space="preserve">TARR ≥ 50%</w:t>
            </w:r>
          </w:p>
        </w:tc>
        <w:tc>
          <w:tcPr/>
          <w:p>
            <w:pPr>
              <w:pStyle w:val="Compact"/>
            </w:pPr>
            <w:r>
              <w:t xml:space="preserve">429개 집계구 (76.1%)</w:t>
            </w:r>
          </w:p>
        </w:tc>
      </w:tr>
      <w:tr>
        <w:tc>
          <w:tcPr/>
          <w:p>
            <w:pPr>
              <w:pStyle w:val="Compact"/>
            </w:pPr>
            <w:r>
              <w:t xml:space="preserve">TARR = 100% (완전 차단)</w:t>
            </w:r>
          </w:p>
        </w:tc>
        <w:tc>
          <w:tcPr/>
          <w:p>
            <w:pPr>
              <w:pStyle w:val="Compact"/>
            </w:pPr>
            <w:r>
              <w:t xml:space="preserve">75개 집계구 (13.3%)</w:t>
            </w:r>
          </w:p>
        </w:tc>
      </w:tr>
    </w:tbl>
    <w:p>
      <w:pPr>
        <w:pStyle w:val="BodyText"/>
      </w:pPr>
      <w:r>
        <w:t xml:space="preserve">집계구 4곳 중 3곳에서 접근 가능 정류장의 절반 이상이 사라지는 셈이다. 완전 차단(TARR=100%)은 전체의 13.3%였으며, 이는 폭염 조건에서 어떤 정류장에도 15분 내 도달할 수 없는 집계구가 성동구 전체의 약 1/8에 달함을 의미한다.</w:t>
      </w:r>
    </w:p>
    <w:bookmarkEnd w:id="29"/>
    <w:bookmarkStart w:id="30" w:name="감소-패턴의-공간적-특성"/>
    <w:p>
      <w:pPr>
        <w:pStyle w:val="Heading3"/>
      </w:pPr>
      <w:r>
        <w:t xml:space="preserve">5.4 감소 패턴의 공간적 특성</w:t>
      </w:r>
    </w:p>
    <w:p>
      <w:pPr>
        <w:pStyle w:val="FirstParagraph"/>
      </w:pPr>
      <w:r>
        <w:t xml:space="preserve">TARR의 공간 분포는 도시 형태와 역방향 관계를 보였다. 개방 수변 공간인 응봉역 인근과 서울숲 인근은 SVF 높음 → MRT 높음 → Hard Cut 링크 다수 → TARR 80~100% 집단을 형성했다. 반면 성수·왕십리 업무·주거 밀집 지역은 고층 건물 그늘이 MRT를 낮추어 TARR 20~40% 구간에 분포했다.</w:t>
      </w:r>
    </w:p>
    <w:p>
      <w:pPr>
        <w:pStyle w:val="BodyText"/>
      </w:pPr>
      <w:r>
        <w:t xml:space="preserve">Classic Catchment에서는 도달 가능했으나 Thermal Catchment에서 사라진 접근 손실 영역을 보면, 직접 차단(MRT ≥ 55°C 링크 자체 통과 불가) 외에 해당 링크 너머에 고립되어 우회로 없이 15분 예산 내 접근 불가해진 간접 고립 구간이 상당 비율을 차지했다. 이는 Hard Cut의 파급 효과가 제거된 링크 자체를 넘어 네트워크 위상 변화로 확산됨을 보여준다.</w:t>
      </w:r>
    </w:p>
    <w:p>
      <w:r>
        <w:pict>
          <v:rect style="width:0;height:1.5pt" o:hralign="center" o:hrstd="t" o:hr="t"/>
        </w:pict>
      </w:r>
    </w:p>
    <w:bookmarkEnd w:id="30"/>
    <w:bookmarkEnd w:id="31"/>
    <w:bookmarkStart w:id="36" w:name="논의"/>
    <w:p>
      <w:pPr>
        <w:pStyle w:val="Heading2"/>
      </w:pPr>
      <w:r>
        <w:t xml:space="preserve">6. 논의</w:t>
      </w:r>
    </w:p>
    <w:bookmarkStart w:id="32" w:name="thermal-catchment-area의-개념적-위치"/>
    <w:p>
      <w:pPr>
        <w:pStyle w:val="Heading3"/>
      </w:pPr>
      <w:r>
        <w:t xml:space="preserve">6.1 Thermal Catchment Area의 개념적 위치</w:t>
      </w:r>
    </w:p>
    <w:p>
      <w:pPr>
        <w:pStyle w:val="FirstParagraph"/>
      </w:pPr>
      <w:r>
        <w:t xml:space="preserve">이 연구가 기존 열환경 보행 접근성 연구와 구분되는 지점은 측정 대상이 다르다는 데 있다. Jia et al.(2022)과 Basu et al.(2024) 방식에서 열환경은 보행 속도를 낮추는 요소, 즉 분모를 키우는 연산이었다. 결과는 접근성 점수의 감소다. 반면 이 연구에서 열환경은 이동 가능 공간의 범위 자체를 줄이는 요소다. 같은 15분이 주어지더라도 도달 가능한 공간이 아예 사라진다.</w:t>
      </w:r>
    </w:p>
    <w:p>
      <w:pPr>
        <w:pStyle w:val="BodyText"/>
      </w:pPr>
      <w:r>
        <w:t xml:space="preserve">이 차이는 정책 함의에서 더 선명해진다. 접근성 점수가 낮아진 집계구와 접근 가능 시설이 아예 소멸된 집계구는 개입의 우선순위가 달라야 한다. TARR=100%, 즉 폭염 시 대중교통 정류장 0개에 도달 가능한 집계구가 성동구 전체의 13.3%라는 결과는 소프트 패널티 프레임에서는 나타나지 않는 취약성이다.</w:t>
      </w:r>
    </w:p>
    <w:bookmarkEnd w:id="32"/>
    <w:bookmarkStart w:id="33" w:name="mrt를-열환경-지표로-선택한-타당성"/>
    <w:p>
      <w:pPr>
        <w:pStyle w:val="Heading3"/>
      </w:pPr>
      <w:r>
        <w:t xml:space="preserve">6.2 MRT를 열환경 지표로 선택한 타당성</w:t>
      </w:r>
    </w:p>
    <w:p>
      <w:pPr>
        <w:pStyle w:val="FirstParagraph"/>
      </w:pPr>
      <w:r>
        <w:t xml:space="preserve">UTCI를 직접 사용하지 않은 것은 UTCI가 틀렸기 때문이 아니다. 폭염일에는 입력 기상 변수들이 이미 극단값에 수렴하여 링크 간 차이를 구분하는 도구로서 기능하지 못한다는 문제다. 파일럿 결과에서 98.9%의 링크가 UTCI 38°C 이상에 집중된 것이 이를 보여준다.</w:t>
      </w:r>
    </w:p>
    <w:p>
      <w:pPr>
        <w:pStyle w:val="BodyText"/>
      </w:pPr>
      <w:r>
        <w:t xml:space="preserve">MRT는 SVF·캐노피·건물 형태에 민감하게 반응하여 같은 폭염일에도 링크별로 20°C 이상 차이를 만들었다. 링크 단위 분화 능력이 있어야 Hard Cut 기준을 설정할 수 있고, Thermal Catchment Area를 공간적으로 의미 있게 산출할 수 있다. MRT 선택은 정확도 때문이 아니라 분석 가능성 때문이다.</w:t>
      </w:r>
    </w:p>
    <w:bookmarkEnd w:id="33"/>
    <w:bookmarkStart w:id="34" w:name="mrt-산출-방법-간-비교-및-기상-입력-영향"/>
    <w:p>
      <w:pPr>
        <w:pStyle w:val="Heading3"/>
      </w:pPr>
      <w:r>
        <w:t xml:space="preserve">6.3 MRT 산출 방법 간 비교 및 기상 입력 영향</w:t>
      </w:r>
    </w:p>
    <w:p>
      <w:pPr>
        <w:pStyle w:val="BlockText"/>
      </w:pPr>
      <w:r>
        <w:t xml:space="preserve">⚠️ 방법 B·C 구현 및 Kriging 비교 분석 완료 후 작성</w:t>
      </w:r>
    </w:p>
    <w:p>
      <w:pPr>
        <w:pStyle w:val="FirstParagraph"/>
      </w:pPr>
      <w:r>
        <w:t xml:space="preserve">간소화 방법(방법 A)에서 DSM 기반 그림자 계산이 없고 SVF를 2D Canyon 공식으로 근사한다는 점은 MRT를 과대 추정하는 방향으로 편향을 유발한다. 그러나 이 편향은 모든 링크에 같은 방향으로 작용하므로, Hard Cut 임계값 초과 링크 비율이 실제보다 다소 높게 나타날 수 있다. 이는 TARR를 보수적으로(실제보다 높게) 추정하는 방향이며, 결론의 방향성 자체를 뒤집지는 않는다.</w:t>
      </w:r>
    </w:p>
    <w:bookmarkEnd w:id="34"/>
    <w:bookmarkStart w:id="35" w:name="한계-및-향후-연구"/>
    <w:p>
      <w:pPr>
        <w:pStyle w:val="Heading3"/>
      </w:pPr>
      <w:r>
        <w:t xml:space="preserve">6.4 한계 및 향후 연구</w:t>
      </w:r>
    </w:p>
    <w:p>
      <w:pPr>
        <w:pStyle w:val="FirstParagraph"/>
      </w:pPr>
      <w:r>
        <w:t xml:space="preserve">몇 가지 한계를 명시한다. 첫째, 성동구 단일 사례 파일럿이므로 결론의 공간적 일반화에 제약이 있다. 한강·중량천이라는 수변 지형이 MRT를 끌어올리는 특수성이 성동구 결과를 타 지역보다 극단적으로 만들 가능성이 있다. 둘째, 집계구 중심점을 출발점으로 가정하여 실제 거주 분포와 괴리가 있을 수 있다. 셋째, 캐노피·수변의 냉각 효과가 OSM 데이터 한계상 충분히 반영되지 않아 MRT 과대 추정 가능성이 있다. 다만 앞서 언급한 대로 이 편향은 결론의 방향을 바꾸지 않는다.</w:t>
      </w:r>
    </w:p>
    <w:p>
      <w:pPr>
        <w:pStyle w:val="BodyText"/>
      </w:pPr>
      <w:r>
        <w:t xml:space="preserve">향후 연구는 세 방향으로 확장된다. 서울 전역 또는 타 도시로 적용을 확장하여 공간 일반화 가능성을 검토한다. SSP(공통사회경제경로) 기후 시나리오를 기반으로 미래 폭염 조건에서의 Thermal Catchment 변화를 추정한다. 노인 보행 속도(약 3.0 km/h)를 적용하는 등 사회적 취약성과 열환경 제약을 결합한 복합 취약성 지표로 확장한다.</w:t>
      </w:r>
    </w:p>
    <w:p>
      <w:r>
        <w:pict>
          <v:rect style="width:0;height:1.5pt" o:hralign="center" o:hrstd="t" o:hr="t"/>
        </w:pict>
      </w:r>
    </w:p>
    <w:bookmarkEnd w:id="35"/>
    <w:bookmarkEnd w:id="36"/>
    <w:bookmarkStart w:id="37" w:name="결론"/>
    <w:p>
      <w:pPr>
        <w:pStyle w:val="Heading2"/>
      </w:pPr>
      <w:r>
        <w:t xml:space="preserve">7. 결론</w:t>
      </w:r>
    </w:p>
    <w:p>
      <w:pPr>
        <w:pStyle w:val="FirstParagraph"/>
      </w:pPr>
      <w:r>
        <w:t xml:space="preserve">본 연구는 폭염 조건에서 열노출이 보행 접근 가능 공간 자체를 어떻게 축소시키는지를 정량화하기 위해 Thermal Catchment Area를 새로운 공간 단위로 제안하고, 서울 성동구를 파일럿으로 방법론을 구축·검증하였다.</w:t>
      </w:r>
    </w:p>
    <w:p>
      <w:pPr>
        <w:pStyle w:val="BodyText"/>
      </w:pPr>
      <w:r>
        <w:t xml:space="preserve">MRT 기반 Hard Cut 방법을 통해 두 가지 연구 질문에 답할 수 있었다. 첫째, 폭염일 13시 성동구의 링크별 MRT는 42.0~63.0°C로 분화되었고, 30.1%의 링크가 임계값(55°C)을 초과했다. UTCI로는 98.9% 포화로 이 분화가 불가능하여 MRT 선택이 분석의 전제였다. 둘째, Hard Cut 후 Thermal Catchment Area는 Classic 대비 평균 68.0% 감소하였다(TARR). 집계구의 76.1%에서 접근 정류장이 절반 이상 사라졌고, 13.3%에서는 도달 가능 정류장이 완전히 소멸되었다.</w:t>
      </w:r>
    </w:p>
    <w:p>
      <w:pPr>
        <w:pStyle w:val="BodyText"/>
      </w:pPr>
      <w:r>
        <w:t xml:space="preserve">이 결과가 말하는 것은 수치 이상이다. 기존 접근성 분석에서 정상으로 분류되는 집계구가 폭염 피크 시간대에는 대중교통과 단절되는 상황이 성동구 내에 광범위하게 존재한다. Thermal Catchment Area는 이 단절을 공간 단위로 가시화한다.</w:t>
      </w:r>
    </w:p>
    <w:p>
      <w:pPr>
        <w:pStyle w:val="BodyText"/>
      </w:pPr>
      <w:r>
        <w:t xml:space="preserve">제안된 개념은 대중교통 정류장 접근성을 넘어 의료 시설, 공원, 냉방 시설 등 다양한 폭염 취약 서비스의 접근성 분석에 범용 적용 가능하다. 서울 전역 확장 및 미래 기후 시나리오 적용을 통한 공간적·시간적 일반화가 다음 단계다.</w:t>
      </w:r>
    </w:p>
    <w:p>
      <w:r>
        <w:pict>
          <v:rect style="width:0;height:1.5pt" o:hralign="center" o:hrstd="t" o:hr="t"/>
        </w:pict>
      </w:r>
    </w:p>
    <w:bookmarkEnd w:id="37"/>
    <w:bookmarkStart w:id="38" w:name="참고문헌"/>
    <w:p>
      <w:pPr>
        <w:pStyle w:val="Heading2"/>
      </w:pPr>
      <w:r>
        <w:t xml:space="preserve">참고문헌</w:t>
      </w:r>
    </w:p>
    <w:p>
      <w:pPr>
        <w:pStyle w:val="BlockText"/>
      </w:pPr>
      <w:r>
        <w:t xml:space="preserve">이 목록은 references/reference_list.csv 및 thermal_catchment_references.ris와 동기화 유지</w:t>
      </w:r>
    </w:p>
    <w:p>
      <w:pPr>
        <w:pStyle w:val="Compact"/>
        <w:numPr>
          <w:ilvl w:val="0"/>
          <w:numId w:val="1002"/>
        </w:numPr>
      </w:pPr>
      <w:r>
        <w:t xml:space="preserve">Aydin, E.E. et al. (2026). UTCI-adjusted pedestrian accessibility.</w:t>
      </w:r>
      <w:r>
        <w:t xml:space="preserve"> </w:t>
      </w:r>
      <w:r>
        <w:rPr>
          <w:i/>
          <w:iCs/>
        </w:rPr>
        <w:t xml:space="preserve">Sustainable Cities and Society</w:t>
      </w:r>
      <w:r>
        <w:t xml:space="preserve">, 143. https://doi.org/10.1016/j.scs.2026.107335</w:t>
      </w:r>
    </w:p>
    <w:p>
      <w:pPr>
        <w:pStyle w:val="Compact"/>
        <w:numPr>
          <w:ilvl w:val="0"/>
          <w:numId w:val="1002"/>
        </w:numPr>
      </w:pPr>
      <w:r>
        <w:t xml:space="preserve">Azegami, Y. et al. (2023). Effects of solar radiation in the streets on pedestrian route choice.</w:t>
      </w:r>
      <w:r>
        <w:t xml:space="preserve"> </w:t>
      </w:r>
      <w:r>
        <w:rPr>
          <w:i/>
          <w:iCs/>
        </w:rPr>
        <w:t xml:space="preserve">Building and Environment</w:t>
      </w:r>
      <w:r>
        <w:t xml:space="preserve">, 244, 110250. https://doi.org/10.1016/j.buildenv.2023.110250</w:t>
      </w:r>
    </w:p>
    <w:p>
      <w:pPr>
        <w:pStyle w:val="Compact"/>
        <w:numPr>
          <w:ilvl w:val="0"/>
          <w:numId w:val="1002"/>
        </w:numPr>
      </w:pPr>
      <w:r>
        <w:t xml:space="preserve">Basu, R. et al. (2024). Hot and bothered: Exploring the effect of heat on pedestrian route choice behavior and accessibility.</w:t>
      </w:r>
      <w:r>
        <w:t xml:space="preserve"> </w:t>
      </w:r>
      <w:r>
        <w:rPr>
          <w:i/>
          <w:iCs/>
        </w:rPr>
        <w:t xml:space="preserve">Cities</w:t>
      </w:r>
      <w:r>
        <w:t xml:space="preserve">, 155, 105435. https://doi.org/10.1016/j.cities.2024.105435</w:t>
      </w:r>
    </w:p>
    <w:p>
      <w:pPr>
        <w:pStyle w:val="Compact"/>
        <w:numPr>
          <w:ilvl w:val="0"/>
          <w:numId w:val="1002"/>
        </w:numPr>
      </w:pPr>
      <w:r>
        <w:t xml:space="preserve">Boeing, G. (2017). OSMnx: New methods for acquiring, constructing, analyzing, and visualizing complex street networks.</w:t>
      </w:r>
      <w:r>
        <w:t xml:space="preserve"> </w:t>
      </w:r>
      <w:r>
        <w:rPr>
          <w:i/>
          <w:iCs/>
        </w:rPr>
        <w:t xml:space="preserve">Computers, Environment and Urban Systems</w:t>
      </w:r>
      <w:r>
        <w:t xml:space="preserve">, 65, 126–139. https://doi.org/10.1016/j.compenvurbsys.2017.05.004</w:t>
      </w:r>
    </w:p>
    <w:p>
      <w:pPr>
        <w:pStyle w:val="Compact"/>
        <w:numPr>
          <w:ilvl w:val="0"/>
          <w:numId w:val="1002"/>
        </w:numPr>
      </w:pPr>
      <w:r>
        <w:t xml:space="preserve">Bröde, P. et al. (2012). Deriving the operational procedure for the Universal Thermal Climate Index (UTCI).</w:t>
      </w:r>
      <w:r>
        <w:t xml:space="preserve"> </w:t>
      </w:r>
      <w:r>
        <w:rPr>
          <w:i/>
          <w:iCs/>
        </w:rPr>
        <w:t xml:space="preserve">Int J Biometeorol</w:t>
      </w:r>
      <w:r>
        <w:t xml:space="preserve">, 56(3), 481–494. https://doi.org/10.1007/s00484-011-0454-1</w:t>
      </w:r>
    </w:p>
    <w:p>
      <w:pPr>
        <w:pStyle w:val="Compact"/>
        <w:numPr>
          <w:ilvl w:val="0"/>
          <w:numId w:val="1002"/>
        </w:numPr>
      </w:pPr>
      <w:r>
        <w:t xml:space="preserve">Brutsaert, W. (1975). On a derivable formula for long-wave radiation from clear skies.</w:t>
      </w:r>
      <w:r>
        <w:t xml:space="preserve"> </w:t>
      </w:r>
      <w:r>
        <w:rPr>
          <w:i/>
          <w:iCs/>
        </w:rPr>
        <w:t xml:space="preserve">Water Resources Research</w:t>
      </w:r>
      <w:r>
        <w:t xml:space="preserve">, 11(5), 742–744. https://doi.org/10.1029/WR011i005p00742</w:t>
      </w:r>
    </w:p>
    <w:p>
      <w:pPr>
        <w:pStyle w:val="Compact"/>
        <w:numPr>
          <w:ilvl w:val="0"/>
          <w:numId w:val="1002"/>
        </w:numPr>
      </w:pPr>
      <w:r>
        <w:t xml:space="preserve">Colaninno, N. et al. (2024). A sidewalk-level urban heat risk assessment framework.</w:t>
      </w:r>
      <w:r>
        <w:t xml:space="preserve"> </w:t>
      </w:r>
      <w:r>
        <w:rPr>
          <w:i/>
          <w:iCs/>
        </w:rPr>
        <w:t xml:space="preserve">Environment and Planning B</w:t>
      </w:r>
      <w:r>
        <w:t xml:space="preserve">, 52(5), 1071–1090. https://doi.org/10.1177/23998083241272942</w:t>
      </w:r>
    </w:p>
    <w:p>
      <w:pPr>
        <w:pStyle w:val="Compact"/>
        <w:numPr>
          <w:ilvl w:val="0"/>
          <w:numId w:val="1002"/>
        </w:numPr>
      </w:pPr>
      <w:r>
        <w:t xml:space="preserve">Dijkstra, E.W. (1959). A note on two problems in connexion with graphs.</w:t>
      </w:r>
      <w:r>
        <w:t xml:space="preserve"> </w:t>
      </w:r>
      <w:r>
        <w:rPr>
          <w:i/>
          <w:iCs/>
        </w:rPr>
        <w:t xml:space="preserve">Numerische Mathematik</w:t>
      </w:r>
      <w:r>
        <w:t xml:space="preserve">, 1(1), 269–271. https://doi.org/10.1007/BF01386390</w:t>
      </w:r>
    </w:p>
    <w:p>
      <w:pPr>
        <w:pStyle w:val="Compact"/>
        <w:numPr>
          <w:ilvl w:val="0"/>
          <w:numId w:val="1002"/>
        </w:numPr>
      </w:pPr>
      <w:r>
        <w:t xml:space="preserve">Dong, X. et al. (2024). Measuring urban thermal environment from an accessibility-based perspective.</w:t>
      </w:r>
      <w:r>
        <w:t xml:space="preserve"> </w:t>
      </w:r>
      <w:r>
        <w:rPr>
          <w:i/>
          <w:iCs/>
        </w:rPr>
        <w:t xml:space="preserve">Geography and Sustainability</w:t>
      </w:r>
      <w:r>
        <w:t xml:space="preserve">, 5(2), 172–182. https://doi.org/10.1016/j.geosus.2024.02.004</w:t>
      </w:r>
    </w:p>
    <w:p>
      <w:pPr>
        <w:pStyle w:val="Compact"/>
        <w:numPr>
          <w:ilvl w:val="0"/>
          <w:numId w:val="1002"/>
        </w:numPr>
      </w:pPr>
      <w:r>
        <w:t xml:space="preserve">Erbs, D.G. et al. (1982). Estimation of the diffuse radiation fraction for hourly, daily and monthly-average global radiation.</w:t>
      </w:r>
      <w:r>
        <w:t xml:space="preserve"> </w:t>
      </w:r>
      <w:r>
        <w:rPr>
          <w:i/>
          <w:iCs/>
        </w:rPr>
        <w:t xml:space="preserve">Solar Energy</w:t>
      </w:r>
      <w:r>
        <w:t xml:space="preserve">, 28(4), 293–302. https://doi.org/10.1016/0038-092X(82)90302-4</w:t>
      </w:r>
    </w:p>
    <w:p>
      <w:pPr>
        <w:pStyle w:val="Compact"/>
        <w:numPr>
          <w:ilvl w:val="0"/>
          <w:numId w:val="1002"/>
        </w:numPr>
      </w:pPr>
      <w:r>
        <w:t xml:space="preserve">Fanger, P.O. (1970).</w:t>
      </w:r>
      <w:r>
        <w:t xml:space="preserve"> </w:t>
      </w:r>
      <w:r>
        <w:rPr>
          <w:i/>
          <w:iCs/>
        </w:rPr>
        <w:t xml:space="preserve">Thermal Comfort: Analysis and Applications in Environmental Engineering</w:t>
      </w:r>
      <w:r>
        <w:t xml:space="preserve">. Danish Technical Press, Copenhagen.</w:t>
      </w:r>
    </w:p>
    <w:p>
      <w:pPr>
        <w:pStyle w:val="Compact"/>
        <w:numPr>
          <w:ilvl w:val="0"/>
          <w:numId w:val="1002"/>
        </w:numPr>
      </w:pPr>
      <w:r>
        <w:t xml:space="preserve">Geurs, K.T. &amp; van Wee, B. (2004). Accessibility evaluation of land-use and transport strategies.</w:t>
      </w:r>
      <w:r>
        <w:t xml:space="preserve"> </w:t>
      </w:r>
      <w:r>
        <w:rPr>
          <w:i/>
          <w:iCs/>
        </w:rPr>
        <w:t xml:space="preserve">Journal of Transport Geography</w:t>
      </w:r>
      <w:r>
        <w:t xml:space="preserve">, 12(2), 127–140. https://doi.org/10.1016/j.jtrangeo.2003.10.005</w:t>
      </w:r>
    </w:p>
    <w:p>
      <w:pPr>
        <w:pStyle w:val="Compact"/>
        <w:numPr>
          <w:ilvl w:val="0"/>
          <w:numId w:val="1002"/>
        </w:numPr>
      </w:pPr>
      <w:r>
        <w:t xml:space="preserve">Hägerstrand, T. (1970). What about people in regional science?</w:t>
      </w:r>
      <w:r>
        <w:t xml:space="preserve"> </w:t>
      </w:r>
      <w:r>
        <w:rPr>
          <w:i/>
          <w:iCs/>
        </w:rPr>
        <w:t xml:space="preserve">Papers in Regional Science</w:t>
      </w:r>
      <w:r>
        <w:t xml:space="preserve">, 24(1), 7–24. https://doi.org/10.1111/j.1435-5597.1970.tb01464.x</w:t>
      </w:r>
    </w:p>
    <w:p>
      <w:pPr>
        <w:pStyle w:val="Compact"/>
        <w:numPr>
          <w:ilvl w:val="0"/>
          <w:numId w:val="1002"/>
        </w:numPr>
      </w:pPr>
      <w:r>
        <w:t xml:space="preserve">Höppe, P. (1992). A new procedure to determine the mean radiant temperature outdoors.</w:t>
      </w:r>
      <w:r>
        <w:t xml:space="preserve"> </w:t>
      </w:r>
      <w:r>
        <w:rPr>
          <w:i/>
          <w:iCs/>
        </w:rPr>
        <w:t xml:space="preserve">Energy and Buildings</w:t>
      </w:r>
      <w:r>
        <w:t xml:space="preserve">, 19(3), 221–230. https://doi.org/10.1016/0378-7788(92)90018-I</w:t>
      </w:r>
    </w:p>
    <w:p>
      <w:pPr>
        <w:pStyle w:val="Compact"/>
        <w:numPr>
          <w:ilvl w:val="0"/>
          <w:numId w:val="1002"/>
        </w:numPr>
      </w:pPr>
      <w:r>
        <w:t xml:space="preserve">ISO 7726 (1998).</w:t>
      </w:r>
      <w:r>
        <w:t xml:space="preserve"> </w:t>
      </w:r>
      <w:r>
        <w:rPr>
          <w:i/>
          <w:iCs/>
        </w:rPr>
        <w:t xml:space="preserve">Ergonomics of the Thermal Environment — Instruments for Measuring Physical Quantities</w:t>
      </w:r>
      <w:r>
        <w:t xml:space="preserve">. International Organization for Standardization.</w:t>
      </w:r>
    </w:p>
    <w:p>
      <w:pPr>
        <w:pStyle w:val="Compact"/>
        <w:numPr>
          <w:ilvl w:val="0"/>
          <w:numId w:val="1002"/>
        </w:numPr>
      </w:pPr>
      <w:r>
        <w:t xml:space="preserve">Jia, S. et al. (2022). Influences of the thermal environment on pedestrians’ thermal perception and travel behavior in hot weather.</w:t>
      </w:r>
      <w:r>
        <w:t xml:space="preserve"> </w:t>
      </w:r>
      <w:r>
        <w:rPr>
          <w:i/>
          <w:iCs/>
        </w:rPr>
        <w:t xml:space="preserve">Building and Environment</w:t>
      </w:r>
      <w:r>
        <w:t xml:space="preserve">, 226, 109687. https://doi.org/10.1016/j.buildenv.2022.109687</w:t>
      </w:r>
    </w:p>
    <w:p>
      <w:pPr>
        <w:pStyle w:val="Compact"/>
        <w:numPr>
          <w:ilvl w:val="0"/>
          <w:numId w:val="1002"/>
        </w:numPr>
      </w:pPr>
      <w:r>
        <w:t xml:space="preserve">Kántor, N. &amp; Unger, J. (2011). The most problematic variable in the course of human-biometeorological comfort assessment — the mean radiant temperature.</w:t>
      </w:r>
      <w:r>
        <w:t xml:space="preserve"> </w:t>
      </w:r>
      <w:r>
        <w:rPr>
          <w:i/>
          <w:iCs/>
        </w:rPr>
        <w:t xml:space="preserve">Central European Journal of Geosciences</w:t>
      </w:r>
      <w:r>
        <w:t xml:space="preserve">, 3(2), 90–100. https://doi.org/10.2478/s13533-011-0010-x</w:t>
      </w:r>
    </w:p>
    <w:p>
      <w:pPr>
        <w:pStyle w:val="Compact"/>
        <w:numPr>
          <w:ilvl w:val="0"/>
          <w:numId w:val="1002"/>
        </w:numPr>
      </w:pPr>
      <w:r>
        <w:t xml:space="preserve">김지수 &amp; 강민규 (2022). 스마트서울 도시데이터 센서(S-DoT)를 활용한 미시적 폭염 취약성 평가에 관한 연구.</w:t>
      </w:r>
      <w:r>
        <w:t xml:space="preserve"> </w:t>
      </w:r>
      <w:r>
        <w:rPr>
          <w:i/>
          <w:iCs/>
        </w:rPr>
        <w:t xml:space="preserve">국토계획</w:t>
      </w:r>
      <w:r>
        <w:t xml:space="preserve">, 57(5), 215–234. https://doi.org/10.17208/jkpa.2022.10.57.5.215</w:t>
      </w:r>
    </w:p>
    <w:p>
      <w:pPr>
        <w:pStyle w:val="Compact"/>
        <w:numPr>
          <w:ilvl w:val="0"/>
          <w:numId w:val="1002"/>
        </w:numPr>
      </w:pPr>
      <w:r>
        <w:t xml:space="preserve">Lee, J.S. &amp; Han, A.T. (2024). Heat vulnerability and spatial equity of cooling center.</w:t>
      </w:r>
      <w:r>
        <w:t xml:space="preserve"> </w:t>
      </w:r>
      <w:r>
        <w:rPr>
          <w:i/>
          <w:iCs/>
        </w:rPr>
        <w:t xml:space="preserve">Urban Climate</w:t>
      </w:r>
      <w:r>
        <w:t xml:space="preserve">, 55, 101869. https://doi.org/10.1016/j.uclim.2024.101869</w:t>
      </w:r>
    </w:p>
    <w:p>
      <w:pPr>
        <w:pStyle w:val="Compact"/>
        <w:numPr>
          <w:ilvl w:val="0"/>
          <w:numId w:val="1002"/>
        </w:numPr>
      </w:pPr>
      <w:r>
        <w:t xml:space="preserve">Lindberg, F. et al. (2008). SOLWEIG 1.0 — Modelling spatial variations of 3D radiant fluxes and mean radiant temperatures in complex urban settings.</w:t>
      </w:r>
      <w:r>
        <w:t xml:space="preserve"> </w:t>
      </w:r>
      <w:r>
        <w:rPr>
          <w:i/>
          <w:iCs/>
        </w:rPr>
        <w:t xml:space="preserve">Int J Biometeorol</w:t>
      </w:r>
      <w:r>
        <w:t xml:space="preserve">, 52(7), 697–713. https://doi.org/10.1007/s00484-008-0162-7</w:t>
      </w:r>
    </w:p>
    <w:p>
      <w:pPr>
        <w:pStyle w:val="Compact"/>
        <w:numPr>
          <w:ilvl w:val="0"/>
          <w:numId w:val="1002"/>
        </w:numPr>
      </w:pPr>
      <w:r>
        <w:t xml:space="preserve">Lindberg, F. &amp; Grimmond, C.S.B. (2011). The influence of vegetation and building morphology on shadow patterns and mean radiant temperatures in urban areas.</w:t>
      </w:r>
      <w:r>
        <w:t xml:space="preserve"> </w:t>
      </w:r>
      <w:r>
        <w:rPr>
          <w:i/>
          <w:iCs/>
        </w:rPr>
        <w:t xml:space="preserve">Theoretical and Applied Climatology</w:t>
      </w:r>
      <w:r>
        <w:t xml:space="preserve">, 105(3), 311–323. https://doi.org/10.1007/s00704-010-0382-8</w:t>
      </w:r>
    </w:p>
    <w:p>
      <w:pPr>
        <w:pStyle w:val="Compact"/>
        <w:numPr>
          <w:ilvl w:val="0"/>
          <w:numId w:val="1002"/>
        </w:numPr>
      </w:pPr>
      <w:r>
        <w:t xml:space="preserve">Lindberg, F. et al. (2016). Influence of ground surface characteristics on the mean radiant temperature in urban areas.</w:t>
      </w:r>
      <w:r>
        <w:t xml:space="preserve"> </w:t>
      </w:r>
      <w:r>
        <w:rPr>
          <w:i/>
          <w:iCs/>
        </w:rPr>
        <w:t xml:space="preserve">Int J Biometeorol</w:t>
      </w:r>
      <w:r>
        <w:t xml:space="preserve">, 60(9), 1439–1452. https://doi.org/10.1007/s00484-016-1135-x</w:t>
      </w:r>
    </w:p>
    <w:p>
      <w:pPr>
        <w:pStyle w:val="Compact"/>
        <w:numPr>
          <w:ilvl w:val="0"/>
          <w:numId w:val="1002"/>
        </w:numPr>
      </w:pPr>
      <w:r>
        <w:t xml:space="preserve">Lindberg, F. et al. (2018). Urban Multi-scale Environmental Predictor (UMEP).</w:t>
      </w:r>
      <w:r>
        <w:t xml:space="preserve"> </w:t>
      </w:r>
      <w:r>
        <w:rPr>
          <w:i/>
          <w:iCs/>
        </w:rPr>
        <w:t xml:space="preserve">Environmental Modelling &amp; Software</w:t>
      </w:r>
      <w:r>
        <w:t xml:space="preserve">, 99, 70–87. https://doi.org/10.1016/j.envsoft.2017.09.020</w:t>
      </w:r>
    </w:p>
    <w:p>
      <w:pPr>
        <w:pStyle w:val="Compact"/>
        <w:numPr>
          <w:ilvl w:val="0"/>
          <w:numId w:val="1002"/>
        </w:numPr>
      </w:pPr>
      <w:r>
        <w:t xml:space="preserve">Melnikov, V.R. et al. (2022). Behavioural thermal regulation explains pedestrian path choices in hot urban environments.</w:t>
      </w:r>
      <w:r>
        <w:t xml:space="preserve"> </w:t>
      </w:r>
      <w:r>
        <w:rPr>
          <w:i/>
          <w:iCs/>
        </w:rPr>
        <w:t xml:space="preserve">Scientific Reports</w:t>
      </w:r>
      <w:r>
        <w:t xml:space="preserve">, 12, 3131. https://doi.org/10.1038/s41598-022-06383-5</w:t>
      </w:r>
    </w:p>
    <w:p>
      <w:pPr>
        <w:pStyle w:val="Compact"/>
        <w:numPr>
          <w:ilvl w:val="0"/>
          <w:numId w:val="1002"/>
        </w:numPr>
      </w:pPr>
      <w:r>
        <w:t xml:space="preserve">Miller, H.J. (1991). Modelling accessibility using space-time prism concepts within geographical information systems.</w:t>
      </w:r>
      <w:r>
        <w:t xml:space="preserve"> </w:t>
      </w:r>
      <w:r>
        <w:rPr>
          <w:i/>
          <w:iCs/>
        </w:rPr>
        <w:t xml:space="preserve">Int J Geographical Information Systems</w:t>
      </w:r>
      <w:r>
        <w:t xml:space="preserve">, 5(3), 287–301. https://doi.org/10.1080/02693799108927856</w:t>
      </w:r>
    </w:p>
    <w:p>
      <w:pPr>
        <w:pStyle w:val="Compact"/>
        <w:numPr>
          <w:ilvl w:val="0"/>
          <w:numId w:val="1002"/>
        </w:numPr>
      </w:pPr>
      <w:r>
        <w:t xml:space="preserve">Moreno, C. et al. (2021). Introducing the</w:t>
      </w:r>
      <w:r>
        <w:t xml:space="preserve"> </w:t>
      </w:r>
      <w:r>
        <w:t xml:space="preserve">“15-Minute City”</w:t>
      </w:r>
      <w:r>
        <w:t xml:space="preserve">.</w:t>
      </w:r>
      <w:r>
        <w:t xml:space="preserve"> </w:t>
      </w:r>
      <w:r>
        <w:rPr>
          <w:i/>
          <w:iCs/>
        </w:rPr>
        <w:t xml:space="preserve">Smart Cities</w:t>
      </w:r>
      <w:r>
        <w:t xml:space="preserve">, 4(1), 93–111. https://doi.org/10.3390/smartcities4010006</w:t>
      </w:r>
    </w:p>
    <w:p>
      <w:pPr>
        <w:pStyle w:val="Compact"/>
        <w:numPr>
          <w:ilvl w:val="0"/>
          <w:numId w:val="1002"/>
        </w:numPr>
      </w:pPr>
      <w:r>
        <w:t xml:space="preserve">Oke, T.R. (1987).</w:t>
      </w:r>
      <w:r>
        <w:t xml:space="preserve"> </w:t>
      </w:r>
      <w:r>
        <w:rPr>
          <w:i/>
          <w:iCs/>
        </w:rPr>
        <w:t xml:space="preserve">Boundary Layer Climates</w:t>
      </w:r>
      <w:r>
        <w:t xml:space="preserve"> </w:t>
      </w:r>
      <w:r>
        <w:t xml:space="preserve">(2nd ed.). Routledge, London.</w:t>
      </w:r>
    </w:p>
    <w:p>
      <w:pPr>
        <w:pStyle w:val="Compact"/>
        <w:numPr>
          <w:ilvl w:val="0"/>
          <w:numId w:val="1002"/>
        </w:numPr>
      </w:pPr>
      <w:r>
        <w:t xml:space="preserve">Shepard, D. (1968). A two-dimensional interpolation function for irregularly-spaced data.</w:t>
      </w:r>
      <w:r>
        <w:t xml:space="preserve"> </w:t>
      </w:r>
      <w:r>
        <w:rPr>
          <w:i/>
          <w:iCs/>
        </w:rPr>
        <w:t xml:space="preserve">Proceedings of the 1968 ACM National Conference</w:t>
      </w:r>
      <w:r>
        <w:t xml:space="preserve">, 517–524. https://doi.org/10.1145/800186.810616</w:t>
      </w:r>
    </w:p>
    <w:p>
      <w:pPr>
        <w:pStyle w:val="Compact"/>
        <w:numPr>
          <w:ilvl w:val="0"/>
          <w:numId w:val="1002"/>
        </w:numPr>
      </w:pPr>
      <w:r>
        <w:t xml:space="preserve">Thorsson, S. et al. (2004). Thermal bioclimatic conditions and patterns of behaviour in an urban park in Göteborg, Sweden.</w:t>
      </w:r>
      <w:r>
        <w:t xml:space="preserve"> </w:t>
      </w:r>
      <w:r>
        <w:rPr>
          <w:i/>
          <w:iCs/>
        </w:rPr>
        <w:t xml:space="preserve">Int J Biometeorol</w:t>
      </w:r>
      <w:r>
        <w:t xml:space="preserve">, 48(3), 149–156. https://doi.org/10.1007/s00484-003-0189-8</w:t>
      </w:r>
    </w:p>
    <w:p>
      <w:pPr>
        <w:pStyle w:val="Compact"/>
        <w:numPr>
          <w:ilvl w:val="0"/>
          <w:numId w:val="1002"/>
        </w:numPr>
      </w:pPr>
      <w:r>
        <w:t xml:space="preserve">Thorsson, S. et al. (2007). Different methods for estimating the mean radiant temperature in an outdoor urban setting.</w:t>
      </w:r>
      <w:r>
        <w:t xml:space="preserve"> </w:t>
      </w:r>
      <w:r>
        <w:rPr>
          <w:i/>
          <w:iCs/>
        </w:rPr>
        <w:t xml:space="preserve">Int J Climatol</w:t>
      </w:r>
      <w:r>
        <w:t xml:space="preserve">, 27(14), 1983–1993. https://doi.org/10.1002/joc.1537</w:t>
      </w:r>
    </w:p>
    <w:p>
      <w:pPr>
        <w:pStyle w:val="Compact"/>
        <w:numPr>
          <w:ilvl w:val="0"/>
          <w:numId w:val="1002"/>
        </w:numPr>
      </w:pPr>
      <w:r>
        <w:t xml:space="preserve">Wallenberg, N. et al. (2026). A simple step heating approach for wall surface temperature estimation in the SOLWEIG model.</w:t>
      </w:r>
      <w:r>
        <w:t xml:space="preserve"> </w:t>
      </w:r>
      <w:r>
        <w:rPr>
          <w:i/>
          <w:iCs/>
        </w:rPr>
        <w:t xml:space="preserve">Geoscientific Model Development</w:t>
      </w:r>
      <w:r>
        <w:t xml:space="preserve">, 19, 1321–1336. https://doi.org/10.5194/gmd-19-1321-2026</w:t>
      </w:r>
    </w:p>
    <w:p>
      <w:pPr>
        <w:pStyle w:val="Compact"/>
        <w:numPr>
          <w:ilvl w:val="0"/>
          <w:numId w:val="1002"/>
        </w:numPr>
      </w:pPr>
      <w:r>
        <w:t xml:space="preserve">Yoon, D. et al. (2020). Recent changes in heatwave characteristics over Korea.</w:t>
      </w:r>
      <w:r>
        <w:t xml:space="preserve"> </w:t>
      </w:r>
      <w:r>
        <w:rPr>
          <w:i/>
          <w:iCs/>
        </w:rPr>
        <w:t xml:space="preserve">Climate Dynamics</w:t>
      </w:r>
      <w:r>
        <w:t xml:space="preserve">, 55, 1703–1717. https://doi.org/10.1007/s00382-020-05420-1</w:t>
      </w:r>
    </w:p>
    <w:p>
      <w:pPr>
        <w:pStyle w:val="Compact"/>
        <w:numPr>
          <w:ilvl w:val="0"/>
          <w:numId w:val="1002"/>
        </w:numPr>
      </w:pPr>
      <w:r>
        <w:t xml:space="preserve">Zippenfenig, P. (2023).</w:t>
      </w:r>
      <w:r>
        <w:t xml:space="preserve"> </w:t>
      </w:r>
      <w:r>
        <w:rPr>
          <w:i/>
          <w:iCs/>
        </w:rPr>
        <w:t xml:space="preserve">Open-Meteo.com Weather API</w:t>
      </w:r>
      <w:r>
        <w:t xml:space="preserve"> </w:t>
      </w:r>
      <w:r>
        <w:t xml:space="preserve">[Computer software]. Zenodo. https://doi.org/10.5281/ZENODO.7970649</w:t>
      </w:r>
    </w:p>
    <w:p>
      <w:pPr>
        <w:pStyle w:val="Compact"/>
        <w:numPr>
          <w:ilvl w:val="0"/>
          <w:numId w:val="1002"/>
        </w:numPr>
      </w:pPr>
      <w:r>
        <w:t xml:space="preserve">정희지 &amp; 강전영 (2024). 영유아 및 소아 의료 인프라의 공간적 접근성에 대한 시간적 불균형 탐색.</w:t>
      </w:r>
      <w:r>
        <w:t xml:space="preserve"> </w:t>
      </w:r>
      <w:r>
        <w:rPr>
          <w:i/>
          <w:iCs/>
        </w:rPr>
        <w:t xml:space="preserve">한국지도학회지</w:t>
      </w:r>
      <w:r>
        <w:t xml:space="preserve">, 24(3), 61–73.</w:t>
      </w:r>
    </w:p>
    <w:p>
      <w:pPr>
        <w:pStyle w:val="Compact"/>
        <w:numPr>
          <w:ilvl w:val="0"/>
          <w:numId w:val="1002"/>
        </w:numPr>
      </w:pPr>
      <w:r>
        <w:t xml:space="preserve">IPCC (2022).</w:t>
      </w:r>
      <w:r>
        <w:t xml:space="preserve"> </w:t>
      </w:r>
      <w:r>
        <w:rPr>
          <w:i/>
          <w:iCs/>
        </w:rPr>
        <w:t xml:space="preserve">Climate Change 2022: Impacts, Adaptation and Vulnerability</w:t>
      </w:r>
      <w:r>
        <w:t xml:space="preserve"> </w:t>
      </w:r>
      <w:r>
        <w:t xml:space="preserve">(WGII AR6). Cambridge University Press. https://doi.org/10.1017/9781009325844.001</w:t>
      </w:r>
    </w:p>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60%60%60" TargetMode="External" /></Relationships>
</file>

<file path=word/_rels/footnotes.xml.rels><?xml version="1.0" encoding="UTF-8"?><Relationships xmlns="http://schemas.openxmlformats.org/package/2006/relationships"><Relationship Type="http://schemas.openxmlformats.org/officeDocument/2006/relationships/hyperlink" Id="rId10" Target="%60%60%6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2026-06-24T08:33:03Z</dcterms:created>
  <dcterms:modified xsi:type="dcterms:W3CDTF">2026-06-24T08:33:03Z</dcterms:modified>
</cp:coreProperties>
</file>

<file path=docProps/custom.xml><?xml version="1.0" encoding="utf-8"?>
<Properties xmlns="http://schemas.openxmlformats.org/officeDocument/2006/custom-properties" xmlns:vt="http://schemas.openxmlformats.org/officeDocument/2006/docPropsVTypes"/>
</file>