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영문 name 이 저장된 text 파일을 다운 받을 수 있습니다. 약 5천개 이상의 영문 이름이 저장 되어있으며, 해당 이름들을 정렬하고 각 알파벳에 해당하는 점수를 더하고 순번을 곱한 값을 모두 더하는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C를 이용해서, 퀵소트와 이진 탐색 활용해서 하려다 양이 별로 많지 않아 python 으로 간단하게 해결하였습니다. dictionary 와 index 를 이용해서 해결 할 수 있었습니다.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154.282253179891"/>
        <w:gridCol w:w="8798.909751665658"/>
        <w:gridCol w:w="72.3198061780739"/>
        <w:tblGridChange w:id="0">
          <w:tblGrid>
            <w:gridCol w:w="154.282253179891"/>
            <w:gridCol w:w="8798.909751665658"/>
            <w:gridCol w:w="72.3198061780739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"names.txt"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dic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'J'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'V'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f.readline()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len(s), s.index('COLIN')+1, s[0]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Total_score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Sum_l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dic[j]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s.index(i)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Total_score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Sum_l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   print "[*]", i, s.index(i)+1,Sum_l, Total_score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,Total_score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end_time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end_time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start_time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6725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