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20" w:before="0"/>
      </w:pPr>
      <w:r>
        <w:rPr>
          <w:rFonts w:ascii="맑은 고딕" w:cs="맑은 고딕" w:eastAsia="맑은 고딕" w:hAnsi="맑은 고딕"/>
        </w:rPr>
        <w:t xml:space="preserve"/>
      </w:r>
    </w:p>
    <w:p>
      <w:pPr>
        <w:pBdr>
          <w:bottom w:val="single" w:color="161A58" w:sz="8" w:space="1"/>
        </w:pBdr>
        <w:spacing w:after="200" w:before="0"/>
      </w:pPr>
      <w:r>
        <w:rPr>
          <w:rFonts w:ascii="맑은 고딕" w:cs="맑은 고딕" w:eastAsia="맑은 고딕" w:hAnsi="맑은 고딕"/>
        </w:rPr>
        <w:t xml:space="preserve"/>
      </w:r>
    </w:p>
    <w:p>
      <w:pPr>
        <w:spacing w:after="160" w:before="120"/>
        <w:jc w:val="center"/>
      </w:pPr>
      <w:r>
        <w:rPr>
          <w:rFonts w:ascii="맑은 고딕" w:cs="맑은 고딕" w:eastAsia="맑은 고딕" w:hAnsi="맑은 고딕"/>
          <w:b/>
          <w:bCs/>
          <w:color w:val="161A58"/>
          <w:spacing w:val="40"/>
          <w:sz w:val="20"/>
          <w:szCs w:val="20"/>
        </w:rPr>
        <w:t xml:space="preserve">SKALA 4기 과제 제출 보고서 · 평가 보고서</w:t>
      </w:r>
    </w:p>
    <w:p>
      <w:pPr>
        <w:spacing w:after="120" w:before="0" w:line="420"/>
        <w:jc w:val="center"/>
      </w:pPr>
      <w:r>
        <w:rPr>
          <w:rFonts w:ascii="맑은 고딕" w:cs="맑은 고딕" w:eastAsia="맑은 고딕" w:hAnsi="맑은 고딕"/>
          <w:b/>
          <w:bCs/>
          <w:color w:val="111111"/>
          <w:sz w:val="34"/>
          <w:szCs w:val="34"/>
        </w:rPr>
        <w:t xml:space="preserve">KV cache 최적화 기술 다관점 평가 보고서</w:t>
      </w:r>
    </w:p>
    <w:p>
      <w:pPr>
        <w:spacing w:after="160" w:before="0"/>
        <w:jc w:val="center"/>
      </w:pPr>
      <w:r>
        <w:rPr>
          <w:rFonts w:ascii="맑은 고딕" w:cs="맑은 고딕" w:eastAsia="맑은 고딕" w:hAnsi="맑은 고딕"/>
          <w:b/>
          <w:bCs/>
          <w:color w:val="333333"/>
          <w:sz w:val="22"/>
          <w:szCs w:val="22"/>
        </w:rPr>
        <w:t xml:space="preserve">- 판교 9반 1조 -</w:t>
      </w:r>
    </w:p>
    <w:p>
      <w:pPr>
        <w:pBdr>
          <w:bottom w:val="single" w:color="7F4ACB" w:sz="8" w:space="1"/>
        </w:pBdr>
        <w:spacing w:after="0" w:before="0"/>
      </w:pPr>
      <w:r>
        <w:rPr>
          <w:rFonts w:ascii="맑은 고딕" w:cs="맑은 고딕" w:eastAsia="맑은 고딕" w:hAnsi="맑은 고딕"/>
        </w:rPr>
        <w:t xml:space="preserve"/>
      </w:r>
    </w:p>
    <w:p>
      <w:pPr>
        <w:spacing w:after="1200" w:before="0"/>
      </w:pPr>
      <w:r>
        <w:rPr>
          <w:rFonts w:ascii="맑은 고딕" w:cs="맑은 고딕" w:eastAsia="맑은 고딕" w:hAnsi="맑은 고딕"/>
        </w:rPr>
        <w:t xml:space="preserve"/>
      </w:r>
    </w:p>
    <w:p>
      <w:pPr>
        <w:spacing w:after="0" w:before="0"/>
        <w:jc w:val="center"/>
      </w:pPr>
      <w:r>
        <w:drawing>
          <wp:inline distT="0" distB="0" distL="0" distR="0">
            <wp:extent cx="2857500" cy="78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781050"/>
                    </a:xfrm>
                    <a:prstGeom prst="rect">
                      <a:avLst/>
                    </a:prstGeom>
                  </pic:spPr>
                </pic:pic>
              </a:graphicData>
            </a:graphic>
          </wp:inline>
        </w:drawing>
      </w:r>
    </w:p>
    <w:p>
      <w:pPr>
        <w:spacing w:after="1800" w:before="0"/>
      </w:pPr>
      <w:r>
        <w:rPr>
          <w:rFonts w:ascii="맑은 고딕" w:cs="맑은 고딕" w:eastAsia="맑은 고딕" w:hAnsi="맑은 고딕"/>
        </w:rPr>
        <w:t xml:space="preserve"/>
      </w:r>
    </w:p>
    <w:p>
      <w:pPr>
        <w:spacing w:after="60" w:before="0" w:line="300"/>
        <w:jc w:val="right"/>
      </w:pPr>
      <w:r>
        <w:rPr>
          <w:rFonts w:ascii="맑은 고딕" w:cs="맑은 고딕" w:eastAsia="맑은 고딕" w:hAnsi="맑은 고딕"/>
          <w:b/>
          <w:bCs/>
          <w:color w:val="161A58"/>
          <w:sz w:val="20"/>
          <w:szCs w:val="20"/>
        </w:rPr>
        <w:t xml:space="preserve">과 정</w:t>
      </w:r>
      <w:r>
        <w:rPr>
          <w:rFonts w:ascii="맑은 고딕" w:cs="맑은 고딕" w:eastAsia="맑은 고딕" w:hAnsi="맑은 고딕"/>
          <w:color w:val="7F4ACB"/>
          <w:sz w:val="20"/>
          <w:szCs w:val="20"/>
        </w:rPr>
        <w:t xml:space="preserve">  |  </w:t>
      </w:r>
      <w:r>
        <w:rPr>
          <w:rFonts w:ascii="맑은 고딕" w:cs="맑은 고딕" w:eastAsia="맑은 고딕" w:hAnsi="맑은 고딕"/>
          <w:sz w:val="20"/>
          <w:szCs w:val="20"/>
        </w:rPr>
        <w:t xml:space="preserve">SKALA 4기 · AI</w:t>
      </w:r>
    </w:p>
    <w:p>
      <w:pPr>
        <w:spacing w:after="60" w:before="0" w:line="300"/>
        <w:jc w:val="right"/>
      </w:pPr>
      <w:r>
        <w:rPr>
          <w:rFonts w:ascii="맑은 고딕" w:cs="맑은 고딕" w:eastAsia="맑은 고딕" w:hAnsi="맑은 고딕"/>
          <w:b/>
          <w:bCs/>
          <w:color w:val="161A58"/>
          <w:sz w:val="20"/>
          <w:szCs w:val="20"/>
        </w:rPr>
        <w:t xml:space="preserve">반 / 조</w:t>
      </w:r>
      <w:r>
        <w:rPr>
          <w:rFonts w:ascii="맑은 고딕" w:cs="맑은 고딕" w:eastAsia="맑은 고딕" w:hAnsi="맑은 고딕"/>
          <w:color w:val="7F4ACB"/>
          <w:sz w:val="20"/>
          <w:szCs w:val="20"/>
        </w:rPr>
        <w:t xml:space="preserve">  |  </w:t>
      </w:r>
      <w:r>
        <w:rPr>
          <w:rFonts w:ascii="맑은 고딕" w:cs="맑은 고딕" w:eastAsia="맑은 고딕" w:hAnsi="맑은 고딕"/>
          <w:sz w:val="20"/>
          <w:szCs w:val="20"/>
        </w:rPr>
        <w:t xml:space="preserve">9반 1조</w:t>
      </w:r>
    </w:p>
    <w:p>
      <w:pPr>
        <w:spacing w:after="60" w:before="0" w:line="300"/>
        <w:jc w:val="right"/>
      </w:pPr>
      <w:r>
        <w:rPr>
          <w:rFonts w:ascii="맑은 고딕" w:cs="맑은 고딕" w:eastAsia="맑은 고딕" w:hAnsi="맑은 고딕"/>
          <w:b/>
          <w:bCs/>
          <w:color w:val="161A58"/>
          <w:sz w:val="20"/>
          <w:szCs w:val="20"/>
        </w:rPr>
        <w:t>팀 원</w:t>
      </w:r>
      <w:r>
        <w:rPr>
          <w:rFonts w:ascii="맑은 고딕" w:cs="맑은 고딕" w:eastAsia="맑은 고딕" w:hAnsi="맑은 고딕"/>
          <w:color w:val="7F4ACB"/>
          <w:sz w:val="20"/>
          <w:szCs w:val="20"/>
        </w:rPr>
        <w:t xml:space="preserve">  |  </w:t>
      </w:r>
      <w:r>
        <w:rPr>
          <w:rFonts w:ascii="맑은 고딕" w:cs="맑은 고딕" w:eastAsia="맑은 고딕" w:hAnsi="맑은 고딕"/>
          <w:sz w:val="20"/>
          <w:szCs w:val="20"/>
        </w:rPr>
        <w:t>P284  김정인</w:t>
      </w:r>
    </w:p>
    <w:p>
      <w:pPr>
        <w:spacing w:after="60" w:before="0" w:line="300"/>
        <w:jc w:val="right"/>
      </w:pPr>
      <w:r>
        <w:rPr>
          <w:rFonts w:ascii="맑은 고딕" w:cs="맑은 고딕" w:eastAsia="맑은 고딕" w:hAnsi="맑은 고딕"/>
          <w:b/>
          <w:bCs/>
          <w:color w:val="161A58"/>
          <w:sz w:val="20"/>
          <w:szCs w:val="20"/>
        </w:rPr>
        <w:t>팀 원</w:t>
      </w:r>
      <w:r>
        <w:rPr>
          <w:rFonts w:ascii="맑은 고딕" w:cs="맑은 고딕" w:eastAsia="맑은 고딕" w:hAnsi="맑은 고딕"/>
          <w:color w:val="7F4ACB"/>
          <w:sz w:val="20"/>
          <w:szCs w:val="20"/>
        </w:rPr>
        <w:t xml:space="preserve">  |  </w:t>
      </w:r>
      <w:r>
        <w:rPr>
          <w:rFonts w:ascii="맑은 고딕" w:cs="맑은 고딕" w:eastAsia="맑은 고딕" w:hAnsi="맑은 고딕"/>
          <w:sz w:val="20"/>
          <w:szCs w:val="20"/>
        </w:rPr>
        <w:t>P285  김지수</w:t>
      </w:r>
    </w:p>
    <w:p>
      <w:pPr>
        <w:spacing w:after="60" w:before="0" w:line="300"/>
        <w:jc w:val="right"/>
      </w:pPr>
      <w:r>
        <w:rPr>
          <w:rFonts w:ascii="맑은 고딕" w:cs="맑은 고딕" w:eastAsia="맑은 고딕" w:hAnsi="맑은 고딕"/>
          <w:b/>
          <w:bCs/>
          <w:color w:val="161A58"/>
          <w:sz w:val="20"/>
          <w:szCs w:val="20"/>
        </w:rPr>
        <w:t>팀 원</w:t>
      </w:r>
      <w:r>
        <w:rPr>
          <w:rFonts w:ascii="맑은 고딕" w:cs="맑은 고딕" w:eastAsia="맑은 고딕" w:hAnsi="맑은 고딕"/>
          <w:color w:val="7F4ACB"/>
          <w:sz w:val="20"/>
          <w:szCs w:val="20"/>
        </w:rPr>
        <w:t xml:space="preserve">  |  </w:t>
      </w:r>
      <w:r>
        <w:rPr>
          <w:rFonts w:ascii="맑은 고딕" w:cs="맑은 고딕" w:eastAsia="맑은 고딕" w:hAnsi="맑은 고딕"/>
          <w:sz w:val="20"/>
          <w:szCs w:val="20"/>
        </w:rPr>
        <w:t>P286  김진수</w:t>
      </w:r>
    </w:p>
    <w:p>
      <w:pPr>
        <w:spacing w:after="60" w:before="0" w:line="300"/>
        <w:jc w:val="right"/>
      </w:pPr>
      <w:r>
        <w:rPr>
          <w:rFonts w:ascii="맑은 고딕" w:cs="맑은 고딕" w:eastAsia="맑은 고딕" w:hAnsi="맑은 고딕"/>
          <w:b/>
          <w:bCs/>
          <w:color w:val="161A58"/>
          <w:sz w:val="20"/>
          <w:szCs w:val="20"/>
        </w:rPr>
        <w:t>팀 원</w:t>
      </w:r>
      <w:r>
        <w:rPr>
          <w:rFonts w:ascii="맑은 고딕" w:cs="맑은 고딕" w:eastAsia="맑은 고딕" w:hAnsi="맑은 고딕"/>
          <w:color w:val="7F4ACB"/>
          <w:sz w:val="20"/>
          <w:szCs w:val="20"/>
        </w:rPr>
        <w:t xml:space="preserve">  |  </w:t>
      </w:r>
      <w:r>
        <w:rPr>
          <w:rFonts w:ascii="맑은 고딕" w:cs="맑은 고딕" w:eastAsia="맑은 고딕" w:hAnsi="맑은 고딕"/>
          <w:sz w:val="20"/>
          <w:szCs w:val="20"/>
        </w:rPr>
        <w:t>P304  전진만</w:t>
      </w:r>
    </w:p>
    <w:p>
      <w:pPr>
        <w:spacing w:after="60" w:before="0" w:line="300"/>
        <w:jc w:val="right"/>
      </w:pPr>
      <w:r>
        <w:rPr>
          <w:rFonts w:ascii="맑은 고딕" w:cs="맑은 고딕" w:eastAsia="맑은 고딕" w:hAnsi="맑은 고딕"/>
          <w:b/>
          <w:bCs/>
          <w:color w:val="161A58"/>
          <w:sz w:val="20"/>
          <w:szCs w:val="20"/>
        </w:rPr>
        <w:t>팀 원</w:t>
      </w:r>
      <w:r>
        <w:rPr>
          <w:rFonts w:ascii="맑은 고딕" w:cs="맑은 고딕" w:eastAsia="맑은 고딕" w:hAnsi="맑은 고딕"/>
          <w:color w:val="7F4ACB"/>
          <w:sz w:val="20"/>
          <w:szCs w:val="20"/>
        </w:rPr>
        <w:t xml:space="preserve">  |  </w:t>
      </w:r>
      <w:r>
        <w:rPr>
          <w:rFonts w:ascii="맑은 고딕" w:cs="맑은 고딕" w:eastAsia="맑은 고딕" w:hAnsi="맑은 고딕"/>
          <w:sz w:val="20"/>
          <w:szCs w:val="20"/>
        </w:rPr>
        <w:t>P307  정원준</w:t>
      </w:r>
    </w:p>
    <w:p>
      <w:pPr>
        <w:spacing w:after="0" w:before="200"/>
        <w:jc w:val="right"/>
      </w:pPr>
      <w:r>
        <w:rPr>
          <w:rFonts w:ascii="맑은 고딕" w:cs="맑은 고딕" w:eastAsia="맑은 고딕" w:hAnsi="맑은 고딕"/>
          <w:b/>
          <w:bCs/>
          <w:color w:val="161A58"/>
          <w:sz w:val="20"/>
          <w:szCs w:val="20"/>
        </w:rPr>
        <w:t xml:space="preserve">제출일   2026. 10. 07.</w:t>
      </w:r>
    </w:p>
    <w:p>
      <w:r>
        <w:br w:type="page"/>
      </w:r>
    </w:p>
    <w:p>
      <w:pPr>
        <w:pStyle w:val="Heading1"/>
        <w:keepNext/>
        <w:pageBreakBefore w:val="0"/>
      </w:pPr>
      <w:r>
        <w:rPr>
          <w:rFonts w:ascii="맑은 고딕" w:hAnsi="맑은 고딕" w:eastAsia="맑은 고딕" w:cs="맑은 고딕"/>
          <w:b/>
          <w:color w:val="161A58"/>
          <w:sz w:val="30"/>
        </w:rPr>
        <w:t>목차</w:t>
      </w:r>
    </w:p>
    <w:tbl>
      <w:tblPr>
        <w:jc w:val="center"/>
        <w:tblLook w:firstColumn="1" w:firstRow="1" w:lastColumn="0" w:lastRow="0" w:noHBand="0" w:noVBand="1" w:val="04A0"/>
        <w:tblBorders>
          <w:top w:val="single" w:color="161A58" w:sz="8"/>
          <w:left w:val="none" w:color="FFFFFF" w:sz="0"/>
          <w:bottom w:val="single" w:color="161A58" w:sz="8"/>
          <w:right w:val="none" w:color="FFFFFF" w:sz="0"/>
          <w:insideH w:val="single" w:color="D8DAE5" w:sz="2"/>
          <w:insideV w:val="single" w:color="D8DAE5" w:sz="2"/>
        </w:tblBorders>
        <w:tblW w:w="9072" w:type="dxa"/>
        <w:tblLayout w:type="fixed"/>
      </w:tblPr>
      <w:tblGrid>
        <w:gridCol w:w="3685"/>
        <w:gridCol w:w="850"/>
        <w:gridCol w:w="3685"/>
        <w:gridCol w:w="850"/>
      </w:tblGrid>
      <w:tr>
        <w:trPr>
          <w:cantSplit/>
          <w:tblHeader w:val="true"/>
        </w:trPr>
        <w:tc>
          <w:tcPr>
            <w:tcW w:type="dxa" w:w="3685"/>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장</w:t>
            </w:r>
          </w:p>
        </w:tc>
        <w:tc>
          <w:tcPr>
            <w:tcW w:type="dxa" w:w="850"/>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쪽</w:t>
            </w:r>
          </w:p>
        </w:tc>
        <w:tc>
          <w:tcPr>
            <w:tcW w:type="dxa" w:w="3685"/>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장</w:t>
            </w:r>
          </w:p>
        </w:tc>
        <w:tc>
          <w:tcPr>
            <w:tcW w:type="dxa" w:w="850"/>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쪽</w:t>
            </w:r>
          </w:p>
        </w:tc>
      </w:tr>
      <w:tr>
        <w:trPr>
          <w:cantSplit/>
        </w:trPr>
        <w:tc>
          <w:tcPr>
            <w:tcW w:type="dxa" w:w="3685"/>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SUMMARY</w:t>
            </w:r>
          </w:p>
        </w:tc>
        <w:tc>
          <w:tcPr>
            <w:tcW w:type="dxa" w:w="850"/>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2</w:t>
            </w:r>
          </w:p>
        </w:tc>
        <w:tc>
          <w:tcPr>
            <w:tcW w:type="dxa" w:w="3685"/>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4. 관점별 평가</w:t>
            </w:r>
          </w:p>
        </w:tc>
        <w:tc>
          <w:tcPr>
            <w:tcW w:type="dxa" w:w="850"/>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4</w:t>
            </w:r>
          </w:p>
        </w:tc>
      </w:tr>
      <w:tr>
        <w:trPr>
          <w:cantSplit/>
        </w:trPr>
        <w:tc>
          <w:tcPr>
            <w:tcW w:type="dxa" w:w="3685"/>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1. 분석 배경</w:t>
            </w:r>
          </w:p>
        </w:tc>
        <w:tc>
          <w:tcPr>
            <w:tcW w:type="dxa" w:w="850"/>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2</w:t>
            </w:r>
          </w:p>
        </w:tc>
        <w:tc>
          <w:tcPr>
            <w:tcW w:type="dxa" w:w="3685"/>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5. 시사점</w:t>
            </w:r>
          </w:p>
        </w:tc>
        <w:tc>
          <w:tcPr>
            <w:tcW w:type="dxa" w:w="850"/>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6</w:t>
            </w:r>
          </w:p>
        </w:tc>
      </w:tr>
      <w:tr>
        <w:trPr>
          <w:cantSplit/>
        </w:trPr>
        <w:tc>
          <w:tcPr>
            <w:tcW w:type="dxa" w:w="3685"/>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2. 기술 선정</w:t>
            </w:r>
          </w:p>
        </w:tc>
        <w:tc>
          <w:tcPr>
            <w:tcW w:type="dxa" w:w="850"/>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3</w:t>
            </w:r>
          </w:p>
        </w:tc>
        <w:tc>
          <w:tcPr>
            <w:tcW w:type="dxa" w:w="3685"/>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6. 한계점</w:t>
            </w:r>
          </w:p>
        </w:tc>
        <w:tc>
          <w:tcPr>
            <w:tcW w:type="dxa" w:w="850"/>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8</w:t>
            </w:r>
          </w:p>
        </w:tc>
      </w:tr>
      <w:tr>
        <w:trPr>
          <w:cantSplit/>
        </w:trPr>
        <w:tc>
          <w:tcPr>
            <w:tcW w:type="dxa" w:w="3685"/>
            <w:tcMar>
              <w:top w:w="70" w:type="dxa"/>
              <w:left w:w="90" w:type="dxa"/>
              <w:bottom w:w="70" w:type="dxa"/>
              <w:right w:w="90" w:type="dxa"/>
            </w:tcMar>
          </w:tcPr>
          <w:p>
            <w:pPr>
              <w:spacing w:after="0" w:line="276" w:lineRule="auto"/>
            </w:pPr>
            <w:r>
              <w:rPr>
                <w:rFonts w:ascii="맑은 고딕" w:hAnsi="맑은 고딕" w:eastAsia="맑은 고딕" w:cs="맑은 고딕"/>
                <w:b w:val="0"/>
                <w:sz w:val="17"/>
              </w:rPr>
              <w:t>3. 기술 개요</w:t>
            </w:r>
          </w:p>
        </w:tc>
        <w:tc>
          <w:tcPr>
            <w:tcW w:type="dxa" w:w="850"/>
            <w:tcMar>
              <w:top w:w="70" w:type="dxa"/>
              <w:left w:w="90" w:type="dxa"/>
              <w:bottom w:w="70" w:type="dxa"/>
              <w:right w:w="90" w:type="dxa"/>
            </w:tcMar>
          </w:tcPr>
          <w:p>
            <w:pPr>
              <w:spacing w:after="0" w:line="276" w:lineRule="auto"/>
            </w:pPr>
            <w:r>
              <w:rPr>
                <w:rFonts w:ascii="맑은 고딕" w:hAnsi="맑은 고딕" w:eastAsia="맑은 고딕" w:cs="맑은 고딕"/>
                <w:b w:val="0"/>
                <w:sz w:val="17"/>
              </w:rPr>
              <w:t>3</w:t>
            </w:r>
          </w:p>
        </w:tc>
        <w:tc>
          <w:tcPr>
            <w:tcW w:type="dxa" w:w="3685"/>
            <w:tcMar>
              <w:top w:w="70" w:type="dxa"/>
              <w:left w:w="90" w:type="dxa"/>
              <w:bottom w:w="70" w:type="dxa"/>
              <w:right w:w="90" w:type="dxa"/>
            </w:tcMar>
          </w:tcPr>
          <w:p>
            <w:pPr>
              <w:spacing w:after="0" w:line="276" w:lineRule="auto"/>
            </w:pPr>
            <w:r>
              <w:rPr>
                <w:rFonts w:ascii="맑은 고딕" w:hAnsi="맑은 고딕" w:eastAsia="맑은 고딕" w:cs="맑은 고딕"/>
                <w:b w:val="0"/>
                <w:sz w:val="17"/>
              </w:rPr>
              <w:t>REFERENCE</w:t>
            </w:r>
          </w:p>
        </w:tc>
        <w:tc>
          <w:tcPr>
            <w:tcW w:type="dxa" w:w="850"/>
            <w:tcMar>
              <w:top w:w="70" w:type="dxa"/>
              <w:left w:w="90" w:type="dxa"/>
              <w:bottom w:w="70" w:type="dxa"/>
              <w:right w:w="90" w:type="dxa"/>
            </w:tcMar>
          </w:tcPr>
          <w:p>
            <w:pPr>
              <w:spacing w:after="0" w:line="276" w:lineRule="auto"/>
            </w:pPr>
            <w:r>
              <w:rPr>
                <w:rFonts w:ascii="맑은 고딕" w:hAnsi="맑은 고딕" w:eastAsia="맑은 고딕" w:cs="맑은 고딕"/>
                <w:b w:val="0"/>
                <w:sz w:val="17"/>
              </w:rPr>
              <w:t>9</w:t>
            </w:r>
          </w:p>
        </w:tc>
      </w:tr>
    </w:tbl>
    <w:p>
      <w:pPr>
        <w:spacing w:after="80" w:line="324" w:lineRule="auto"/>
      </w:pPr>
    </w:p>
    <w:p>
      <w:pPr>
        <w:pStyle w:val="Heading1"/>
        <w:keepNext/>
        <w:pageBreakBefore w:val="0"/>
      </w:pPr>
      <w:r>
        <w:rPr>
          <w:rFonts w:ascii="맑은 고딕" w:hAnsi="맑은 고딕" w:eastAsia="맑은 고딕" w:cs="맑은 고딕"/>
          <w:b/>
          <w:color w:val="161A58"/>
          <w:sz w:val="30"/>
        </w:rPr>
        <w:t>SUMMARY</w:t>
      </w:r>
    </w:p>
    <w:p>
      <w:pPr>
        <w:spacing w:after="40" w:line="312" w:lineRule="auto"/>
        <w:ind w:left="312" w:hanging="227"/>
      </w:pPr>
      <w:r>
        <w:rPr>
          <w:rFonts w:ascii="맑은 고딕" w:hAnsi="맑은 고딕" w:eastAsia="맑은 고딕" w:cs="맑은 고딕"/>
          <w:b/>
          <w:color w:val="7F4ACB"/>
          <w:sz w:val="20"/>
        </w:rPr>
        <w:t xml:space="preserve">• </w:t>
      </w:r>
      <w:r>
        <w:rPr>
          <w:rFonts w:ascii="맑은 고딕" w:hAnsi="맑은 고딕" w:eastAsia="맑은 고딕" w:cs="맑은 고딕"/>
          <w:b w:val="0"/>
          <w:sz w:val="20"/>
        </w:rPr>
        <w:t>TurboQuant: TRL 4–5(추정, 신뢰도 높음), 시장성 4.35†, 이해관계자 4.50†, 도메인 적합성 4.78† [1, p.15; 3]</w:t>
      </w:r>
    </w:p>
    <w:p>
      <w:pPr>
        <w:spacing w:after="40" w:line="312" w:lineRule="auto"/>
        <w:ind w:left="312" w:hanging="227"/>
      </w:pPr>
      <w:r>
        <w:rPr>
          <w:rFonts w:ascii="맑은 고딕" w:hAnsi="맑은 고딕" w:eastAsia="맑은 고딕" w:cs="맑은 고딕"/>
          <w:b/>
          <w:color w:val="7F4ACB"/>
          <w:sz w:val="20"/>
        </w:rPr>
        <w:t xml:space="preserve">• </w:t>
      </w:r>
      <w:r>
        <w:rPr>
          <w:rFonts w:ascii="맑은 고딕" w:hAnsi="맑은 고딕" w:eastAsia="맑은 고딕" w:cs="맑은 고딕"/>
          <w:b w:val="0"/>
          <w:sz w:val="20"/>
        </w:rPr>
        <w:t>ITME: TRL 5–6(추정, 신뢰도 보통), 시장성 판단 보류, 이해관계자 5.00†, 도메인 적합성 판단 보류 [2, p.8]</w:t>
      </w:r>
    </w:p>
    <w:p>
      <w:pPr>
        <w:spacing w:after="40" w:line="312" w:lineRule="auto"/>
        <w:ind w:left="312" w:hanging="227"/>
      </w:pPr>
      <w:r>
        <w:rPr>
          <w:rFonts w:ascii="맑은 고딕" w:hAnsi="맑은 고딕" w:eastAsia="맑은 고딕" w:cs="맑은 고딕"/>
          <w:b/>
          <w:color w:val="7F4ACB"/>
          <w:sz w:val="20"/>
        </w:rPr>
        <w:t xml:space="preserve">• </w:t>
      </w:r>
      <w:r>
        <w:rPr>
          <w:rFonts w:ascii="맑은 고딕" w:hAnsi="맑은 고딕" w:eastAsia="맑은 고딕" w:cs="맑은 고딕"/>
          <w:b w:val="0"/>
          <w:sz w:val="20"/>
        </w:rPr>
        <w:t>가설 판정: H1 부분 지지, H2 기각, H3 판단 보류, H4 부분 지지 [2, p.2·8]</w:t>
      </w:r>
    </w:p>
    <w:p>
      <w:pPr>
        <w:spacing w:after="40" w:line="312" w:lineRule="auto"/>
        <w:ind w:left="312" w:hanging="227"/>
      </w:pPr>
      <w:r>
        <w:rPr>
          <w:rFonts w:ascii="맑은 고딕" w:hAnsi="맑은 고딕" w:eastAsia="맑은 고딕" w:cs="맑은 고딕"/>
          <w:b/>
          <w:color w:val="7F4ACB"/>
          <w:sz w:val="20"/>
        </w:rPr>
        <w:t xml:space="preserve">• </w:t>
      </w:r>
      <w:r>
        <w:rPr>
          <w:rFonts w:ascii="맑은 고딕" w:hAnsi="맑은 고딕" w:eastAsia="맑은 고딕" w:cs="맑은 고딕"/>
          <w:b w:val="0"/>
          <w:sz w:val="20"/>
        </w:rPr>
        <w:t>TurboQuant은 NVIDIA A100 및 RTX 3090 GPU에서 실험적 검증과 오픈소스 구현을 통해 TRL 4~5 단계에 도달했다[1, p.15; 4; 5; 3; 6; 7].</w:t>
      </w:r>
    </w:p>
    <w:p>
      <w:pPr>
        <w:spacing w:after="40" w:line="312" w:lineRule="auto"/>
        <w:ind w:left="312" w:hanging="227"/>
      </w:pPr>
      <w:r>
        <w:rPr>
          <w:rFonts w:ascii="맑은 고딕" w:hAnsi="맑은 고딕" w:eastAsia="맑은 고딕" w:cs="맑은 고딕"/>
          <w:b/>
          <w:color w:val="7F4ACB"/>
          <w:sz w:val="20"/>
        </w:rPr>
        <w:t xml:space="preserve">• </w:t>
      </w:r>
      <w:r>
        <w:rPr>
          <w:rFonts w:ascii="맑은 고딕" w:hAnsi="맑은 고딕" w:eastAsia="맑은 고딕" w:cs="맑은 고딕"/>
          <w:b w:val="0"/>
          <w:sz w:val="20"/>
        </w:rPr>
        <w:t>ITME는 FPGA 프로토타입과 실제 GPU 및 CXL 하이브리드 메모리 환경에서 성능 검증을 거쳐 TRL 5~6 단계로 추정된다[2, p.2·8·10; 8].</w:t>
      </w:r>
    </w:p>
    <w:p>
      <w:pPr>
        <w:spacing w:after="40" w:line="312" w:lineRule="auto"/>
        <w:ind w:left="312" w:hanging="227"/>
      </w:pPr>
      <w:r>
        <w:rPr>
          <w:rFonts w:ascii="맑은 고딕" w:hAnsi="맑은 고딕" w:eastAsia="맑은 고딕" w:cs="맑은 고딕"/>
          <w:b/>
          <w:color w:val="7F4ACB"/>
          <w:sz w:val="20"/>
        </w:rPr>
        <w:t xml:space="preserve">• </w:t>
      </w:r>
      <w:r>
        <w:rPr>
          <w:rFonts w:ascii="맑은 고딕" w:hAnsi="맑은 고딕" w:eastAsia="맑은 고딕" w:cs="맑은 고딕"/>
          <w:b w:val="0"/>
          <w:sz w:val="20"/>
        </w:rPr>
        <w:t>우열이나 추천이 아니라 관점별 평가 차이와 그 근거를 정리한 결과이다(판단 보류는 근거 부족을 뜻함).</w:t>
      </w:r>
    </w:p>
    <w:p>
      <w:pPr>
        <w:spacing w:after="80" w:line="324" w:lineRule="auto"/>
      </w:pPr>
      <w:r>
        <w:rPr>
          <w:rFonts w:ascii="맑은 고딕" w:hAnsi="맑은 고딕" w:eastAsia="맑은 고딕" w:cs="맑은 고딕"/>
          <w:b w:val="0"/>
          <w:sz w:val="20"/>
        </w:rPr>
        <w:t>† 잠정 점수: 이 관점은 재시도 1회 후에도 Judge 근거 기준(출처 계열 비중·찬반 근거 계열 수)에 미달해 해석이 제한된다(6장 참고).</w:t>
      </w:r>
    </w:p>
    <w:p>
      <w:pPr>
        <w:pStyle w:val="Heading1"/>
        <w:keepNext/>
        <w:pageBreakBefore w:val="0"/>
      </w:pPr>
      <w:r>
        <w:rPr>
          <w:rFonts w:ascii="맑은 고딕" w:hAnsi="맑은 고딕" w:eastAsia="맑은 고딕" w:cs="맑은 고딕"/>
          <w:b/>
          <w:color w:val="161A58"/>
          <w:sz w:val="30"/>
        </w:rPr>
        <w:t>1. 분석 배경</w:t>
      </w:r>
    </w:p>
    <w:p>
      <w:pPr>
        <w:pStyle w:val="Heading2"/>
        <w:keepNext/>
      </w:pPr>
      <w:r>
        <w:rPr>
          <w:rFonts w:ascii="맑은 고딕" w:hAnsi="맑은 고딕" w:eastAsia="맑은 고딕" w:cs="맑은 고딕"/>
          <w:b/>
          <w:color w:val="161A58"/>
          <w:sz w:val="25"/>
        </w:rPr>
        <w:t>1.1 KV cache 병목</w:t>
      </w:r>
    </w:p>
    <w:p>
      <w:pPr>
        <w:spacing w:after="80" w:line="324" w:lineRule="auto"/>
      </w:pPr>
      <w:r>
        <w:rPr>
          <w:rFonts w:ascii="맑은 고딕" w:hAnsi="맑은 고딕" w:eastAsia="맑은 고딕" w:cs="맑은 고딕"/>
          <w:b w:val="0"/>
          <w:sz w:val="20"/>
        </w:rPr>
        <w:t>LLM은 토큰을 생성하면서 앞에서 계산한 Key·Value를 KV cache에 저장해 다시 쓰고, 그 크기는 문맥 길이와 동시 요청 수에 비례해 커진다. 두 기술의 원 논문도 이 메모리 병목을 출발점으로 삼는다 [1, p.1; 2, p.1]. Llama-3.1-8B(레이어 32, KV 헤드 8, 헤드 차원 128, FP16) 기준으로 토큰 하나에 128 KiB, 128K 토큰 요청 한 건에 16 GiB가 필요하다(조 계산, 설계서 A.1).</w:t>
      </w:r>
    </w:p>
    <w:p>
      <w:pPr>
        <w:pStyle w:val="Heading2"/>
        <w:keepNext/>
      </w:pPr>
      <w:r>
        <w:rPr>
          <w:rFonts w:ascii="맑은 고딕" w:hAnsi="맑은 고딕" w:eastAsia="맑은 고딕" w:cs="맑은 고딕"/>
          <w:b/>
          <w:color w:val="161A58"/>
          <w:sz w:val="25"/>
        </w:rPr>
        <w:t>1.2 분석 질문과 가설</w:t>
      </w:r>
    </w:p>
    <w:tbl>
      <w:tblPr>
        <w:jc w:val="center"/>
        <w:tblLook w:firstColumn="1" w:firstRow="1" w:lastColumn="0" w:lastRow="0" w:noHBand="0" w:noVBand="1" w:val="04A0"/>
        <w:tblBorders>
          <w:top w:val="single" w:color="161A58" w:sz="8"/>
          <w:left w:val="none" w:color="FFFFFF" w:sz="0"/>
          <w:bottom w:val="single" w:color="161A58" w:sz="8"/>
          <w:right w:val="none" w:color="FFFFFF" w:sz="0"/>
          <w:insideH w:val="single" w:color="D8DAE5" w:sz="2"/>
          <w:insideV w:val="single" w:color="D8DAE5" w:sz="2"/>
        </w:tblBorders>
        <w:tblW w:w="9072" w:type="dxa"/>
        <w:tblLayout w:type="fixed"/>
      </w:tblPr>
      <w:tblGrid>
        <w:gridCol w:w="1134"/>
        <w:gridCol w:w="7938"/>
      </w:tblGrid>
      <w:tr>
        <w:trPr>
          <w:cantSplit/>
          <w:tblHeader w:val="true"/>
        </w:trPr>
        <w:tc>
          <w:tcPr>
            <w:tcW w:type="dxa" w:w="1134"/>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구분</w:t>
            </w:r>
          </w:p>
        </w:tc>
        <w:tc>
          <w:tcPr>
            <w:tcW w:type="dxa" w:w="7937"/>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내용</w:t>
            </w:r>
          </w:p>
        </w:tc>
      </w:tr>
      <w:tr>
        <w:trPr>
          <w:cantSplit/>
        </w:trPr>
        <w:tc>
          <w:tcPr>
            <w:tcW w:type="dxa" w:w="113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Q1</w:t>
            </w:r>
          </w:p>
        </w:tc>
        <w:tc>
          <w:tcPr>
            <w:tcW w:type="dxa" w:w="793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두 기술은 관점마다 어떤 근거로 어떻게 평가되는가</w:t>
            </w:r>
          </w:p>
        </w:tc>
      </w:tr>
      <w:tr>
        <w:trPr>
          <w:cantSplit/>
        </w:trPr>
        <w:tc>
          <w:tcPr>
            <w:tcW w:type="dxa" w:w="113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Q2</w:t>
            </w:r>
          </w:p>
        </w:tc>
        <w:tc>
          <w:tcPr>
            <w:tcW w:type="dxa" w:w="793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관점끼리 어디서 일치하고 어디서 엇갈리며, 그 이유는 무엇인가</w:t>
            </w:r>
          </w:p>
        </w:tc>
      </w:tr>
      <w:tr>
        <w:trPr>
          <w:cantSplit/>
        </w:trPr>
        <w:tc>
          <w:tcPr>
            <w:tcW w:type="dxa" w:w="113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Q3</w:t>
            </w:r>
          </w:p>
        </w:tc>
        <w:tc>
          <w:tcPr>
            <w:tcW w:type="dxa" w:w="793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워크로드(W1, W2)와 함께 쓰는 경우에 따라 평가 조건이 어떻게 달라지는가</w:t>
            </w:r>
          </w:p>
        </w:tc>
      </w:tr>
      <w:tr>
        <w:trPr>
          <w:cantSplit/>
        </w:trPr>
        <w:tc>
          <w:tcPr>
            <w:tcW w:type="dxa" w:w="113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H1</w:t>
            </w:r>
          </w:p>
        </w:tc>
        <w:tc>
          <w:tcPr>
            <w:tcW w:type="dxa" w:w="793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기술 성숙도와 시장의 평가는 같은 방향이 아닐 수 있다(TRL×시장 격자로 판정)</w:t>
            </w:r>
          </w:p>
        </w:tc>
      </w:tr>
      <w:tr>
        <w:trPr>
          <w:cantSplit/>
        </w:trPr>
        <w:tc>
          <w:tcPr>
            <w:tcW w:type="dxa" w:w="113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H2</w:t>
            </w:r>
          </w:p>
        </w:tc>
        <w:tc>
          <w:tcPr>
            <w:tcW w:type="dxa" w:w="793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이해관계자 반응은 기술 자체보다 속한 생태계의 영향을 더 받을 수 있다</w:t>
            </w:r>
          </w:p>
        </w:tc>
      </w:tr>
      <w:tr>
        <w:trPr>
          <w:cantSplit/>
        </w:trPr>
        <w:tc>
          <w:tcPr>
            <w:tcW w:type="dxa" w:w="113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H3</w:t>
            </w:r>
          </w:p>
        </w:tc>
        <w:tc>
          <w:tcPr>
            <w:tcW w:type="dxa" w:w="793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같은 도메인 안에서도 W1과 W2에 따라 적용 조건과 제약에 대한 평가가 달라질 수 있다</w:t>
            </w:r>
          </w:p>
        </w:tc>
      </w:tr>
      <w:tr>
        <w:trPr>
          <w:cantSplit/>
        </w:trPr>
        <w:tc>
          <w:tcPr>
            <w:tcW w:type="dxa" w:w="1134"/>
            <w:tcMar>
              <w:top w:w="70" w:type="dxa"/>
              <w:left w:w="90" w:type="dxa"/>
              <w:bottom w:w="70" w:type="dxa"/>
              <w:right w:w="90" w:type="dxa"/>
            </w:tcMar>
          </w:tcPr>
          <w:p>
            <w:pPr>
              <w:spacing w:after="0" w:line="276" w:lineRule="auto"/>
            </w:pPr>
            <w:r>
              <w:rPr>
                <w:rFonts w:ascii="맑은 고딕" w:hAnsi="맑은 고딕" w:eastAsia="맑은 고딕" w:cs="맑은 고딕"/>
                <w:b w:val="0"/>
                <w:sz w:val="17"/>
              </w:rPr>
              <w:t>H4</w:t>
            </w:r>
          </w:p>
        </w:tc>
        <w:tc>
          <w:tcPr>
            <w:tcW w:type="dxa" w:w="7937"/>
            <w:tcMar>
              <w:top w:w="70" w:type="dxa"/>
              <w:left w:w="90" w:type="dxa"/>
              <w:bottom w:w="70" w:type="dxa"/>
              <w:right w:w="90" w:type="dxa"/>
            </w:tcMar>
          </w:tcPr>
          <w:p>
            <w:pPr>
              <w:spacing w:after="0" w:line="276" w:lineRule="auto"/>
            </w:pPr>
            <w:r>
              <w:rPr>
                <w:rFonts w:ascii="맑은 고딕" w:hAnsi="맑은 고딕" w:eastAsia="맑은 고딕" w:cs="맑은 고딕"/>
                <w:b w:val="0"/>
                <w:sz w:val="17"/>
              </w:rPr>
              <w:t>두 방식은 경쟁보다 보완 관계일 수 있다</w:t>
            </w:r>
          </w:p>
        </w:tc>
      </w:tr>
    </w:tbl>
    <w:p>
      <w:pPr>
        <w:spacing w:after="80" w:line="324" w:lineRule="auto"/>
      </w:pPr>
    </w:p>
    <w:p>
      <w:pPr>
        <w:pStyle w:val="Heading1"/>
        <w:keepNext/>
        <w:pageBreakBefore w:val="0"/>
      </w:pPr>
      <w:r>
        <w:rPr>
          <w:rFonts w:ascii="맑은 고딕" w:hAnsi="맑은 고딕" w:eastAsia="맑은 고딕" w:cs="맑은 고딕"/>
          <w:b/>
          <w:color w:val="161A58"/>
          <w:sz w:val="30"/>
        </w:rPr>
        <w:t>2. 기술 선정</w:t>
      </w:r>
    </w:p>
    <w:p>
      <w:pPr>
        <w:pStyle w:val="Heading2"/>
        <w:keepNext/>
      </w:pPr>
      <w:r>
        <w:rPr>
          <w:rFonts w:ascii="맑은 고딕" w:hAnsi="맑은 고딕" w:eastAsia="맑은 고딕" w:cs="맑은 고딕"/>
          <w:b/>
          <w:color w:val="161A58"/>
          <w:sz w:val="25"/>
        </w:rPr>
        <w:t>2.1 선정 방식과 기준</w:t>
      </w:r>
    </w:p>
    <w:p>
      <w:pPr>
        <w:spacing w:after="80" w:line="324" w:lineRule="auto"/>
      </w:pPr>
      <w:r>
        <w:rPr>
          <w:rFonts w:ascii="맑은 고딕" w:hAnsi="맑은 고딕" w:eastAsia="맑은 고딕" w:cs="맑은 고딕"/>
          <w:b w:val="0"/>
          <w:sz w:val="20"/>
        </w:rPr>
        <w:t>가이드의 두 방식 중 조가 직접 고르는 2안을 택했다. Doc Pool 후보 6개를 비교 공정성 35%, 근거 확보성 25%, 산업 연관성 25%, 최신성 15%로 채점하고, KV cache를 직접 다루지 않거나 적용 시점이 크게 다른 후보는 제외했다(설계서 A.2). 에이전트는 선정을 바꾸지 않고 원문 근거로 검증만 한다.</w:t>
      </w:r>
    </w:p>
    <w:p>
      <w:pPr>
        <w:pStyle w:val="Heading2"/>
        <w:keepNext/>
      </w:pPr>
      <w:r>
        <w:rPr>
          <w:rFonts w:ascii="맑은 고딕" w:hAnsi="맑은 고딕" w:eastAsia="맑은 고딕" w:cs="맑은 고딕"/>
          <w:b/>
          <w:color w:val="161A58"/>
          <w:sz w:val="25"/>
        </w:rPr>
        <w:t>2.2 선정 결과와 사유</w:t>
      </w:r>
    </w:p>
    <w:p>
      <w:pPr>
        <w:spacing w:after="40" w:line="312" w:lineRule="auto"/>
        <w:ind w:left="312" w:hanging="227"/>
      </w:pPr>
      <w:r>
        <w:rPr>
          <w:rFonts w:ascii="맑은 고딕" w:hAnsi="맑은 고딕" w:eastAsia="맑은 고딕" w:cs="맑은 고딕"/>
          <w:b/>
          <w:color w:val="7F4ACB"/>
          <w:sz w:val="20"/>
        </w:rPr>
        <w:t xml:space="preserve">• </w:t>
      </w:r>
      <w:r>
        <w:rPr>
          <w:rFonts w:ascii="맑은 고딕" w:hAnsi="맑은 고딕" w:eastAsia="맑은 고딕" w:cs="맑은 고딕"/>
          <w:b/>
          <w:color w:val="161A58"/>
          <w:sz w:val="20"/>
        </w:rPr>
        <w:t>TurboQuant</w:t>
      </w:r>
      <w:r>
        <w:rPr>
          <w:rFonts w:ascii="맑은 고딕" w:hAnsi="맑은 고딕" w:eastAsia="맑은 고딕" w:cs="맑은 고딕"/>
          <w:b w:val="0"/>
          <w:sz w:val="20"/>
        </w:rPr>
        <w:t xml:space="preserve"> (Google, SW): 후보 6개 가중합 SW 최고점(4.35). 재학습 없이 서빙 단계에서 KV를 양자화한다 [1, p.1]</w:t>
      </w:r>
    </w:p>
    <w:p>
      <w:pPr>
        <w:spacing w:after="40" w:line="312" w:lineRule="auto"/>
        <w:ind w:left="312" w:hanging="227"/>
      </w:pPr>
      <w:r>
        <w:rPr>
          <w:rFonts w:ascii="맑은 고딕" w:hAnsi="맑은 고딕" w:eastAsia="맑은 고딕" w:cs="맑은 고딕"/>
          <w:b/>
          <w:color w:val="7F4ACB"/>
          <w:sz w:val="20"/>
        </w:rPr>
        <w:t xml:space="preserve">• </w:t>
      </w:r>
      <w:r>
        <w:rPr>
          <w:rFonts w:ascii="맑은 고딕" w:hAnsi="맑은 고딕" w:eastAsia="맑은 고딕" w:cs="맑은 고딕"/>
          <w:b/>
          <w:color w:val="161A58"/>
          <w:sz w:val="20"/>
        </w:rPr>
        <w:t>ITME</w:t>
      </w:r>
      <w:r>
        <w:rPr>
          <w:rFonts w:ascii="맑은 고딕" w:hAnsi="맑은 고딕" w:eastAsia="맑은 고딕" w:cs="맑은 고딕"/>
          <w:b w:val="0"/>
          <w:sz w:val="20"/>
        </w:rPr>
        <w:t xml:space="preserve"> (SK hynix, HW): 후보 6개 가중합 HW 최고점(4.50). vLLM 위의 서빙 계층 기술로 모델을 바꾸지 않고 KV 공간을 CXL-hybrid 메모리로 넓힌다 [2, p.1]</w:t>
      </w:r>
    </w:p>
    <w:p>
      <w:pPr>
        <w:pStyle w:val="Heading1"/>
        <w:keepNext/>
        <w:pageBreakBefore w:val="0"/>
      </w:pPr>
      <w:r>
        <w:rPr>
          <w:rFonts w:ascii="맑은 고딕" w:hAnsi="맑은 고딕" w:eastAsia="맑은 고딕" w:cs="맑은 고딕"/>
          <w:b/>
          <w:color w:val="161A58"/>
          <w:sz w:val="30"/>
        </w:rPr>
        <w:t>3. 기술 개요</w:t>
      </w:r>
    </w:p>
    <w:p>
      <w:pPr>
        <w:pStyle w:val="Heading2"/>
        <w:keepNext/>
      </w:pPr>
      <w:r>
        <w:rPr>
          <w:rFonts w:ascii="맑은 고딕" w:hAnsi="맑은 고딕" w:eastAsia="맑은 고딕" w:cs="맑은 고딕"/>
          <w:b/>
          <w:color w:val="161A58"/>
          <w:sz w:val="25"/>
        </w:rPr>
        <w:t>3.1 TurboQuant</w:t>
      </w:r>
    </w:p>
    <w:p>
      <w:pPr>
        <w:spacing w:after="40" w:line="312" w:lineRule="auto"/>
        <w:ind w:left="312" w:hanging="227"/>
      </w:pPr>
      <w:r>
        <w:rPr>
          <w:rFonts w:ascii="맑은 고딕" w:hAnsi="맑은 고딕" w:eastAsia="맑은 고딕" w:cs="맑은 고딕"/>
          <w:b/>
          <w:color w:val="7F4ACB"/>
          <w:sz w:val="20"/>
        </w:rPr>
        <w:t xml:space="preserve">• </w:t>
      </w:r>
      <w:r>
        <w:rPr>
          <w:rFonts w:ascii="맑은 고딕" w:hAnsi="맑은 고딕" w:eastAsia="맑은 고딕" w:cs="맑은 고딕"/>
          <w:b/>
          <w:color w:val="161A58"/>
          <w:sz w:val="20"/>
        </w:rPr>
        <w:t>작동 원리</w:t>
      </w:r>
      <w:r>
        <w:rPr>
          <w:rFonts w:ascii="맑은 고딕" w:hAnsi="맑은 고딕" w:eastAsia="맑은 고딕" w:cs="맑은 고딕"/>
          <w:b w:val="0"/>
          <w:sz w:val="20"/>
        </w:rPr>
        <w:t>: TurboQuant은 입력 벡터를 무작위로 회전시켜 각 좌표가 베타 분포를 따르도록 유도하고, 고차원에서 좌표 간 독립성에 기반해 각 좌표별로 최적의 스칼라 양자화기를 적용하는 두 단계 방식으로 작동한다. 첫 단계에서는 평균제곱오차(MSE)에 최적화된 벡터 양자화를 수행하고, 두 번째 단계에서는 잔차에 1비트 양자화를 적용해 내적 왜곡을 줄인다 [1, p.1·2].</w:t>
      </w:r>
    </w:p>
    <w:p>
      <w:pPr>
        <w:spacing w:after="40" w:line="312" w:lineRule="auto"/>
        <w:ind w:left="312" w:hanging="227"/>
      </w:pPr>
      <w:r>
        <w:rPr>
          <w:rFonts w:ascii="맑은 고딕" w:hAnsi="맑은 고딕" w:eastAsia="맑은 고딕" w:cs="맑은 고딕"/>
          <w:b/>
          <w:color w:val="7F4ACB"/>
          <w:sz w:val="20"/>
        </w:rPr>
        <w:t xml:space="preserve">• </w:t>
      </w:r>
      <w:r>
        <w:rPr>
          <w:rFonts w:ascii="맑은 고딕" w:hAnsi="맑은 고딕" w:eastAsia="맑은 고딕" w:cs="맑은 고딕"/>
          <w:b/>
          <w:color w:val="161A58"/>
          <w:sz w:val="20"/>
        </w:rPr>
        <w:t>실험 조건</w:t>
      </w:r>
      <w:r>
        <w:rPr>
          <w:rFonts w:ascii="맑은 고딕" w:hAnsi="맑은 고딕" w:eastAsia="맑은 고딕" w:cs="맑은 고딕"/>
          <w:b w:val="0"/>
          <w:sz w:val="20"/>
        </w:rPr>
        <w:t>: KV cache 양자화 실험은 Llama-3.1-8B-Instruct 및 Ministral-7B-Instruct 모델을 사용하였으며, LongBench 데이터셋의 LongBench-E 서브셋을 통해 다양한 문맥 길이에 대해 평가하였다 [1, p.18·19].</w:t>
      </w:r>
    </w:p>
    <w:p>
      <w:pPr>
        <w:spacing w:after="40" w:line="312" w:lineRule="auto"/>
        <w:ind w:left="312" w:hanging="227"/>
      </w:pPr>
      <w:r>
        <w:rPr>
          <w:rFonts w:ascii="맑은 고딕" w:hAnsi="맑은 고딕" w:eastAsia="맑은 고딕" w:cs="맑은 고딕"/>
          <w:b/>
          <w:color w:val="7F4ACB"/>
          <w:sz w:val="20"/>
        </w:rPr>
        <w:t xml:space="preserve">• </w:t>
      </w:r>
      <w:r>
        <w:rPr>
          <w:rFonts w:ascii="맑은 고딕" w:hAnsi="맑은 고딕" w:eastAsia="맑은 고딕" w:cs="맑은 고딕"/>
          <w:b/>
          <w:color w:val="161A58"/>
          <w:sz w:val="20"/>
        </w:rPr>
        <w:t>보고된 성능</w:t>
      </w:r>
      <w:r>
        <w:rPr>
          <w:rFonts w:ascii="맑은 고딕" w:hAnsi="맑은 고딕" w:eastAsia="맑은 고딕" w:cs="맑은 고딕"/>
          <w:b w:val="0"/>
          <w:sz w:val="20"/>
        </w:rPr>
        <w:t>: TurboQuant은 LongBench 데이터셋에서 기존 KIVI 및 PolarQuant 방법보다 높은 평균 성능 점수를 기록하였으며, 스트리밍 생성 과정에서도 양자화를 적용하여 성능을 유지하였다 [1, p.18·19·20].</w:t>
      </w:r>
    </w:p>
    <w:p>
      <w:pPr>
        <w:spacing w:after="40" w:line="312" w:lineRule="auto"/>
        <w:ind w:left="312" w:hanging="227"/>
      </w:pPr>
      <w:r>
        <w:rPr>
          <w:rFonts w:ascii="맑은 고딕" w:hAnsi="맑은 고딕" w:eastAsia="맑은 고딕" w:cs="맑은 고딕"/>
          <w:b/>
          <w:color w:val="7F4ACB"/>
          <w:sz w:val="20"/>
        </w:rPr>
        <w:t xml:space="preserve">• </w:t>
      </w:r>
      <w:r>
        <w:rPr>
          <w:rFonts w:ascii="맑은 고딕" w:hAnsi="맑은 고딕" w:eastAsia="맑은 고딕" w:cs="맑은 고딕"/>
          <w:b/>
          <w:color w:val="161A58"/>
          <w:sz w:val="20"/>
        </w:rPr>
        <w:t>한계</w:t>
      </w:r>
      <w:r>
        <w:rPr>
          <w:rFonts w:ascii="맑은 고딕" w:hAnsi="맑은 고딕" w:eastAsia="맑은 고딕" w:cs="맑은 고딕"/>
          <w:b w:val="0"/>
          <w:sz w:val="20"/>
        </w:rPr>
        <w:t>: TurboQuant은 좌표별 독립성 가정과 베타 분포 모델링에 기반하므로, 입력 벡터가 이 가정을 크게 벗어나는 경우 최적의 왜곡률을 보장하지 못할 수 있다. 또한, 고차원에서의 무작위 회전 및 최적 스칼라 양자화 적용이 계산 비용과 구현 복잡도를 증가시킬 수 있다 [1, p.1·2].</w:t>
      </w:r>
    </w:p>
    <w:p>
      <w:pPr>
        <w:pStyle w:val="Heading2"/>
        <w:keepNext/>
      </w:pPr>
      <w:r>
        <w:rPr>
          <w:rFonts w:ascii="맑은 고딕" w:hAnsi="맑은 고딕" w:eastAsia="맑은 고딕" w:cs="맑은 고딕"/>
          <w:b/>
          <w:color w:val="161A58"/>
          <w:sz w:val="25"/>
        </w:rPr>
        <w:t>3.2 ITME</w:t>
      </w:r>
    </w:p>
    <w:p>
      <w:pPr>
        <w:spacing w:after="40" w:line="312" w:lineRule="auto"/>
        <w:ind w:left="312" w:hanging="227"/>
      </w:pPr>
      <w:r>
        <w:rPr>
          <w:rFonts w:ascii="맑은 고딕" w:hAnsi="맑은 고딕" w:eastAsia="맑은 고딕" w:cs="맑은 고딕"/>
          <w:b/>
          <w:color w:val="7F4ACB"/>
          <w:sz w:val="20"/>
        </w:rPr>
        <w:t xml:space="preserve">• </w:t>
      </w:r>
      <w:r>
        <w:rPr>
          <w:rFonts w:ascii="맑은 고딕" w:hAnsi="맑은 고딕" w:eastAsia="맑은 고딕" w:cs="맑은 고딕"/>
          <w:b/>
          <w:color w:val="161A58"/>
          <w:sz w:val="20"/>
        </w:rPr>
        <w:t>작동 원리</w:t>
      </w:r>
      <w:r>
        <w:rPr>
          <w:rFonts w:ascii="맑은 고딕" w:hAnsi="맑은 고딕" w:eastAsia="맑은 고딕" w:cs="맑은 고딕"/>
          <w:b w:val="0"/>
          <w:sz w:val="20"/>
        </w:rPr>
        <w:t>: ITME는 대규모 언어 모델(LLM) 추론에서 키-값(KV) 캐시를 다중 계층 메모리 구조를 통해 효율적으로 관리한다. GPU 메모리, 호스트 메모리, NVMe SSD, 클러스터 공유 저장소 등 계층별 특성을 활용하여 예측 가능하고 대용량인 모델 가중치와 장기 컨텍스트 KV 캐시를 원격 확장 계층으로 오프로드함으로써 접근 지연을 숨긴다 [2, p.1·2·6].</w:t>
      </w:r>
    </w:p>
    <w:p>
      <w:pPr>
        <w:spacing w:after="40" w:line="312" w:lineRule="auto"/>
        <w:ind w:left="312" w:hanging="227"/>
      </w:pPr>
      <w:r>
        <w:rPr>
          <w:rFonts w:ascii="맑은 고딕" w:hAnsi="맑은 고딕" w:eastAsia="맑은 고딕" w:cs="맑은 고딕"/>
          <w:b/>
          <w:color w:val="7F4ACB"/>
          <w:sz w:val="20"/>
        </w:rPr>
        <w:t xml:space="preserve">• </w:t>
      </w:r>
      <w:r>
        <w:rPr>
          <w:rFonts w:ascii="맑은 고딕" w:hAnsi="맑은 고딕" w:eastAsia="맑은 고딕" w:cs="맑은 고딕"/>
          <w:b/>
          <w:color w:val="161A58"/>
          <w:sz w:val="20"/>
        </w:rPr>
        <w:t>실험 조건</w:t>
      </w:r>
      <w:r>
        <w:rPr>
          <w:rFonts w:ascii="맑은 고딕" w:hAnsi="맑은 고딕" w:eastAsia="맑은 고딕" w:cs="맑은 고딕"/>
          <w:b w:val="0"/>
          <w:sz w:val="20"/>
        </w:rPr>
        <w:t>: LLM 추론 실험은 Llama-3.1 8B 및 70B 모델을 사용하였으며, ShareGPT 데이터셋에서 128개의 동시 대화, 각 대화는 최소 2000 토큰, 최대 5턴으로 구성되었다 [2, p.10].</w:t>
      </w:r>
    </w:p>
    <w:p>
      <w:pPr>
        <w:spacing w:after="40" w:line="312" w:lineRule="auto"/>
        <w:ind w:left="312" w:hanging="227"/>
      </w:pPr>
      <w:r>
        <w:rPr>
          <w:rFonts w:ascii="맑은 고딕" w:hAnsi="맑은 고딕" w:eastAsia="맑은 고딕" w:cs="맑은 고딕"/>
          <w:b/>
          <w:color w:val="7F4ACB"/>
          <w:sz w:val="20"/>
        </w:rPr>
        <w:t xml:space="preserve">• </w:t>
      </w:r>
      <w:r>
        <w:rPr>
          <w:rFonts w:ascii="맑은 고딕" w:hAnsi="맑은 고딕" w:eastAsia="맑은 고딕" w:cs="맑은 고딕"/>
          <w:b/>
          <w:color w:val="161A58"/>
          <w:sz w:val="20"/>
        </w:rPr>
        <w:t>보고된 성능</w:t>
      </w:r>
      <w:r>
        <w:rPr>
          <w:rFonts w:ascii="맑은 고딕" w:hAnsi="맑은 고딕" w:eastAsia="맑은 고딕" w:cs="맑은 고딕"/>
          <w:b w:val="0"/>
          <w:sz w:val="20"/>
        </w:rPr>
        <w:t>: ITME는 Llama-3.1 8B 및 70B 모델에서 GPU 메모리 기반 재계산 대비 토큰 첫 생성 시간(TTFT)을 최대 약 2.5배까지 단축하였다 [2, p.9·10].</w:t>
      </w:r>
    </w:p>
    <w:p>
      <w:pPr>
        <w:spacing w:after="40" w:line="312" w:lineRule="auto"/>
        <w:ind w:left="312" w:hanging="227"/>
      </w:pPr>
      <w:r>
        <w:rPr>
          <w:rFonts w:ascii="맑은 고딕" w:hAnsi="맑은 고딕" w:eastAsia="맑은 고딕" w:cs="맑은 고딕"/>
          <w:b/>
          <w:color w:val="7F4ACB"/>
          <w:sz w:val="20"/>
        </w:rPr>
        <w:t xml:space="preserve">• </w:t>
      </w:r>
      <w:r>
        <w:rPr>
          <w:rFonts w:ascii="맑은 고딕" w:hAnsi="맑은 고딕" w:eastAsia="맑은 고딕" w:cs="맑은 고딕"/>
          <w:b/>
          <w:color w:val="161A58"/>
          <w:sz w:val="20"/>
        </w:rPr>
        <w:t>한계</w:t>
      </w:r>
      <w:r>
        <w:rPr>
          <w:rFonts w:ascii="맑은 고딕" w:hAnsi="맑은 고딕" w:eastAsia="맑은 고딕" w:cs="맑은 고딕"/>
          <w:b w:val="0"/>
          <w:sz w:val="20"/>
        </w:rPr>
        <w:t>: ITME는 NVMe SSD의 내부 아키텍처로 인해 대용량 비동기 쓰기 작업이 읽기 작업과 자원 경쟁을 일으켜 사전 로딩 성능 저하를 유발할 수 있다. 또한, 메타데이터 업데이트를 위한 하드웨어 수준의 잠금 메커니즘이 3클럭 사이클을 필요로 하여 집중적인 처리 시 메타데이터 처리량에 제한이 발생할 수 있다 [2, p.4·6].</w:t>
      </w:r>
    </w:p>
    <w:p>
      <w:pPr>
        <w:pStyle w:val="Heading1"/>
        <w:keepNext/>
        <w:pageBreakBefore w:val="0"/>
      </w:pPr>
      <w:r>
        <w:rPr>
          <w:rFonts w:ascii="맑은 고딕" w:hAnsi="맑은 고딕" w:eastAsia="맑은 고딕" w:cs="맑은 고딕"/>
          <w:b/>
          <w:color w:val="161A58"/>
          <w:sz w:val="30"/>
        </w:rPr>
        <w:t>4. 관점별 평가</w:t>
      </w:r>
    </w:p>
    <w:p>
      <w:pPr>
        <w:pStyle w:val="Heading2"/>
        <w:keepNext/>
      </w:pPr>
      <w:r>
        <w:rPr>
          <w:rFonts w:ascii="맑은 고딕" w:hAnsi="맑은 고딕" w:eastAsia="맑은 고딕" w:cs="맑은 고딕"/>
          <w:b/>
          <w:color w:val="161A58"/>
          <w:sz w:val="25"/>
        </w:rPr>
        <w:t>4.0 평가 기준</w:t>
      </w:r>
    </w:p>
    <w:p>
      <w:pPr>
        <w:spacing w:after="80" w:line="324" w:lineRule="auto"/>
      </w:pPr>
      <w:r>
        <w:rPr>
          <w:rFonts w:ascii="맑은 고딕" w:hAnsi="맑은 고딕" w:eastAsia="맑은 고딕" w:cs="맑은 고딕"/>
          <w:b w:val="0"/>
          <w:sz w:val="20"/>
        </w:rPr>
        <w:t>기준마다 1~5점 인식 점수(공개 자료에 나타난 평가의 방향, 기술 품질 아님)를 C.6 Rubric 근거 조건으로 매긴다. 기술 고유 근거만 세고 같은 원 출처 계열은 하나로 센다. 근거 1계열 이하 기준은 판단 보류, 빠진 가중치가 50%를 넘으면 관점 전체를 판단 보류로 한다.</w:t>
      </w:r>
    </w:p>
    <w:p>
      <w:pPr>
        <w:pStyle w:val="Heading2"/>
        <w:keepNext/>
      </w:pPr>
      <w:r>
        <w:rPr>
          <w:rFonts w:ascii="맑은 고딕" w:hAnsi="맑은 고딕" w:eastAsia="맑은 고딕" w:cs="맑은 고딕"/>
          <w:b/>
          <w:color w:val="161A58"/>
          <w:sz w:val="25"/>
        </w:rPr>
        <w:t>4.1 기술 성숙도(TRL)</w:t>
      </w:r>
    </w:p>
    <w:tbl>
      <w:tblPr>
        <w:jc w:val="center"/>
        <w:tblLook w:firstColumn="1" w:firstRow="1" w:lastColumn="0" w:lastRow="0" w:noHBand="0" w:noVBand="1" w:val="04A0"/>
        <w:tblBorders>
          <w:top w:val="single" w:color="161A58" w:sz="8"/>
          <w:left w:val="none" w:color="FFFFFF" w:sz="0"/>
          <w:bottom w:val="single" w:color="161A58" w:sz="8"/>
          <w:right w:val="none" w:color="FFFFFF" w:sz="0"/>
          <w:insideH w:val="single" w:color="D8DAE5" w:sz="2"/>
          <w:insideV w:val="single" w:color="D8DAE5" w:sz="2"/>
        </w:tblBorders>
        <w:tblW w:w="9072" w:type="dxa"/>
        <w:tblLayout w:type="fixed"/>
      </w:tblPr>
      <w:tblGrid>
        <w:gridCol w:w="1474"/>
        <w:gridCol w:w="1474"/>
        <w:gridCol w:w="1020"/>
        <w:gridCol w:w="2551"/>
        <w:gridCol w:w="2551"/>
      </w:tblGrid>
      <w:tr>
        <w:trPr>
          <w:cantSplit/>
          <w:tblHeader w:val="true"/>
        </w:trPr>
        <w:tc>
          <w:tcPr>
            <w:tcW w:type="dxa" w:w="1474"/>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기술</w:t>
            </w:r>
          </w:p>
        </w:tc>
        <w:tc>
          <w:tcPr>
            <w:tcW w:type="dxa" w:w="1474"/>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TRL 범위(추정)</w:t>
            </w:r>
          </w:p>
        </w:tc>
        <w:tc>
          <w:tcPr>
            <w:tcW w:type="dxa" w:w="1020"/>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신뢰도</w:t>
            </w:r>
          </w:p>
        </w:tc>
        <w:tc>
          <w:tcPr>
            <w:tcW w:type="dxa" w:w="2551"/>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하한 근거</w:t>
            </w:r>
          </w:p>
        </w:tc>
        <w:tc>
          <w:tcPr>
            <w:tcW w:type="dxa" w:w="2551"/>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상한 근거</w:t>
            </w:r>
          </w:p>
        </w:tc>
      </w:tr>
      <w:tr>
        <w:trPr>
          <w:cantSplit/>
        </w:trPr>
        <w:tc>
          <w:tcPr>
            <w:tcW w:type="dxa" w:w="147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TurboQuant</w:t>
            </w:r>
          </w:p>
        </w:tc>
        <w:tc>
          <w:tcPr>
            <w:tcW w:type="dxa" w:w="147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4–5</w:t>
            </w:r>
          </w:p>
        </w:tc>
        <w:tc>
          <w:tcPr>
            <w:tcW w:type="dxa" w:w="1020"/>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높음</w:t>
            </w:r>
          </w:p>
        </w:tc>
        <w:tc>
          <w:tcPr>
            <w:tcW w:type="dxa" w:w="2551"/>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[1, p.15; 5; 9]</w:t>
            </w:r>
          </w:p>
        </w:tc>
        <w:tc>
          <w:tcPr>
            <w:tcW w:type="dxa" w:w="2551"/>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[3; 7; 6]</w:t>
            </w:r>
          </w:p>
        </w:tc>
      </w:tr>
      <w:tr>
        <w:trPr>
          <w:cantSplit/>
        </w:trPr>
        <w:tc>
          <w:tcPr>
            <w:tcW w:type="dxa" w:w="1474"/>
            <w:tcMar>
              <w:top w:w="70" w:type="dxa"/>
              <w:left w:w="90" w:type="dxa"/>
              <w:bottom w:w="70" w:type="dxa"/>
              <w:right w:w="90" w:type="dxa"/>
            </w:tcMar>
          </w:tcPr>
          <w:p>
            <w:pPr>
              <w:spacing w:after="0" w:line="276" w:lineRule="auto"/>
            </w:pPr>
            <w:r>
              <w:rPr>
                <w:rFonts w:ascii="맑은 고딕" w:hAnsi="맑은 고딕" w:eastAsia="맑은 고딕" w:cs="맑은 고딕"/>
                <w:b w:val="0"/>
                <w:sz w:val="17"/>
              </w:rPr>
              <w:t>ITME</w:t>
            </w:r>
          </w:p>
        </w:tc>
        <w:tc>
          <w:tcPr>
            <w:tcW w:type="dxa" w:w="1474"/>
            <w:tcMar>
              <w:top w:w="70" w:type="dxa"/>
              <w:left w:w="90" w:type="dxa"/>
              <w:bottom w:w="70" w:type="dxa"/>
              <w:right w:w="90" w:type="dxa"/>
            </w:tcMar>
          </w:tcPr>
          <w:p>
            <w:pPr>
              <w:spacing w:after="0" w:line="276" w:lineRule="auto"/>
            </w:pPr>
            <w:r>
              <w:rPr>
                <w:rFonts w:ascii="맑은 고딕" w:hAnsi="맑은 고딕" w:eastAsia="맑은 고딕" w:cs="맑은 고딕"/>
                <w:b w:val="0"/>
                <w:sz w:val="17"/>
              </w:rPr>
              <w:t>5–6</w:t>
            </w:r>
          </w:p>
        </w:tc>
        <w:tc>
          <w:tcPr>
            <w:tcW w:type="dxa" w:w="1020"/>
            <w:tcMar>
              <w:top w:w="70" w:type="dxa"/>
              <w:left w:w="90" w:type="dxa"/>
              <w:bottom w:w="70" w:type="dxa"/>
              <w:right w:w="90" w:type="dxa"/>
            </w:tcMar>
          </w:tcPr>
          <w:p>
            <w:pPr>
              <w:spacing w:after="0" w:line="276" w:lineRule="auto"/>
            </w:pPr>
            <w:r>
              <w:rPr>
                <w:rFonts w:ascii="맑은 고딕" w:hAnsi="맑은 고딕" w:eastAsia="맑은 고딕" w:cs="맑은 고딕"/>
                <w:b w:val="0"/>
                <w:sz w:val="17"/>
              </w:rPr>
              <w:t>보통</w:t>
            </w:r>
          </w:p>
        </w:tc>
        <w:tc>
          <w:tcPr>
            <w:tcW w:type="dxa" w:w="2551"/>
            <w:tcMar>
              <w:top w:w="70" w:type="dxa"/>
              <w:left w:w="90" w:type="dxa"/>
              <w:bottom w:w="70" w:type="dxa"/>
              <w:right w:w="90" w:type="dxa"/>
            </w:tcMar>
          </w:tcPr>
          <w:p>
            <w:pPr>
              <w:spacing w:after="0" w:line="276" w:lineRule="auto"/>
            </w:pPr>
            <w:r>
              <w:rPr>
                <w:rFonts w:ascii="맑은 고딕" w:hAnsi="맑은 고딕" w:eastAsia="맑은 고딕" w:cs="맑은 고딕"/>
                <w:b w:val="0"/>
                <w:sz w:val="17"/>
              </w:rPr>
              <w:t>[2, p.8·10]</w:t>
            </w:r>
          </w:p>
        </w:tc>
        <w:tc>
          <w:tcPr>
            <w:tcW w:type="dxa" w:w="2551"/>
            <w:tcMar>
              <w:top w:w="70" w:type="dxa"/>
              <w:left w:w="90" w:type="dxa"/>
              <w:bottom w:w="70" w:type="dxa"/>
              <w:right w:w="90" w:type="dxa"/>
            </w:tcMar>
          </w:tcPr>
          <w:p>
            <w:pPr>
              <w:spacing w:after="0" w:line="276" w:lineRule="auto"/>
            </w:pPr>
            <w:r>
              <w:rPr>
                <w:rFonts w:ascii="맑은 고딕" w:hAnsi="맑은 고딕" w:eastAsia="맑은 고딕" w:cs="맑은 고딕"/>
                <w:b w:val="0"/>
                <w:sz w:val="17"/>
              </w:rPr>
              <w:t>[2, p.8·10; 8]</w:t>
            </w:r>
          </w:p>
        </w:tc>
      </w:tr>
    </w:tbl>
    <w:p>
      <w:pPr>
        <w:spacing w:after="80" w:line="324" w:lineRule="auto"/>
      </w:pPr>
    </w:p>
    <w:p>
      <w:pPr>
        <w:spacing w:after="80" w:line="324" w:lineRule="auto"/>
      </w:pPr>
      <w:r>
        <w:rPr>
          <w:rFonts w:ascii="맑은 고딕" w:hAnsi="맑은 고딕" w:eastAsia="맑은 고딕" w:cs="맑은 고딕"/>
          <w:b w:val="0"/>
          <w:sz w:val="20"/>
        </w:rPr>
        <w:t>TRL은 공개 정보로 추정한 범위이다. 하한은 공개 근거로 확인된 가장 높은 단계, 상한은 발표·계획 같은 부분 신호로 보이는 단계이며, 양쪽 모두 개발사 외 독립 근거가 있으면 신뢰도 높음, 한쪽만 있으면 보통, 개발사 자료뿐이면 낮음이다(설계서 C.4). TurboQuant은 NVIDIA A100 및 RTX 3090 GPU에서 실험적 검증과 오픈소스 구현을 통해 TRL 4 단계에 도달했으며, vLLM과의 통합 계획과 구글 공식 발표로 TRL 5 단계로 추정된다[1, p.15; 4; 5; 3; 6; 7]. 다만, 실제 대규모 워크로드에서 완전한 통합 및 성능 검증 정보는 공개되지 않았고, 공식 상용 배포는 계획 단계이다. ITME는 FPGA 프로토타입과 실제 GPU 및 CXL 하이브리드 메모리 환경에서 기능 및 성능 검증을 완료해 TRL 5 이상으로 확인되며, CXL 메모리 공유 프로토타입 개발 중으로 TRL 6 가능성도 보인다[2, p.2·8·10; 8].</w:t>
      </w:r>
    </w:p>
    <w:p>
      <w:pPr>
        <w:pStyle w:val="Heading2"/>
        <w:keepNext/>
      </w:pPr>
      <w:r>
        <w:rPr>
          <w:rFonts w:ascii="맑은 고딕" w:hAnsi="맑은 고딕" w:eastAsia="맑은 고딕" w:cs="맑은 고딕"/>
          <w:b/>
          <w:color w:val="161A58"/>
          <w:sz w:val="25"/>
        </w:rPr>
        <w:t>4.2 시장성</w:t>
      </w:r>
    </w:p>
    <w:tbl>
      <w:tblPr>
        <w:jc w:val="center"/>
        <w:tblLook w:firstColumn="1" w:firstRow="1" w:lastColumn="0" w:lastRow="0" w:noHBand="0" w:noVBand="1" w:val="04A0"/>
        <w:tblBorders>
          <w:top w:val="single" w:color="161A58" w:sz="8"/>
          <w:left w:val="none" w:color="FFFFFF" w:sz="0"/>
          <w:bottom w:val="single" w:color="161A58" w:sz="8"/>
          <w:right w:val="none" w:color="FFFFFF" w:sz="0"/>
          <w:insideH w:val="single" w:color="D8DAE5" w:sz="2"/>
          <w:insideV w:val="single" w:color="D8DAE5" w:sz="2"/>
        </w:tblBorders>
        <w:tblW w:w="9072" w:type="dxa"/>
        <w:tblLayout w:type="fixed"/>
      </w:tblPr>
      <w:tblGrid>
        <w:gridCol w:w="2268"/>
        <w:gridCol w:w="3402"/>
        <w:gridCol w:w="3402"/>
      </w:tblGrid>
      <w:tr>
        <w:trPr>
          <w:cantSplit/>
          <w:tblHeader w:val="true"/>
        </w:trPr>
        <w:tc>
          <w:tcPr>
            <w:tcW w:type="dxa" w:w="2268"/>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기준 (가중치)</w:t>
            </w:r>
          </w:p>
        </w:tc>
        <w:tc>
          <w:tcPr>
            <w:tcW w:type="dxa" w:w="3402"/>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TurboQuant</w:t>
            </w:r>
          </w:p>
        </w:tc>
        <w:tc>
          <w:tcPr>
            <w:tcW w:type="dxa" w:w="3402"/>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ITME</w:t>
            </w:r>
          </w:p>
        </w:tc>
      </w:tr>
      <w:tr>
        <w:trPr>
          <w:cantSplit/>
        </w:trPr>
        <w:tc>
          <w:tcPr>
            <w:tcW w:type="dxa" w:w="2268"/>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시장 규모·성장 (25)</w:t>
            </w:r>
          </w:p>
        </w:tc>
        <w:tc>
          <w:tcPr>
            <w:tcW w:type="dxa" w:w="3402"/>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4.00 [10; 11]</w:t>
            </w:r>
          </w:p>
        </w:tc>
        <w:tc>
          <w:tcPr>
            <w:tcW w:type="dxa" w:w="3402"/>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판단 보류</w:t>
            </w:r>
          </w:p>
        </w:tc>
      </w:tr>
      <w:tr>
        <w:trPr>
          <w:cantSplit/>
        </w:trPr>
        <w:tc>
          <w:tcPr>
            <w:tcW w:type="dxa" w:w="2268"/>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상용화·채택 (30)</w:t>
            </w:r>
          </w:p>
        </w:tc>
        <w:tc>
          <w:tcPr>
            <w:tcW w:type="dxa" w:w="3402"/>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4.00 [12; 13]</w:t>
            </w:r>
          </w:p>
        </w:tc>
        <w:tc>
          <w:tcPr>
            <w:tcW w:type="dxa" w:w="3402"/>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판단 보류 [2, p.9]</w:t>
            </w:r>
          </w:p>
        </w:tc>
      </w:tr>
      <w:tr>
        <w:trPr>
          <w:cantSplit/>
        </w:trPr>
        <w:tc>
          <w:tcPr>
            <w:tcW w:type="dxa" w:w="2268"/>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생태계 지원 (30)</w:t>
            </w:r>
          </w:p>
        </w:tc>
        <w:tc>
          <w:tcPr>
            <w:tcW w:type="dxa" w:w="3402"/>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5.00 [1, p.16]</w:t>
            </w:r>
          </w:p>
        </w:tc>
        <w:tc>
          <w:tcPr>
            <w:tcW w:type="dxa" w:w="3402"/>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판단 보류 [14]</w:t>
            </w:r>
          </w:p>
        </w:tc>
      </w:tr>
      <w:tr>
        <w:trPr>
          <w:cantSplit/>
        </w:trPr>
        <w:tc>
          <w:tcPr>
            <w:tcW w:type="dxa" w:w="2268"/>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도입 비용 구조 (15)</w:t>
            </w:r>
          </w:p>
        </w:tc>
        <w:tc>
          <w:tcPr>
            <w:tcW w:type="dxa" w:w="3402"/>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판단 보류</w:t>
            </w:r>
          </w:p>
        </w:tc>
        <w:tc>
          <w:tcPr>
            <w:tcW w:type="dxa" w:w="3402"/>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판단 보류</w:t>
            </w:r>
          </w:p>
        </w:tc>
      </w:tr>
      <w:tr>
        <w:trPr>
          <w:cantSplit/>
        </w:trPr>
        <w:tc>
          <w:tcPr>
            <w:tcW w:type="dxa" w:w="2268"/>
            <w:tcMar>
              <w:top w:w="70" w:type="dxa"/>
              <w:left w:w="90" w:type="dxa"/>
              <w:bottom w:w="70" w:type="dxa"/>
              <w:right w:w="90" w:type="dxa"/>
            </w:tcMar>
          </w:tcPr>
          <w:p>
            <w:pPr>
              <w:spacing w:after="0" w:line="276" w:lineRule="auto"/>
            </w:pPr>
            <w:r>
              <w:rPr>
                <w:rFonts w:ascii="맑은 고딕" w:hAnsi="맑은 고딕" w:eastAsia="맑은 고딕" w:cs="맑은 고딕"/>
                <w:b/>
                <w:color w:val="161A58"/>
                <w:sz w:val="17"/>
              </w:rPr>
              <w:t>가중 평균</w:t>
            </w:r>
          </w:p>
        </w:tc>
        <w:tc>
          <w:tcPr>
            <w:tcW w:type="dxa" w:w="3402"/>
            <w:tcMar>
              <w:top w:w="70" w:type="dxa"/>
              <w:left w:w="90" w:type="dxa"/>
              <w:bottom w:w="70" w:type="dxa"/>
              <w:right w:w="90" w:type="dxa"/>
            </w:tcMar>
          </w:tcPr>
          <w:p>
            <w:pPr>
              <w:spacing w:after="0" w:line="276" w:lineRule="auto"/>
            </w:pPr>
            <w:r>
              <w:rPr>
                <w:rFonts w:ascii="맑은 고딕" w:hAnsi="맑은 고딕" w:eastAsia="맑은 고딕" w:cs="맑은 고딕"/>
                <w:b/>
                <w:color w:val="161A58"/>
                <w:sz w:val="17"/>
              </w:rPr>
              <w:t>4.35†</w:t>
            </w:r>
            <w:r>
              <w:rPr>
                <w:rFonts w:ascii="맑은 고딕" w:hAnsi="맑은 고딕" w:eastAsia="맑은 고딕" w:cs="맑은 고딕"/>
                <w:b w:val="0"/>
                <w:sz w:val="17"/>
              </w:rPr>
              <w:t xml:space="preserve"> (평가 가중치 85/100)</w:t>
            </w:r>
          </w:p>
        </w:tc>
        <w:tc>
          <w:tcPr>
            <w:tcW w:type="dxa" w:w="3402"/>
            <w:tcMar>
              <w:top w:w="70" w:type="dxa"/>
              <w:left w:w="90" w:type="dxa"/>
              <w:bottom w:w="70" w:type="dxa"/>
              <w:right w:w="90" w:type="dxa"/>
            </w:tcMar>
          </w:tcPr>
          <w:p>
            <w:pPr>
              <w:spacing w:after="0" w:line="276" w:lineRule="auto"/>
            </w:pPr>
            <w:r>
              <w:rPr>
                <w:rFonts w:ascii="맑은 고딕" w:hAnsi="맑은 고딕" w:eastAsia="맑은 고딕" w:cs="맑은 고딕"/>
                <w:b/>
                <w:color w:val="161A58"/>
                <w:sz w:val="17"/>
              </w:rPr>
              <w:t>판단 보류</w:t>
            </w:r>
          </w:p>
        </w:tc>
      </w:tr>
    </w:tbl>
    <w:p>
      <w:pPr>
        <w:spacing w:after="80" w:line="324" w:lineRule="auto"/>
      </w:pPr>
    </w:p>
    <w:p>
      <w:pPr>
        <w:spacing w:after="80" w:line="324" w:lineRule="auto"/>
      </w:pPr>
      <w:r>
        <w:rPr>
          <w:rFonts w:ascii="맑은 고딕" w:hAnsi="맑은 고딕" w:eastAsia="맑은 고딕" w:cs="맑은 고딕"/>
          <w:b w:val="0"/>
          <w:sz w:val="20"/>
        </w:rPr>
        <w:t>TurboQuant은 구글 연구팀 주도로 오픈소스 프로젝트와 주요 추론 엔진에서 초기 통합과 검증이 진행 중이며, KV 캐시 메모리 6배 축소와 최대 8배 추론 속도 향상이 보고되었다[1, p.18; 10; 15; 16]. 일부 평가에서는 전체 메모리 사용량 감소가 제한적이고 기존 방법 대비 성능이 떨어진다는 의견도 있어 수요가 불확실하다[11]. ITME는 CXL 하이브리드 메모리와 다계층 메모리 관리 API를 활용해 대규모 KV 캐시 확장과 지연 민감 작업 배치를 지원하는 근거가 있으나, 시장 규모·성장과 도입 비용 구조에 관한 구체적 근거는 부족하다[2, p.2; 14; 17].</w:t>
      </w:r>
    </w:p>
    <w:p>
      <w:pPr>
        <w:pStyle w:val="Heading2"/>
        <w:keepNext/>
      </w:pPr>
      <w:r>
        <w:rPr>
          <w:rFonts w:ascii="맑은 고딕" w:hAnsi="맑은 고딕" w:eastAsia="맑은 고딕" w:cs="맑은 고딕"/>
          <w:b/>
          <w:color w:val="161A58"/>
          <w:sz w:val="25"/>
        </w:rPr>
        <w:t>4.3 이해관계자</w:t>
      </w:r>
    </w:p>
    <w:tbl>
      <w:tblPr>
        <w:jc w:val="center"/>
        <w:tblLook w:firstColumn="1" w:firstRow="1" w:lastColumn="0" w:lastRow="0" w:noHBand="0" w:noVBand="1" w:val="04A0"/>
        <w:tblBorders>
          <w:top w:val="single" w:color="161A58" w:sz="8"/>
          <w:left w:val="none" w:color="FFFFFF" w:sz="0"/>
          <w:bottom w:val="single" w:color="161A58" w:sz="8"/>
          <w:right w:val="none" w:color="FFFFFF" w:sz="0"/>
          <w:insideH w:val="single" w:color="D8DAE5" w:sz="2"/>
          <w:insideV w:val="single" w:color="D8DAE5" w:sz="2"/>
        </w:tblBorders>
        <w:tblW w:w="9072" w:type="dxa"/>
        <w:tblLayout w:type="fixed"/>
      </w:tblPr>
      <w:tblGrid>
        <w:gridCol w:w="2268"/>
        <w:gridCol w:w="3402"/>
        <w:gridCol w:w="3402"/>
      </w:tblGrid>
      <w:tr>
        <w:trPr>
          <w:cantSplit/>
          <w:tblHeader w:val="true"/>
        </w:trPr>
        <w:tc>
          <w:tcPr>
            <w:tcW w:type="dxa" w:w="2268"/>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집단 (각 25)</w:t>
            </w:r>
          </w:p>
        </w:tc>
        <w:tc>
          <w:tcPr>
            <w:tcW w:type="dxa" w:w="3402"/>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TurboQuant</w:t>
            </w:r>
          </w:p>
        </w:tc>
        <w:tc>
          <w:tcPr>
            <w:tcW w:type="dxa" w:w="3402"/>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ITME</w:t>
            </w:r>
          </w:p>
        </w:tc>
      </w:tr>
      <w:tr>
        <w:trPr>
          <w:cantSplit/>
        </w:trPr>
        <w:tc>
          <w:tcPr>
            <w:tcW w:type="dxa" w:w="2268"/>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(a) 클라우드·데이터센터</w:t>
            </w:r>
          </w:p>
        </w:tc>
        <w:tc>
          <w:tcPr>
            <w:tcW w:type="dxa" w:w="3402"/>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지지(5) [18; 10]</w:t>
            </w:r>
          </w:p>
        </w:tc>
        <w:tc>
          <w:tcPr>
            <w:tcW w:type="dxa" w:w="3402"/>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판단 보류</w:t>
            </w:r>
          </w:p>
        </w:tc>
      </w:tr>
      <w:tr>
        <w:trPr>
          <w:cantSplit/>
        </w:trPr>
        <w:tc>
          <w:tcPr>
            <w:tcW w:type="dxa" w:w="2268"/>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(b) GPU·메모리 벤더</w:t>
            </w:r>
          </w:p>
        </w:tc>
        <w:tc>
          <w:tcPr>
            <w:tcW w:type="dxa" w:w="3402"/>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지지(5) [19]</w:t>
            </w:r>
          </w:p>
        </w:tc>
        <w:tc>
          <w:tcPr>
            <w:tcW w:type="dxa" w:w="3402"/>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지지(5) [20]</w:t>
            </w:r>
          </w:p>
        </w:tc>
      </w:tr>
      <w:tr>
        <w:trPr>
          <w:cantSplit/>
        </w:trPr>
        <w:tc>
          <w:tcPr>
            <w:tcW w:type="dxa" w:w="2268"/>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(c) 개발자</w:t>
            </w:r>
          </w:p>
        </w:tc>
        <w:tc>
          <w:tcPr>
            <w:tcW w:type="dxa" w:w="3402"/>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지지(5) [21; 22]</w:t>
            </w:r>
          </w:p>
        </w:tc>
        <w:tc>
          <w:tcPr>
            <w:tcW w:type="dxa" w:w="3402"/>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지지(5) [23]</w:t>
            </w:r>
          </w:p>
        </w:tc>
      </w:tr>
      <w:tr>
        <w:trPr>
          <w:cantSplit/>
        </w:trPr>
        <w:tc>
          <w:tcPr>
            <w:tcW w:type="dxa" w:w="2268"/>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(d) 투자·분석·언론</w:t>
            </w:r>
          </w:p>
        </w:tc>
        <w:tc>
          <w:tcPr>
            <w:tcW w:type="dxa" w:w="3402"/>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중립·혼재(3) [24; 25]</w:t>
            </w:r>
          </w:p>
        </w:tc>
        <w:tc>
          <w:tcPr>
            <w:tcW w:type="dxa" w:w="3402"/>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판단 보류</w:t>
            </w:r>
          </w:p>
        </w:tc>
      </w:tr>
      <w:tr>
        <w:trPr>
          <w:cantSplit/>
        </w:trPr>
        <w:tc>
          <w:tcPr>
            <w:tcW w:type="dxa" w:w="2268"/>
            <w:tcMar>
              <w:top w:w="70" w:type="dxa"/>
              <w:left w:w="90" w:type="dxa"/>
              <w:bottom w:w="70" w:type="dxa"/>
              <w:right w:w="90" w:type="dxa"/>
            </w:tcMar>
          </w:tcPr>
          <w:p>
            <w:pPr>
              <w:spacing w:after="0" w:line="276" w:lineRule="auto"/>
            </w:pPr>
            <w:r>
              <w:rPr>
                <w:rFonts w:ascii="맑은 고딕" w:hAnsi="맑은 고딕" w:eastAsia="맑은 고딕" w:cs="맑은 고딕"/>
                <w:b/>
                <w:color w:val="161A58"/>
                <w:sz w:val="17"/>
              </w:rPr>
              <w:t>가중 평균</w:t>
            </w:r>
          </w:p>
        </w:tc>
        <w:tc>
          <w:tcPr>
            <w:tcW w:type="dxa" w:w="3402"/>
            <w:tcMar>
              <w:top w:w="70" w:type="dxa"/>
              <w:left w:w="90" w:type="dxa"/>
              <w:bottom w:w="70" w:type="dxa"/>
              <w:right w:w="90" w:type="dxa"/>
            </w:tcMar>
          </w:tcPr>
          <w:p>
            <w:pPr>
              <w:spacing w:after="0" w:line="276" w:lineRule="auto"/>
            </w:pPr>
            <w:r>
              <w:rPr>
                <w:rFonts w:ascii="맑은 고딕" w:hAnsi="맑은 고딕" w:eastAsia="맑은 고딕" w:cs="맑은 고딕"/>
                <w:b/>
                <w:color w:val="161A58"/>
                <w:sz w:val="17"/>
              </w:rPr>
              <w:t>4.50†</w:t>
            </w:r>
          </w:p>
        </w:tc>
        <w:tc>
          <w:tcPr>
            <w:tcW w:type="dxa" w:w="3402"/>
            <w:tcMar>
              <w:top w:w="70" w:type="dxa"/>
              <w:left w:w="90" w:type="dxa"/>
              <w:bottom w:w="70" w:type="dxa"/>
              <w:right w:w="90" w:type="dxa"/>
            </w:tcMar>
          </w:tcPr>
          <w:p>
            <w:pPr>
              <w:spacing w:after="0" w:line="276" w:lineRule="auto"/>
            </w:pPr>
            <w:r>
              <w:rPr>
                <w:rFonts w:ascii="맑은 고딕" w:hAnsi="맑은 고딕" w:eastAsia="맑은 고딕" w:cs="맑은 고딕"/>
                <w:b/>
                <w:color w:val="161A58"/>
                <w:sz w:val="17"/>
              </w:rPr>
              <w:t>5.00†</w:t>
            </w:r>
            <w:r>
              <w:rPr>
                <w:rFonts w:ascii="맑은 고딕" w:hAnsi="맑은 고딕" w:eastAsia="맑은 고딕" w:cs="맑은 고딕"/>
                <w:b w:val="0"/>
                <w:sz w:val="17"/>
              </w:rPr>
              <w:t xml:space="preserve"> (2/4 집단)</w:t>
            </w:r>
          </w:p>
        </w:tc>
      </w:tr>
    </w:tbl>
    <w:p>
      <w:pPr>
        <w:spacing w:after="80" w:line="324" w:lineRule="auto"/>
      </w:pPr>
    </w:p>
    <w:p>
      <w:pPr>
        <w:spacing w:after="80" w:line="324" w:lineRule="auto"/>
      </w:pPr>
      <w:r>
        <w:rPr>
          <w:rFonts w:ascii="맑은 고딕" w:hAnsi="맑은 고딕" w:eastAsia="맑은 고딕" w:cs="맑은 고딕"/>
          <w:b w:val="0"/>
          <w:sz w:val="20"/>
        </w:rPr>
        <w:t>가중 평균은 판단 보류 기준을 뺀 평균이며, 괄호 안은 평균에 실제로 들어간 범위이다(예: 3/4 집단은 한 집단이 판단 보류). 개발사(TurboQuant는 Google, ITME는 SK hynix)의 발언·보도자료·원 논문은 점수에서 제외했고, 기술명을 언급하지 않는 회사 실적·주가 자료는 집단의 기술 평가로 세지 않았다. TurboQuant은 클라우드·데이터센터 사업자와 GPU·메모리 벤더 집단에서 KV 캐시 압축과 메모리 비용 절감 효과에 대해 강한 지지를 받았으나, 개발자 커뮤니티에서는 품질 저하 우려도 일부 존재한다[18; 19; 21; 22]. 투자·분석·언론 집단은 긍정적 평가와 일부 중립적 시각을 보였다[25; 26]. ITME는 GPU·메모리 벤더와 개발자 커뮤니티에서 대규모 KV 캐시 확장과 AI 워크로드 지원 기술로 긍정적 평가를 받았으나, 클라우드·데이터센터 사업자와 투자·분석·언론 집단에서는 근거 부족으로 평가가 이루어지지 않았다[20; 23].</w:t>
      </w:r>
    </w:p>
    <w:p>
      <w:pPr>
        <w:pStyle w:val="Heading2"/>
        <w:keepNext/>
      </w:pPr>
      <w:r>
        <w:rPr>
          <w:rFonts w:ascii="맑은 고딕" w:hAnsi="맑은 고딕" w:eastAsia="맑은 고딕" w:cs="맑은 고딕"/>
          <w:b/>
          <w:color w:val="161A58"/>
          <w:sz w:val="25"/>
        </w:rPr>
        <w:t>4.4 도메인 적합성(W1·W2)</w:t>
      </w:r>
    </w:p>
    <w:tbl>
      <w:tblPr>
        <w:jc w:val="center"/>
        <w:tblLook w:firstColumn="1" w:firstRow="1" w:lastColumn="0" w:lastRow="0" w:noHBand="0" w:noVBand="1" w:val="04A0"/>
        <w:tblBorders>
          <w:top w:val="single" w:color="161A58" w:sz="8"/>
          <w:left w:val="none" w:color="FFFFFF" w:sz="0"/>
          <w:bottom w:val="single" w:color="161A58" w:sz="8"/>
          <w:right w:val="none" w:color="FFFFFF" w:sz="0"/>
          <w:insideH w:val="single" w:color="D8DAE5" w:sz="2"/>
          <w:insideV w:val="single" w:color="D8DAE5" w:sz="2"/>
        </w:tblBorders>
        <w:tblW w:w="9072" w:type="dxa"/>
        <w:tblLayout w:type="fixed"/>
      </w:tblPr>
      <w:tblGrid>
        <w:gridCol w:w="1814"/>
        <w:gridCol w:w="1814"/>
        <w:gridCol w:w="1814"/>
        <w:gridCol w:w="1814"/>
        <w:gridCol w:w="1814"/>
      </w:tblGrid>
      <w:tr>
        <w:trPr>
          <w:cantSplit/>
          <w:tblHeader w:val="true"/>
        </w:trPr>
        <w:tc>
          <w:tcPr>
            <w:tcW w:type="dxa" w:w="1814"/>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항목 (각 20)</w:t>
            </w:r>
          </w:p>
        </w:tc>
        <w:tc>
          <w:tcPr>
            <w:tcW w:type="dxa" w:w="1814"/>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TurboQuant W1</w:t>
            </w:r>
          </w:p>
        </w:tc>
        <w:tc>
          <w:tcPr>
            <w:tcW w:type="dxa" w:w="1814"/>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TurboQuant W2</w:t>
            </w:r>
          </w:p>
        </w:tc>
        <w:tc>
          <w:tcPr>
            <w:tcW w:type="dxa" w:w="1814"/>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ITME W1</w:t>
            </w:r>
          </w:p>
        </w:tc>
        <w:tc>
          <w:tcPr>
            <w:tcW w:type="dxa" w:w="1814"/>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ITME W2</w:t>
            </w:r>
          </w:p>
        </w:tc>
      </w:tr>
      <w:tr>
        <w:trPr>
          <w:cantSplit/>
        </w:trPr>
        <w:tc>
          <w:tcPr>
            <w:tcW w:type="dxa" w:w="181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비용</w:t>
            </w:r>
          </w:p>
        </w:tc>
        <w:tc>
          <w:tcPr>
            <w:tcW w:type="dxa" w:w="181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5.00 [3; 27]</w:t>
            </w:r>
          </w:p>
        </w:tc>
        <w:tc>
          <w:tcPr>
            <w:tcW w:type="dxa" w:w="181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5.00 [28; 24]</w:t>
            </w:r>
          </w:p>
        </w:tc>
        <w:tc>
          <w:tcPr>
            <w:tcW w:type="dxa" w:w="181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5.00 [2, p.2; 23]</w:t>
            </w:r>
          </w:p>
        </w:tc>
        <w:tc>
          <w:tcPr>
            <w:tcW w:type="dxa" w:w="181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5.00 [2, p.2; 23]</w:t>
            </w:r>
          </w:p>
        </w:tc>
      </w:tr>
      <w:tr>
        <w:trPr>
          <w:cantSplit/>
        </w:trPr>
        <w:tc>
          <w:tcPr>
            <w:tcW w:type="dxa" w:w="181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지연</w:t>
            </w:r>
          </w:p>
        </w:tc>
        <w:tc>
          <w:tcPr>
            <w:tcW w:type="dxa" w:w="181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5.00 [29; 27]</w:t>
            </w:r>
          </w:p>
        </w:tc>
        <w:tc>
          <w:tcPr>
            <w:tcW w:type="dxa" w:w="181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4.00 [29; 30]</w:t>
            </w:r>
          </w:p>
        </w:tc>
        <w:tc>
          <w:tcPr>
            <w:tcW w:type="dxa" w:w="181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5.00 [2, p.2]</w:t>
            </w:r>
          </w:p>
        </w:tc>
        <w:tc>
          <w:tcPr>
            <w:tcW w:type="dxa" w:w="181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5.00 [2, p.2]</w:t>
            </w:r>
          </w:p>
        </w:tc>
      </w:tr>
      <w:tr>
        <w:trPr>
          <w:cantSplit/>
        </w:trPr>
        <w:tc>
          <w:tcPr>
            <w:tcW w:type="dxa" w:w="181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처리량·동시성</w:t>
            </w:r>
          </w:p>
        </w:tc>
        <w:tc>
          <w:tcPr>
            <w:tcW w:type="dxa" w:w="181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5.00 [3; 31]</w:t>
            </w:r>
          </w:p>
        </w:tc>
        <w:tc>
          <w:tcPr>
            <w:tcW w:type="dxa" w:w="181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4.00 [28; 32]</w:t>
            </w:r>
          </w:p>
        </w:tc>
        <w:tc>
          <w:tcPr>
            <w:tcW w:type="dxa" w:w="181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판단 보류 [2, p.11; 14]</w:t>
            </w:r>
          </w:p>
        </w:tc>
        <w:tc>
          <w:tcPr>
            <w:tcW w:type="dxa" w:w="181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판단 보류 [2, p.11; 14]</w:t>
            </w:r>
          </w:p>
        </w:tc>
      </w:tr>
      <w:tr>
        <w:trPr>
          <w:cantSplit/>
        </w:trPr>
        <w:tc>
          <w:tcPr>
            <w:tcW w:type="dxa" w:w="181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정확도 영향</w:t>
            </w:r>
          </w:p>
        </w:tc>
        <w:tc>
          <w:tcPr>
            <w:tcW w:type="dxa" w:w="181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5.00 [1, p.18; 29]</w:t>
            </w:r>
          </w:p>
        </w:tc>
        <w:tc>
          <w:tcPr>
            <w:tcW w:type="dxa" w:w="181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5.00 [1, p.18; 29]</w:t>
            </w:r>
          </w:p>
        </w:tc>
        <w:tc>
          <w:tcPr>
            <w:tcW w:type="dxa" w:w="181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판단 보류</w:t>
            </w:r>
          </w:p>
        </w:tc>
        <w:tc>
          <w:tcPr>
            <w:tcW w:type="dxa" w:w="181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판단 보류</w:t>
            </w:r>
          </w:p>
        </w:tc>
      </w:tr>
      <w:tr>
        <w:trPr>
          <w:cantSplit/>
        </w:trPr>
        <w:tc>
          <w:tcPr>
            <w:tcW w:type="dxa" w:w="181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통합 난이도</w:t>
            </w:r>
          </w:p>
        </w:tc>
        <w:tc>
          <w:tcPr>
            <w:tcW w:type="dxa" w:w="181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5.00 [33; 4]</w:t>
            </w:r>
          </w:p>
        </w:tc>
        <w:tc>
          <w:tcPr>
            <w:tcW w:type="dxa" w:w="181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판단 보류 [4]</w:t>
            </w:r>
          </w:p>
        </w:tc>
        <w:tc>
          <w:tcPr>
            <w:tcW w:type="dxa" w:w="181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판단 보류</w:t>
            </w:r>
          </w:p>
        </w:tc>
        <w:tc>
          <w:tcPr>
            <w:tcW w:type="dxa" w:w="181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판단 보류</w:t>
            </w:r>
          </w:p>
        </w:tc>
      </w:tr>
      <w:tr>
        <w:trPr>
          <w:cantSplit/>
        </w:trPr>
        <w:tc>
          <w:tcPr>
            <w:tcW w:type="dxa" w:w="1814"/>
            <w:tcMar>
              <w:top w:w="70" w:type="dxa"/>
              <w:left w:w="90" w:type="dxa"/>
              <w:bottom w:w="70" w:type="dxa"/>
              <w:right w:w="90" w:type="dxa"/>
            </w:tcMar>
          </w:tcPr>
          <w:p>
            <w:pPr>
              <w:spacing w:after="0" w:line="276" w:lineRule="auto"/>
            </w:pPr>
            <w:r>
              <w:rPr>
                <w:rFonts w:ascii="맑은 고딕" w:hAnsi="맑은 고딕" w:eastAsia="맑은 고딕" w:cs="맑은 고딕"/>
                <w:b/>
                <w:color w:val="161A58"/>
                <w:sz w:val="17"/>
              </w:rPr>
              <w:t>가중 평균</w:t>
            </w:r>
          </w:p>
        </w:tc>
        <w:tc>
          <w:tcPr>
            <w:tcW w:type="dxa" w:w="1814"/>
            <w:tcMar>
              <w:top w:w="70" w:type="dxa"/>
              <w:left w:w="90" w:type="dxa"/>
              <w:bottom w:w="70" w:type="dxa"/>
              <w:right w:w="90" w:type="dxa"/>
            </w:tcMar>
          </w:tcPr>
          <w:p>
            <w:pPr>
              <w:spacing w:after="0" w:line="276" w:lineRule="auto"/>
            </w:pPr>
            <w:r>
              <w:rPr>
                <w:rFonts w:ascii="맑은 고딕" w:hAnsi="맑은 고딕" w:eastAsia="맑은 고딕" w:cs="맑은 고딕"/>
                <w:b/>
                <w:color w:val="161A58"/>
                <w:sz w:val="17"/>
              </w:rPr>
              <w:t>4.78†</w:t>
            </w:r>
            <w:r>
              <w:rPr>
                <w:rFonts w:ascii="맑은 고딕" w:hAnsi="맑은 고딕" w:eastAsia="맑은 고딕" w:cs="맑은 고딕"/>
                <w:b w:val="0"/>
                <w:sz w:val="17"/>
              </w:rPr>
              <w:t xml:space="preserve"> (9/10 항목)</w:t>
            </w:r>
          </w:p>
        </w:tc>
        <w:tc>
          <w:tcPr>
            <w:tcW w:type="dxa" w:w="1814"/>
            <w:tcMar>
              <w:top w:w="70" w:type="dxa"/>
              <w:left w:w="90" w:type="dxa"/>
              <w:bottom w:w="70" w:type="dxa"/>
              <w:right w:w="90" w:type="dxa"/>
            </w:tcMar>
          </w:tcPr>
          <w:p>
            <w:pPr>
              <w:spacing w:after="0" w:line="276" w:lineRule="auto"/>
            </w:pPr>
          </w:p>
        </w:tc>
        <w:tc>
          <w:tcPr>
            <w:tcW w:type="dxa" w:w="1814"/>
            <w:tcMar>
              <w:top w:w="70" w:type="dxa"/>
              <w:left w:w="90" w:type="dxa"/>
              <w:bottom w:w="70" w:type="dxa"/>
              <w:right w:w="90" w:type="dxa"/>
            </w:tcMar>
          </w:tcPr>
          <w:p>
            <w:pPr>
              <w:spacing w:after="0" w:line="276" w:lineRule="auto"/>
            </w:pPr>
            <w:r>
              <w:rPr>
                <w:rFonts w:ascii="맑은 고딕" w:hAnsi="맑은 고딕" w:eastAsia="맑은 고딕" w:cs="맑은 고딕"/>
                <w:b/>
                <w:color w:val="161A58"/>
                <w:sz w:val="17"/>
              </w:rPr>
              <w:t>판단 보류</w:t>
            </w:r>
          </w:p>
        </w:tc>
        <w:tc>
          <w:tcPr>
            <w:tcW w:type="dxa" w:w="1814"/>
            <w:tcMar>
              <w:top w:w="70" w:type="dxa"/>
              <w:left w:w="90" w:type="dxa"/>
              <w:bottom w:w="70" w:type="dxa"/>
              <w:right w:w="90" w:type="dxa"/>
            </w:tcMar>
          </w:tcPr>
          <w:p>
            <w:pPr>
              <w:spacing w:after="0" w:line="276" w:lineRule="auto"/>
            </w:pPr>
          </w:p>
        </w:tc>
      </w:tr>
    </w:tbl>
    <w:p>
      <w:pPr>
        <w:spacing w:after="80" w:line="324" w:lineRule="auto"/>
      </w:pPr>
    </w:p>
    <w:p>
      <w:pPr>
        <w:spacing w:after="80" w:line="324" w:lineRule="auto"/>
      </w:pPr>
      <w:r>
        <w:rPr>
          <w:rFonts w:ascii="맑은 고딕" w:hAnsi="맑은 고딕" w:eastAsia="맑은 고딕" w:cs="맑은 고딕"/>
          <w:b w:val="0"/>
          <w:sz w:val="20"/>
        </w:rPr>
        <w:t>워크로드별 평균: TurboQuant W1 5.00, W2 4.50; ITME W1 판단 보류, W2 판단 보류. 가중 평균 행은 기술별 W1·W2 합산값이다(W1 열에 표기). TurboQuant은 Llama-3.1-8B-Instruct 및 Ministral-7B-Instruct 모델을 대상으로 장문 시나리오에서 KV 캐시를 16비트에서 3비트로 압축해 최대 6배 메모리 절감과 8배 추론 속도 향상을 달성했으며, 재학습 없이 품질 저하 없는 결과를 보였다[1, p.18; 28; 29; 24; 34]. 다만 일부 워크로드에서 지연 증가와 처리량 감소가 보고되어 조건별 성능 차이가 있을 수 있다[30]. ITME는 LLM 데이터 유형을 지연 민감도와 용량에 따라 분류하고, PCIe Gen5 기반 CXL 하이브리드 메모리를 활용해 대용량 KV 캐시 확장과 지연 민감 작업의 고속 메모리 배치를 지원하며, API를 통해 효율적 데이터 이동과 프리페칭을 제공한다[2, p.2·11; 23; 17].</w:t>
      </w:r>
    </w:p>
    <w:p>
      <w:pPr>
        <w:pStyle w:val="Heading2"/>
        <w:keepNext/>
      </w:pPr>
      <w:r>
        <w:rPr>
          <w:rFonts w:ascii="맑은 고딕" w:hAnsi="맑은 고딕" w:eastAsia="맑은 고딕" w:cs="맑은 고딕"/>
          <w:b/>
          <w:color w:val="161A58"/>
          <w:sz w:val="25"/>
        </w:rPr>
        <w:t>4.5 추가 관점(Orchestrator 동적 계획, 점수 없음)</w:t>
      </w:r>
    </w:p>
    <w:p>
      <w:pPr>
        <w:spacing w:after="40" w:line="312" w:lineRule="auto"/>
        <w:ind w:left="312" w:hanging="227"/>
      </w:pPr>
      <w:r>
        <w:rPr>
          <w:rFonts w:ascii="맑은 고딕" w:hAnsi="맑은 고딕" w:eastAsia="맑은 고딕" w:cs="맑은 고딕"/>
          <w:b/>
          <w:color w:val="7F4ACB"/>
          <w:sz w:val="20"/>
        </w:rPr>
        <w:t xml:space="preserve">• </w:t>
      </w:r>
      <w:r>
        <w:rPr>
          <w:rFonts w:ascii="맑은 고딕" w:hAnsi="맑은 고딕" w:eastAsia="맑은 고딕" w:cs="맑은 고딕"/>
          <w:b w:val="0"/>
          <w:sz w:val="20"/>
        </w:rPr>
        <w:t>T05 research · TurboQuant: TurboQuant은 KV 캐시 메모리를 약 3비트 수준으로 극단적으로 압축하여 최대 6배까지 메모리 사용량을 줄이면서도 정확도 손실 없이 작동한다[27; 35].</w:t>
      </w:r>
    </w:p>
    <w:p>
      <w:pPr>
        <w:spacing w:after="40" w:line="312" w:lineRule="auto"/>
        <w:ind w:left="312" w:hanging="227"/>
      </w:pPr>
      <w:r>
        <w:rPr>
          <w:rFonts w:ascii="맑은 고딕" w:hAnsi="맑은 고딕" w:eastAsia="맑은 고딕" w:cs="맑은 고딕"/>
          <w:b/>
          <w:color w:val="7F4ACB"/>
          <w:sz w:val="20"/>
        </w:rPr>
        <w:t xml:space="preserve">• </w:t>
      </w:r>
      <w:r>
        <w:rPr>
          <w:rFonts w:ascii="맑은 고딕" w:hAnsi="맑은 고딕" w:eastAsia="맑은 고딕" w:cs="맑은 고딕"/>
          <w:b w:val="0"/>
          <w:sz w:val="20"/>
        </w:rPr>
        <w:t>T05 research · ITME: KV 캐시 오프로딩 아키텍처는 중간 메모리 스테이징을 우회하여 GPU와 SSD 간의 직접적이고 고대역폭 데이터 전송을 가능하게 하여 누적 지연과 대역폭 병목 현상을 줄이고 운영 비용을 절감한다 [36].</w:t>
      </w:r>
    </w:p>
    <w:p>
      <w:pPr>
        <w:pStyle w:val="Heading1"/>
        <w:keepNext/>
        <w:pageBreakBefore w:val="0"/>
      </w:pPr>
      <w:r>
        <w:rPr>
          <w:rFonts w:ascii="맑은 고딕" w:hAnsi="맑은 고딕" w:eastAsia="맑은 고딕" w:cs="맑은 고딕"/>
          <w:b/>
          <w:color w:val="161A58"/>
          <w:sz w:val="30"/>
        </w:rPr>
        <w:t>5. 시사점</w:t>
      </w:r>
    </w:p>
    <w:p>
      <w:pPr>
        <w:pStyle w:val="Heading2"/>
        <w:keepNext/>
      </w:pPr>
      <w:r>
        <w:rPr>
          <w:rFonts w:ascii="맑은 고딕" w:hAnsi="맑은 고딕" w:eastAsia="맑은 고딕" w:cs="맑은 고딕"/>
          <w:b/>
          <w:color w:val="161A58"/>
          <w:sz w:val="25"/>
        </w:rPr>
        <w:t>5.1 관점 간 일치·상충 표</w:t>
      </w:r>
    </w:p>
    <w:tbl>
      <w:tblPr>
        <w:jc w:val="center"/>
        <w:tblLook w:firstColumn="1" w:firstRow="1" w:lastColumn="0" w:lastRow="0" w:noHBand="0" w:noVBand="1" w:val="04A0"/>
        <w:tblBorders>
          <w:top w:val="single" w:color="161A58" w:sz="8"/>
          <w:left w:val="none" w:color="FFFFFF" w:sz="0"/>
          <w:bottom w:val="single" w:color="161A58" w:sz="8"/>
          <w:right w:val="none" w:color="FFFFFF" w:sz="0"/>
          <w:insideH w:val="single" w:color="D8DAE5" w:sz="2"/>
          <w:insideV w:val="single" w:color="D8DAE5" w:sz="2"/>
        </w:tblBorders>
        <w:tblW w:w="9072" w:type="dxa"/>
        <w:tblLayout w:type="fixed"/>
      </w:tblPr>
      <w:tblGrid>
        <w:gridCol w:w="1814"/>
        <w:gridCol w:w="1814"/>
        <w:gridCol w:w="1814"/>
        <w:gridCol w:w="1814"/>
        <w:gridCol w:w="1814"/>
      </w:tblGrid>
      <w:tr>
        <w:trPr>
          <w:cantSplit/>
          <w:tblHeader w:val="true"/>
        </w:trPr>
        <w:tc>
          <w:tcPr>
            <w:tcW w:type="dxa" w:w="1814"/>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기술</w:t>
            </w:r>
          </w:p>
        </w:tc>
        <w:tc>
          <w:tcPr>
            <w:tcW w:type="dxa" w:w="1814"/>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TRL(범위)</w:t>
            </w:r>
          </w:p>
        </w:tc>
        <w:tc>
          <w:tcPr>
            <w:tcW w:type="dxa" w:w="1814"/>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시장성</w:t>
            </w:r>
          </w:p>
        </w:tc>
        <w:tc>
          <w:tcPr>
            <w:tcW w:type="dxa" w:w="1814"/>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이해관계자</w:t>
            </w:r>
          </w:p>
        </w:tc>
        <w:tc>
          <w:tcPr>
            <w:tcW w:type="dxa" w:w="1814"/>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도메인</w:t>
            </w:r>
          </w:p>
        </w:tc>
      </w:tr>
      <w:tr>
        <w:trPr>
          <w:cantSplit/>
        </w:trPr>
        <w:tc>
          <w:tcPr>
            <w:tcW w:type="dxa" w:w="181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TurboQuant</w:t>
            </w:r>
          </w:p>
        </w:tc>
        <w:tc>
          <w:tcPr>
            <w:tcW w:type="dxa" w:w="181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4–5</w:t>
            </w:r>
          </w:p>
        </w:tc>
        <w:tc>
          <w:tcPr>
            <w:tcW w:type="dxa" w:w="181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4.35†</w:t>
            </w:r>
          </w:p>
        </w:tc>
        <w:tc>
          <w:tcPr>
            <w:tcW w:type="dxa" w:w="181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4.50†</w:t>
            </w:r>
          </w:p>
        </w:tc>
        <w:tc>
          <w:tcPr>
            <w:tcW w:type="dxa" w:w="181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4.78†</w:t>
            </w:r>
          </w:p>
        </w:tc>
      </w:tr>
      <w:tr>
        <w:trPr>
          <w:cantSplit/>
        </w:trPr>
        <w:tc>
          <w:tcPr>
            <w:tcW w:type="dxa" w:w="1814"/>
            <w:tcMar>
              <w:top w:w="70" w:type="dxa"/>
              <w:left w:w="90" w:type="dxa"/>
              <w:bottom w:w="70" w:type="dxa"/>
              <w:right w:w="90" w:type="dxa"/>
            </w:tcMar>
          </w:tcPr>
          <w:p>
            <w:pPr>
              <w:spacing w:after="0" w:line="276" w:lineRule="auto"/>
            </w:pPr>
            <w:r>
              <w:rPr>
                <w:rFonts w:ascii="맑은 고딕" w:hAnsi="맑은 고딕" w:eastAsia="맑은 고딕" w:cs="맑은 고딕"/>
                <w:b w:val="0"/>
                <w:sz w:val="17"/>
              </w:rPr>
              <w:t>ITME</w:t>
            </w:r>
          </w:p>
        </w:tc>
        <w:tc>
          <w:tcPr>
            <w:tcW w:type="dxa" w:w="1814"/>
            <w:tcMar>
              <w:top w:w="70" w:type="dxa"/>
              <w:left w:w="90" w:type="dxa"/>
              <w:bottom w:w="70" w:type="dxa"/>
              <w:right w:w="90" w:type="dxa"/>
            </w:tcMar>
          </w:tcPr>
          <w:p>
            <w:pPr>
              <w:spacing w:after="0" w:line="276" w:lineRule="auto"/>
            </w:pPr>
            <w:r>
              <w:rPr>
                <w:rFonts w:ascii="맑은 고딕" w:hAnsi="맑은 고딕" w:eastAsia="맑은 고딕" w:cs="맑은 고딕"/>
                <w:b w:val="0"/>
                <w:sz w:val="17"/>
              </w:rPr>
              <w:t>5–6</w:t>
            </w:r>
          </w:p>
        </w:tc>
        <w:tc>
          <w:tcPr>
            <w:tcW w:type="dxa" w:w="1814"/>
            <w:tcMar>
              <w:top w:w="70" w:type="dxa"/>
              <w:left w:w="90" w:type="dxa"/>
              <w:bottom w:w="70" w:type="dxa"/>
              <w:right w:w="90" w:type="dxa"/>
            </w:tcMar>
          </w:tcPr>
          <w:p>
            <w:pPr>
              <w:spacing w:after="0" w:line="276" w:lineRule="auto"/>
            </w:pPr>
            <w:r>
              <w:rPr>
                <w:rFonts w:ascii="맑은 고딕" w:hAnsi="맑은 고딕" w:eastAsia="맑은 고딕" w:cs="맑은 고딕"/>
                <w:b w:val="0"/>
                <w:sz w:val="17"/>
              </w:rPr>
              <w:t>판단 보류</w:t>
            </w:r>
          </w:p>
        </w:tc>
        <w:tc>
          <w:tcPr>
            <w:tcW w:type="dxa" w:w="1814"/>
            <w:tcMar>
              <w:top w:w="70" w:type="dxa"/>
              <w:left w:w="90" w:type="dxa"/>
              <w:bottom w:w="70" w:type="dxa"/>
              <w:right w:w="90" w:type="dxa"/>
            </w:tcMar>
          </w:tcPr>
          <w:p>
            <w:pPr>
              <w:spacing w:after="0" w:line="276" w:lineRule="auto"/>
            </w:pPr>
            <w:r>
              <w:rPr>
                <w:rFonts w:ascii="맑은 고딕" w:hAnsi="맑은 고딕" w:eastAsia="맑은 고딕" w:cs="맑은 고딕"/>
                <w:b w:val="0"/>
                <w:sz w:val="17"/>
              </w:rPr>
              <w:t>5.00†</w:t>
            </w:r>
          </w:p>
        </w:tc>
        <w:tc>
          <w:tcPr>
            <w:tcW w:type="dxa" w:w="1814"/>
            <w:tcMar>
              <w:top w:w="70" w:type="dxa"/>
              <w:left w:w="90" w:type="dxa"/>
              <w:bottom w:w="70" w:type="dxa"/>
              <w:right w:w="90" w:type="dxa"/>
            </w:tcMar>
          </w:tcPr>
          <w:p>
            <w:pPr>
              <w:spacing w:after="0" w:line="276" w:lineRule="auto"/>
            </w:pPr>
            <w:r>
              <w:rPr>
                <w:rFonts w:ascii="맑은 고딕" w:hAnsi="맑은 고딕" w:eastAsia="맑은 고딕" w:cs="맑은 고딕"/>
                <w:b w:val="0"/>
                <w:sz w:val="17"/>
              </w:rPr>
              <w:t>판단 보류</w:t>
            </w:r>
          </w:p>
        </w:tc>
      </w:tr>
    </w:tbl>
    <w:p>
      <w:pPr>
        <w:spacing w:after="80" w:line="324" w:lineRule="auto"/>
      </w:pPr>
    </w:p>
    <w:p>
      <w:pPr>
        <w:keepNext/>
        <w:spacing w:after="80" w:line="324" w:lineRule="auto"/>
      </w:pPr>
      <w:r>
        <w:rPr>
          <w:rFonts w:ascii="맑은 고딕" w:hAnsi="맑은 고딕" w:eastAsia="맑은 고딕" w:cs="맑은 고딕"/>
          <w:b w:val="0"/>
          <w:sz w:val="20"/>
        </w:rPr>
        <w:t>† 잠정 점수: 이 관점은 재시도 1회 후에도 Judge 근거 기준(출처 계열 비중·찬반 근거 계열 수)에 미달해 해석이 제한된다(6장 참고).</w:t>
      </w:r>
    </w:p>
    <w:tbl>
      <w:tblPr>
        <w:jc w:val="center"/>
        <w:tblLook w:firstColumn="1" w:firstRow="1" w:lastColumn="0" w:lastRow="0" w:noHBand="0" w:noVBand="1" w:val="04A0"/>
        <w:tblBorders>
          <w:top w:val="single" w:color="161A58" w:sz="8"/>
          <w:left w:val="none" w:color="FFFFFF" w:sz="0"/>
          <w:bottom w:val="single" w:color="161A58" w:sz="8"/>
          <w:right w:val="none" w:color="FFFFFF" w:sz="0"/>
          <w:insideH w:val="single" w:color="D8DAE5" w:sz="2"/>
          <w:insideV w:val="single" w:color="D8DAE5" w:sz="2"/>
        </w:tblBorders>
        <w:tblW w:w="9072" w:type="dxa"/>
        <w:tblLayout w:type="fixed"/>
      </w:tblPr>
      <w:tblGrid>
        <w:gridCol w:w="1701"/>
        <w:gridCol w:w="3402"/>
        <w:gridCol w:w="1417"/>
        <w:gridCol w:w="2551"/>
      </w:tblGrid>
      <w:tr>
        <w:trPr>
          <w:cantSplit/>
          <w:tblHeader w:val="true"/>
        </w:trPr>
        <w:tc>
          <w:tcPr>
            <w:tcW w:type="dxa" w:w="1701"/>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기술</w:t>
            </w:r>
          </w:p>
        </w:tc>
        <w:tc>
          <w:tcPr>
            <w:tcW w:type="dxa" w:w="3402"/>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관점 쌍</w:t>
            </w:r>
          </w:p>
        </w:tc>
        <w:tc>
          <w:tcPr>
            <w:tcW w:type="dxa" w:w="1417"/>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점수 차</w:t>
            </w:r>
          </w:p>
        </w:tc>
        <w:tc>
          <w:tcPr>
            <w:tcW w:type="dxa" w:w="2551"/>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판정</w:t>
            </w:r>
          </w:p>
        </w:tc>
      </w:tr>
      <w:tr>
        <w:trPr>
          <w:cantSplit/>
        </w:trPr>
        <w:tc>
          <w:tcPr>
            <w:tcW w:type="dxa" w:w="1701"/>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TurboQuant</w:t>
            </w:r>
          </w:p>
        </w:tc>
        <w:tc>
          <w:tcPr>
            <w:tcW w:type="dxa" w:w="3402"/>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시장성 – 이해관계자</w:t>
            </w:r>
          </w:p>
        </w:tc>
        <w:tc>
          <w:tcPr>
            <w:tcW w:type="dxa" w:w="141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0.15</w:t>
            </w:r>
          </w:p>
        </w:tc>
        <w:tc>
          <w:tcPr>
            <w:tcW w:type="dxa" w:w="2551"/>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일치</w:t>
            </w:r>
          </w:p>
        </w:tc>
      </w:tr>
      <w:tr>
        <w:trPr>
          <w:cantSplit/>
        </w:trPr>
        <w:tc>
          <w:tcPr>
            <w:tcW w:type="dxa" w:w="1701"/>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TurboQuant</w:t>
            </w:r>
          </w:p>
        </w:tc>
        <w:tc>
          <w:tcPr>
            <w:tcW w:type="dxa" w:w="3402"/>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시장성 – 도메인 적합성</w:t>
            </w:r>
          </w:p>
        </w:tc>
        <w:tc>
          <w:tcPr>
            <w:tcW w:type="dxa" w:w="141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0.43</w:t>
            </w:r>
          </w:p>
        </w:tc>
        <w:tc>
          <w:tcPr>
            <w:tcW w:type="dxa" w:w="2551"/>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일치</w:t>
            </w:r>
          </w:p>
        </w:tc>
      </w:tr>
      <w:tr>
        <w:trPr>
          <w:cantSplit/>
        </w:trPr>
        <w:tc>
          <w:tcPr>
            <w:tcW w:type="dxa" w:w="1701"/>
            <w:tcMar>
              <w:top w:w="70" w:type="dxa"/>
              <w:left w:w="90" w:type="dxa"/>
              <w:bottom w:w="70" w:type="dxa"/>
              <w:right w:w="90" w:type="dxa"/>
            </w:tcMar>
          </w:tcPr>
          <w:p>
            <w:pPr>
              <w:spacing w:after="0" w:line="276" w:lineRule="auto"/>
            </w:pPr>
            <w:r>
              <w:rPr>
                <w:rFonts w:ascii="맑은 고딕" w:hAnsi="맑은 고딕" w:eastAsia="맑은 고딕" w:cs="맑은 고딕"/>
                <w:b w:val="0"/>
                <w:sz w:val="17"/>
              </w:rPr>
              <w:t>TurboQuant</w:t>
            </w:r>
          </w:p>
        </w:tc>
        <w:tc>
          <w:tcPr>
            <w:tcW w:type="dxa" w:w="3402"/>
            <w:tcMar>
              <w:top w:w="70" w:type="dxa"/>
              <w:left w:w="90" w:type="dxa"/>
              <w:bottom w:w="70" w:type="dxa"/>
              <w:right w:w="90" w:type="dxa"/>
            </w:tcMar>
          </w:tcPr>
          <w:p>
            <w:pPr>
              <w:spacing w:after="0" w:line="276" w:lineRule="auto"/>
            </w:pPr>
            <w:r>
              <w:rPr>
                <w:rFonts w:ascii="맑은 고딕" w:hAnsi="맑은 고딕" w:eastAsia="맑은 고딕" w:cs="맑은 고딕"/>
                <w:b w:val="0"/>
                <w:sz w:val="17"/>
              </w:rPr>
              <w:t>이해관계자 – 도메인 적합성</w:t>
            </w:r>
          </w:p>
        </w:tc>
        <w:tc>
          <w:tcPr>
            <w:tcW w:type="dxa" w:w="1417"/>
            <w:tcMar>
              <w:top w:w="70" w:type="dxa"/>
              <w:left w:w="90" w:type="dxa"/>
              <w:bottom w:w="70" w:type="dxa"/>
              <w:right w:w="90" w:type="dxa"/>
            </w:tcMar>
          </w:tcPr>
          <w:p>
            <w:pPr>
              <w:spacing w:after="0" w:line="276" w:lineRule="auto"/>
            </w:pPr>
            <w:r>
              <w:rPr>
                <w:rFonts w:ascii="맑은 고딕" w:hAnsi="맑은 고딕" w:eastAsia="맑은 고딕" w:cs="맑은 고딕"/>
                <w:b w:val="0"/>
                <w:sz w:val="17"/>
              </w:rPr>
              <w:t>0.28</w:t>
            </w:r>
          </w:p>
        </w:tc>
        <w:tc>
          <w:tcPr>
            <w:tcW w:type="dxa" w:w="2551"/>
            <w:tcMar>
              <w:top w:w="70" w:type="dxa"/>
              <w:left w:w="90" w:type="dxa"/>
              <w:bottom w:w="70" w:type="dxa"/>
              <w:right w:w="90" w:type="dxa"/>
            </w:tcMar>
          </w:tcPr>
          <w:p>
            <w:pPr>
              <w:spacing w:after="0" w:line="276" w:lineRule="auto"/>
            </w:pPr>
            <w:r>
              <w:rPr>
                <w:rFonts w:ascii="맑은 고딕" w:hAnsi="맑은 고딕" w:eastAsia="맑은 고딕" w:cs="맑은 고딕"/>
                <w:b w:val="0"/>
                <w:sz w:val="17"/>
              </w:rPr>
              <w:t>일치</w:t>
            </w:r>
          </w:p>
        </w:tc>
      </w:tr>
    </w:tbl>
    <w:p>
      <w:pPr>
        <w:spacing w:after="80" w:line="324" w:lineRule="auto"/>
      </w:pPr>
    </w:p>
    <w:p>
      <w:pPr>
        <w:spacing w:after="80" w:line="324" w:lineRule="auto"/>
      </w:pPr>
      <w:r>
        <w:rPr>
          <w:rFonts w:ascii="맑은 고딕" w:hAnsi="맑은 고딕" w:eastAsia="맑은 고딕" w:cs="맑은 고딕"/>
          <w:b w:val="0"/>
          <w:sz w:val="20"/>
        </w:rPr>
        <w:t>판정 기준: 점수 차 2.0 이상 상충, 1.0 이상 2.0 미만 부분 상충, 1.0 미만 일치. 같은 기술 안에서만 비교하고 두 기술을 합치거나 순위를 매기지 않는다.</w:t>
      </w:r>
    </w:p>
    <w:p>
      <w:pPr>
        <w:pStyle w:val="Heading2"/>
        <w:keepNext/>
      </w:pPr>
      <w:r>
        <w:rPr>
          <w:rFonts w:ascii="맑은 고딕" w:hAnsi="맑은 고딕" w:eastAsia="맑은 고딕" w:cs="맑은 고딕"/>
          <w:b/>
          <w:color w:val="161A58"/>
          <w:sz w:val="25"/>
        </w:rPr>
        <w:t>5.2 주요 상충 지점</w:t>
      </w:r>
    </w:p>
    <w:p>
      <w:pPr>
        <w:spacing w:after="40" w:line="312" w:lineRule="auto"/>
        <w:ind w:left="312" w:hanging="227"/>
      </w:pPr>
      <w:r>
        <w:rPr>
          <w:rFonts w:ascii="맑은 고딕" w:hAnsi="맑은 고딕" w:eastAsia="맑은 고딕" w:cs="맑은 고딕"/>
          <w:b/>
          <w:color w:val="7F4ACB"/>
          <w:sz w:val="20"/>
        </w:rPr>
        <w:t xml:space="preserve">• </w:t>
      </w:r>
      <w:r>
        <w:rPr>
          <w:rFonts w:ascii="맑은 고딕" w:hAnsi="맑은 고딕" w:eastAsia="맑은 고딕" w:cs="맑은 고딕"/>
          <w:b w:val="0"/>
          <w:sz w:val="20"/>
        </w:rPr>
        <w:t>상충 또는 부분 상충으로 판정된 관점 쌍이 없거나, 해설 문장이 Judge 근거 검사를 통과하지 못해 표의 판정만 싣는다.</w:t>
      </w:r>
    </w:p>
    <w:p>
      <w:pPr>
        <w:pStyle w:val="Heading2"/>
        <w:keepNext/>
      </w:pPr>
      <w:r>
        <w:rPr>
          <w:rFonts w:ascii="맑은 고딕" w:hAnsi="맑은 고딕" w:eastAsia="맑은 고딕" w:cs="맑은 고딕"/>
          <w:b/>
          <w:color w:val="161A58"/>
          <w:sz w:val="25"/>
        </w:rPr>
        <w:t>5.3 가설 판정</w:t>
      </w:r>
    </w:p>
    <w:tbl>
      <w:tblPr>
        <w:jc w:val="center"/>
        <w:tblLook w:firstColumn="1" w:firstRow="1" w:lastColumn="0" w:lastRow="0" w:noHBand="0" w:noVBand="1" w:val="04A0"/>
        <w:tblBorders>
          <w:top w:val="single" w:color="161A58" w:sz="8"/>
          <w:left w:val="none" w:color="FFFFFF" w:sz="0"/>
          <w:bottom w:val="single" w:color="161A58" w:sz="8"/>
          <w:right w:val="none" w:color="FFFFFF" w:sz="0"/>
          <w:insideH w:val="single" w:color="D8DAE5" w:sz="2"/>
          <w:insideV w:val="single" w:color="D8DAE5" w:sz="2"/>
        </w:tblBorders>
        <w:tblW w:w="9072" w:type="dxa"/>
        <w:tblLayout w:type="fixed"/>
      </w:tblPr>
      <w:tblGrid>
        <w:gridCol w:w="793"/>
        <w:gridCol w:w="1247"/>
        <w:gridCol w:w="7030"/>
      </w:tblGrid>
      <w:tr>
        <w:trPr>
          <w:cantSplit/>
          <w:tblHeader w:val="true"/>
        </w:trPr>
        <w:tc>
          <w:tcPr>
            <w:tcW w:type="dxa" w:w="794"/>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가설</w:t>
            </w:r>
          </w:p>
        </w:tc>
        <w:tc>
          <w:tcPr>
            <w:tcW w:type="dxa" w:w="1247"/>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판정</w:t>
            </w:r>
          </w:p>
        </w:tc>
        <w:tc>
          <w:tcPr>
            <w:tcW w:type="dxa" w:w="7030"/>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근거</w:t>
            </w:r>
          </w:p>
        </w:tc>
      </w:tr>
      <w:tr>
        <w:trPr>
          <w:cantSplit/>
        </w:trPr>
        <w:tc>
          <w:tcPr>
            <w:tcW w:type="dxa" w:w="79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H1</w:t>
            </w:r>
          </w:p>
        </w:tc>
        <w:tc>
          <w:tcPr>
            <w:tcW w:type="dxa" w:w="124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부분 지지</w:t>
            </w:r>
          </w:p>
        </w:tc>
        <w:tc>
          <w:tcPr>
            <w:tcW w:type="dxa" w:w="7030"/>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TurboQuant: TRL 4–5 (신뢰도 높음), 시장성 4.35 → 부분 괴리 (기대 선행); ITME: TRL 5–6 (신뢰도 보통), 시장성 판단 보류 → 판단 보류 (C.5 격자, 코드 계산) [2, p.8·10; 1, p.15; 3]</w:t>
            </w:r>
          </w:p>
        </w:tc>
      </w:tr>
      <w:tr>
        <w:trPr>
          <w:cantSplit/>
        </w:trPr>
        <w:tc>
          <w:tcPr>
            <w:tcW w:type="dxa" w:w="79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H2</w:t>
            </w:r>
          </w:p>
        </w:tc>
        <w:tc>
          <w:tcPr>
            <w:tcW w:type="dxa" w:w="124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기각</w:t>
            </w:r>
          </w:p>
        </w:tc>
        <w:tc>
          <w:tcPr>
            <w:tcW w:type="dxa" w:w="7030"/>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TurboQuant: 기술 언급 24건, 생태계·전략 언급 6건 → 기각; ITME: 기술 언급 15건, 생태계·전략 언급 11건 → 기각 (개발사 발언 제외, C.7 기준, 코드 계산) [20; 37; 38; 18]</w:t>
            </w:r>
          </w:p>
        </w:tc>
      </w:tr>
      <w:tr>
        <w:trPr>
          <w:cantSplit/>
        </w:trPr>
        <w:tc>
          <w:tcPr>
            <w:tcW w:type="dxa" w:w="79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H3</w:t>
            </w:r>
          </w:p>
        </w:tc>
        <w:tc>
          <w:tcPr>
            <w:tcW w:type="dxa" w:w="124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판단 보류</w:t>
            </w:r>
          </w:p>
        </w:tc>
        <w:tc>
          <w:tcPr>
            <w:tcW w:type="dxa" w:w="7030"/>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TurboQuant: W1 5.0, W2 4.5, 3점을 사이에 두고 갈리는 기준 없음 → 기각; ITME: W1·W2 점수를 낼 근거가 부족해 판단 보류 (평가 가능한 기술이 일부뿐이라 가설 전체는 판단 보류) (C.7 기준, 코드 계산) [2, p.2·11; 29]</w:t>
            </w:r>
          </w:p>
        </w:tc>
      </w:tr>
      <w:tr>
        <w:trPr>
          <w:cantSplit/>
        </w:trPr>
        <w:tc>
          <w:tcPr>
            <w:tcW w:type="dxa" w:w="794"/>
            <w:tcMar>
              <w:top w:w="70" w:type="dxa"/>
              <w:left w:w="90" w:type="dxa"/>
              <w:bottom w:w="70" w:type="dxa"/>
              <w:right w:w="90" w:type="dxa"/>
            </w:tcMar>
          </w:tcPr>
          <w:p>
            <w:pPr>
              <w:spacing w:after="0" w:line="276" w:lineRule="auto"/>
            </w:pPr>
            <w:r>
              <w:rPr>
                <w:rFonts w:ascii="맑은 고딕" w:hAnsi="맑은 고딕" w:eastAsia="맑은 고딕" w:cs="맑은 고딕"/>
                <w:b w:val="0"/>
                <w:sz w:val="17"/>
              </w:rPr>
              <w:t>H4</w:t>
            </w:r>
          </w:p>
        </w:tc>
        <w:tc>
          <w:tcPr>
            <w:tcW w:type="dxa" w:w="1247"/>
            <w:tcMar>
              <w:top w:w="70" w:type="dxa"/>
              <w:left w:w="90" w:type="dxa"/>
              <w:bottom w:w="70" w:type="dxa"/>
              <w:right w:w="90" w:type="dxa"/>
            </w:tcMar>
          </w:tcPr>
          <w:p>
            <w:pPr>
              <w:spacing w:after="0" w:line="276" w:lineRule="auto"/>
            </w:pPr>
            <w:r>
              <w:rPr>
                <w:rFonts w:ascii="맑은 고딕" w:hAnsi="맑은 고딕" w:eastAsia="맑은 고딕" w:cs="맑은 고딕"/>
                <w:b w:val="0"/>
                <w:sz w:val="17"/>
              </w:rPr>
              <w:t>부분 지지</w:t>
            </w:r>
          </w:p>
        </w:tc>
        <w:tc>
          <w:tcPr>
            <w:tcW w:type="dxa" w:w="7030"/>
            <w:tcMar>
              <w:top w:w="70" w:type="dxa"/>
              <w:left w:w="90" w:type="dxa"/>
              <w:bottom w:w="70" w:type="dxa"/>
              <w:right w:w="90" w:type="dxa"/>
            </w:tcMar>
          </w:tcPr>
          <w:p>
            <w:pPr>
              <w:spacing w:after="0" w:line="276" w:lineRule="auto"/>
            </w:pPr>
            <w:r>
              <w:rPr>
                <w:rFonts w:ascii="맑은 고딕" w:hAnsi="맑은 고딕" w:eastAsia="맑은 고딕" w:cs="맑은 고딕"/>
                <w:b w:val="0"/>
                <w:sz w:val="17"/>
              </w:rPr>
              <w:t>TurboQuant은 도입 주체별 근거(adopters)가 존재하나 함께 쓰는 사례(co_use_ids)는 없고, ITME는 함께 쓰는 사례가 있으나 도입 주체별 근거는 없다. 따라서 두 기술 모두 한쪽만 근거가 있어 H4 가설에 부분적으로 부합한다.</w:t>
            </w:r>
          </w:p>
        </w:tc>
      </w:tr>
    </w:tbl>
    <w:p>
      <w:pPr>
        <w:spacing w:after="80" w:line="324" w:lineRule="auto"/>
      </w:pPr>
    </w:p>
    <w:p>
      <w:pPr>
        <w:spacing w:after="80" w:line="324" w:lineRule="auto"/>
      </w:pPr>
      <w:r>
        <w:rPr>
          <w:rFonts w:ascii="맑은 고딕" w:hAnsi="맑은 고딕" w:eastAsia="맑은 고딕" w:cs="맑은 고딕"/>
          <w:b w:val="0"/>
          <w:sz w:val="20"/>
        </w:rPr>
        <w:t>H1은 TRL 범위의 가운데 값과 시장성 점수로 설계서 C.5의 3×3 격자에서 코드로 판정했다: TurboQuant 부분 괴리 (기대 선행); ITME 판단 보류.</w:t>
      </w:r>
    </w:p>
    <w:p>
      <w:pPr>
        <w:pStyle w:val="Heading2"/>
        <w:keepNext/>
      </w:pPr>
      <w:r>
        <w:rPr>
          <w:rFonts w:ascii="맑은 고딕" w:hAnsi="맑은 고딕" w:eastAsia="맑은 고딕" w:cs="맑은 고딕"/>
          <w:b/>
          <w:color w:val="161A58"/>
          <w:sz w:val="25"/>
        </w:rPr>
        <w:t>5.4 조건별 시사점(추천 아님)</w:t>
      </w:r>
    </w:p>
    <w:p>
      <w:pPr>
        <w:spacing w:after="40" w:line="312" w:lineRule="auto"/>
        <w:ind w:left="312" w:hanging="227"/>
      </w:pPr>
      <w:r>
        <w:rPr>
          <w:rFonts w:ascii="맑은 고딕" w:hAnsi="맑은 고딕" w:eastAsia="맑은 고딕" w:cs="맑은 고딕"/>
          <w:b/>
          <w:color w:val="7F4ACB"/>
          <w:sz w:val="20"/>
        </w:rPr>
        <w:t xml:space="preserve">• </w:t>
      </w:r>
      <w:r>
        <w:rPr>
          <w:rFonts w:ascii="맑은 고딕" w:hAnsi="맑은 고딕" w:eastAsia="맑은 고딕" w:cs="맑은 고딕"/>
          <w:b w:val="0"/>
          <w:sz w:val="20"/>
        </w:rPr>
        <w:t>긴 컨텍스트 LLM 추론 환경에서는 TurboQuant이 3비트 양자화로 KV 캐시 메모리를 최대 6배 줄이고 최대 8배 추론 속도 향상을 보고한 근거가 관련된다[1, p.18; 10; 16].</w:t>
      </w:r>
    </w:p>
    <w:p>
      <w:pPr>
        <w:spacing w:after="40" w:line="312" w:lineRule="auto"/>
        <w:ind w:left="312" w:hanging="227"/>
      </w:pPr>
      <w:r>
        <w:rPr>
          <w:rFonts w:ascii="맑은 고딕" w:hAnsi="맑은 고딕" w:eastAsia="맑은 고딕" w:cs="맑은 고딕"/>
          <w:b/>
          <w:color w:val="7F4ACB"/>
          <w:sz w:val="20"/>
        </w:rPr>
        <w:t xml:space="preserve">• </w:t>
      </w:r>
      <w:r>
        <w:rPr>
          <w:rFonts w:ascii="맑은 고딕" w:hAnsi="맑은 고딕" w:eastAsia="맑은 고딕" w:cs="맑은 고딕"/>
          <w:b w:val="0"/>
          <w:sz w:val="20"/>
        </w:rPr>
        <w:t>CXL 하이브리드 메모리와 PCIe Gen5 인터페이스를 갖춘 하드웨어 환경에서는 ITME가 대규모 KV 캐시 확장과 지연 민감 작업의 고속 메모리 배치를 지원하는 근거가 관련된다[2, p.11; 14].</w:t>
      </w:r>
    </w:p>
    <w:p>
      <w:pPr>
        <w:spacing w:after="40" w:line="312" w:lineRule="auto"/>
        <w:ind w:left="312" w:hanging="227"/>
      </w:pPr>
      <w:r>
        <w:rPr>
          <w:rFonts w:ascii="맑은 고딕" w:hAnsi="맑은 고딕" w:eastAsia="맑은 고딕" w:cs="맑은 고딕"/>
          <w:b/>
          <w:color w:val="7F4ACB"/>
          <w:sz w:val="20"/>
        </w:rPr>
        <w:t xml:space="preserve">• </w:t>
      </w:r>
      <w:r>
        <w:rPr>
          <w:rFonts w:ascii="맑은 고딕" w:hAnsi="맑은 고딕" w:eastAsia="맑은 고딕" w:cs="맑은 고딕"/>
          <w:b w:val="0"/>
          <w:sz w:val="20"/>
        </w:rPr>
        <w:t>기존 GPU 보유 여부에 따라 TurboQuant은 NVIDIA A100, RTX 3090, H100 등에서 실험적 검증과 오픈소스 구현이 진행 중인 점이 관련된다[1, p.15; 4].</w:t>
      </w:r>
    </w:p>
    <w:p>
      <w:pPr>
        <w:spacing w:after="40" w:line="312" w:lineRule="auto"/>
        <w:ind w:left="312" w:hanging="227"/>
      </w:pPr>
      <w:r>
        <w:rPr>
          <w:rFonts w:ascii="맑은 고딕" w:hAnsi="맑은 고딕" w:eastAsia="맑은 고딕" w:cs="맑은 고딕"/>
          <w:b/>
          <w:color w:val="7F4ACB"/>
          <w:sz w:val="20"/>
        </w:rPr>
        <w:t xml:space="preserve">• </w:t>
      </w:r>
      <w:r>
        <w:rPr>
          <w:rFonts w:ascii="맑은 고딕" w:hAnsi="맑은 고딕" w:eastAsia="맑은 고딕" w:cs="맑은 고딕"/>
          <w:b w:val="0"/>
          <w:sz w:val="20"/>
        </w:rPr>
        <w:t>도입 주체가 클라우드·데이터센터 사업자나 GPU·메모리 벤더인 경우 TurboQuant은 KV 캐시 압축과 메모리 비용 절감 효과에 대해 강한 지지를 받았으나, ITME는 해당 집단에서 근거가 부족한 점이 관련된다[18; 19; 20].</w:t>
      </w:r>
    </w:p>
    <w:p>
      <w:pPr>
        <w:pStyle w:val="Heading1"/>
        <w:keepNext/>
        <w:pageBreakBefore w:val="0"/>
      </w:pPr>
      <w:r>
        <w:rPr>
          <w:rFonts w:ascii="맑은 고딕" w:hAnsi="맑은 고딕" w:eastAsia="맑은 고딕" w:cs="맑은 고딕"/>
          <w:b/>
          <w:color w:val="161A58"/>
          <w:sz w:val="30"/>
        </w:rPr>
        <w:t>6. 한계점</w:t>
      </w:r>
    </w:p>
    <w:p>
      <w:pPr>
        <w:pStyle w:val="Heading2"/>
        <w:keepNext/>
      </w:pPr>
      <w:r>
        <w:rPr>
          <w:rFonts w:ascii="맑은 고딕" w:hAnsi="맑은 고딕" w:eastAsia="맑은 고딕" w:cs="맑은 고딕"/>
          <w:b/>
          <w:color w:val="161A58"/>
          <w:sz w:val="25"/>
        </w:rPr>
        <w:t>6.1 확증편향 방지 조치와 실행 결과</w:t>
      </w:r>
    </w:p>
    <w:tbl>
      <w:tblPr>
        <w:jc w:val="center"/>
        <w:tblLook w:firstColumn="1" w:firstRow="1" w:lastColumn="0" w:lastRow="0" w:noHBand="0" w:noVBand="1" w:val="04A0"/>
        <w:tblBorders>
          <w:top w:val="single" w:color="161A58" w:sz="8"/>
          <w:left w:val="none" w:color="FFFFFF" w:sz="0"/>
          <w:bottom w:val="single" w:color="161A58" w:sz="8"/>
          <w:right w:val="none" w:color="FFFFFF" w:sz="0"/>
          <w:insideH w:val="single" w:color="D8DAE5" w:sz="2"/>
          <w:insideV w:val="single" w:color="D8DAE5" w:sz="2"/>
        </w:tblBorders>
        <w:tblW w:w="9072" w:type="dxa"/>
        <w:tblLayout w:type="fixed"/>
      </w:tblPr>
      <w:tblGrid>
        <w:gridCol w:w="1247"/>
        <w:gridCol w:w="1644"/>
        <w:gridCol w:w="1077"/>
        <w:gridCol w:w="2381"/>
        <w:gridCol w:w="793"/>
        <w:gridCol w:w="793"/>
        <w:gridCol w:w="1134"/>
      </w:tblGrid>
      <w:tr>
        <w:trPr>
          <w:cantSplit/>
          <w:tblHeader w:val="true"/>
        </w:trPr>
        <w:tc>
          <w:tcPr>
            <w:tcW w:type="dxa" w:w="1247"/>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관점</w:t>
            </w:r>
          </w:p>
        </w:tc>
        <w:tc>
          <w:tcPr>
            <w:tcW w:type="dxa" w:w="1644"/>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Judge 근거·중립·다양성·완결</w:t>
            </w:r>
          </w:p>
        </w:tc>
        <w:tc>
          <w:tcPr>
            <w:tcW w:type="dxa" w:w="1077"/>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최대 계열 비중</w:t>
            </w:r>
          </w:p>
        </w:tc>
        <w:tc>
          <w:tcPr>
            <w:tcW w:type="dxa" w:w="2381"/>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찬반·범위 근거 계열</w:t>
            </w:r>
          </w:p>
        </w:tc>
        <w:tc>
          <w:tcPr>
            <w:tcW w:type="dxa" w:w="794"/>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우열 어휘</w:t>
            </w:r>
          </w:p>
        </w:tc>
        <w:tc>
          <w:tcPr>
            <w:tcW w:type="dxa" w:w="794"/>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재실행</w:t>
            </w:r>
          </w:p>
        </w:tc>
        <w:tc>
          <w:tcPr>
            <w:tcW w:type="dxa" w:w="1134"/>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결과</w:t>
            </w:r>
          </w:p>
        </w:tc>
      </w:tr>
      <w:tr>
        <w:trPr>
          <w:cantSplit/>
        </w:trPr>
        <w:tc>
          <w:tcPr>
            <w:tcW w:type="dxa" w:w="124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TRL</w:t>
            </w:r>
          </w:p>
        </w:tc>
        <w:tc>
          <w:tcPr>
            <w:tcW w:type="dxa" w:w="164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5/5/4/5</w:t>
            </w:r>
          </w:p>
        </w:tc>
        <w:tc>
          <w:tcPr>
            <w:tcW w:type="dxa" w:w="107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67%</w:t>
            </w:r>
          </w:p>
        </w:tc>
        <w:tc>
          <w:tcPr>
            <w:tcW w:type="dxa" w:w="2381"/>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TurboQuant 하·상한 3, ITME 하·상한 1</w:t>
            </w:r>
          </w:p>
        </w:tc>
        <w:tc>
          <w:tcPr>
            <w:tcW w:type="dxa" w:w="79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0</w:t>
            </w:r>
          </w:p>
        </w:tc>
        <w:tc>
          <w:tcPr>
            <w:tcW w:type="dxa" w:w="79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1</w:t>
            </w:r>
          </w:p>
        </w:tc>
        <w:tc>
          <w:tcPr>
            <w:tcW w:type="dxa" w:w="113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판정 불확실</w:t>
            </w:r>
          </w:p>
        </w:tc>
      </w:tr>
      <w:tr>
        <w:trPr>
          <w:cantSplit/>
        </w:trPr>
        <w:tc>
          <w:tcPr>
            <w:tcW w:type="dxa" w:w="124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시장성</w:t>
            </w:r>
          </w:p>
        </w:tc>
        <w:tc>
          <w:tcPr>
            <w:tcW w:type="dxa" w:w="164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5/5/4/4</w:t>
            </w:r>
          </w:p>
        </w:tc>
        <w:tc>
          <w:tcPr>
            <w:tcW w:type="dxa" w:w="107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100%</w:t>
            </w:r>
          </w:p>
        </w:tc>
        <w:tc>
          <w:tcPr>
            <w:tcW w:type="dxa" w:w="2381"/>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TurboQuant 찬7/반3, ITME 찬1/반0</w:t>
            </w:r>
          </w:p>
        </w:tc>
        <w:tc>
          <w:tcPr>
            <w:tcW w:type="dxa" w:w="79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0</w:t>
            </w:r>
          </w:p>
        </w:tc>
        <w:tc>
          <w:tcPr>
            <w:tcW w:type="dxa" w:w="79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1</w:t>
            </w:r>
          </w:p>
        </w:tc>
        <w:tc>
          <w:tcPr>
            <w:tcW w:type="dxa" w:w="113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판정 불확실</w:t>
            </w:r>
          </w:p>
        </w:tc>
      </w:tr>
      <w:tr>
        <w:trPr>
          <w:cantSplit/>
        </w:trPr>
        <w:tc>
          <w:tcPr>
            <w:tcW w:type="dxa" w:w="124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이해관계자</w:t>
            </w:r>
          </w:p>
        </w:tc>
        <w:tc>
          <w:tcPr>
            <w:tcW w:type="dxa" w:w="164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5/5/4/4</w:t>
            </w:r>
          </w:p>
        </w:tc>
        <w:tc>
          <w:tcPr>
            <w:tcW w:type="dxa" w:w="107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50%</w:t>
            </w:r>
          </w:p>
        </w:tc>
        <w:tc>
          <w:tcPr>
            <w:tcW w:type="dxa" w:w="2381"/>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TurboQuant 찬14/반2, ITME 찬2/반0</w:t>
            </w:r>
          </w:p>
        </w:tc>
        <w:tc>
          <w:tcPr>
            <w:tcW w:type="dxa" w:w="79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0</w:t>
            </w:r>
          </w:p>
        </w:tc>
        <w:tc>
          <w:tcPr>
            <w:tcW w:type="dxa" w:w="79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1</w:t>
            </w:r>
          </w:p>
        </w:tc>
        <w:tc>
          <w:tcPr>
            <w:tcW w:type="dxa" w:w="113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판정 불확실</w:t>
            </w:r>
          </w:p>
        </w:tc>
      </w:tr>
      <w:tr>
        <w:trPr>
          <w:cantSplit/>
        </w:trPr>
        <w:tc>
          <w:tcPr>
            <w:tcW w:type="dxa" w:w="1247"/>
            <w:tcMar>
              <w:top w:w="70" w:type="dxa"/>
              <w:left w:w="90" w:type="dxa"/>
              <w:bottom w:w="70" w:type="dxa"/>
              <w:right w:w="90" w:type="dxa"/>
            </w:tcMar>
          </w:tcPr>
          <w:p>
            <w:pPr>
              <w:spacing w:after="0" w:line="276" w:lineRule="auto"/>
            </w:pPr>
            <w:r>
              <w:rPr>
                <w:rFonts w:ascii="맑은 고딕" w:hAnsi="맑은 고딕" w:eastAsia="맑은 고딕" w:cs="맑은 고딕"/>
                <w:b w:val="0"/>
                <w:sz w:val="17"/>
              </w:rPr>
              <w:t>도메인 적합성</w:t>
            </w:r>
          </w:p>
        </w:tc>
        <w:tc>
          <w:tcPr>
            <w:tcW w:type="dxa" w:w="1644"/>
            <w:tcMar>
              <w:top w:w="70" w:type="dxa"/>
              <w:left w:w="90" w:type="dxa"/>
              <w:bottom w:w="70" w:type="dxa"/>
              <w:right w:w="90" w:type="dxa"/>
            </w:tcMar>
          </w:tcPr>
          <w:p>
            <w:pPr>
              <w:spacing w:after="0" w:line="276" w:lineRule="auto"/>
            </w:pPr>
            <w:r>
              <w:rPr>
                <w:rFonts w:ascii="맑은 고딕" w:hAnsi="맑은 고딕" w:eastAsia="맑은 고딕" w:cs="맑은 고딕"/>
                <w:b w:val="0"/>
                <w:sz w:val="17"/>
              </w:rPr>
              <w:t>5/5/4/4</w:t>
            </w:r>
          </w:p>
        </w:tc>
        <w:tc>
          <w:tcPr>
            <w:tcW w:type="dxa" w:w="1077"/>
            <w:tcMar>
              <w:top w:w="70" w:type="dxa"/>
              <w:left w:w="90" w:type="dxa"/>
              <w:bottom w:w="70" w:type="dxa"/>
              <w:right w:w="90" w:type="dxa"/>
            </w:tcMar>
          </w:tcPr>
          <w:p>
            <w:pPr>
              <w:spacing w:after="0" w:line="276" w:lineRule="auto"/>
            </w:pPr>
            <w:r>
              <w:rPr>
                <w:rFonts w:ascii="맑은 고딕" w:hAnsi="맑은 고딕" w:eastAsia="맑은 고딕" w:cs="맑은 고딕"/>
                <w:b w:val="0"/>
                <w:sz w:val="17"/>
              </w:rPr>
              <w:t>67%</w:t>
            </w:r>
          </w:p>
        </w:tc>
        <w:tc>
          <w:tcPr>
            <w:tcW w:type="dxa" w:w="2381"/>
            <w:tcMar>
              <w:top w:w="70" w:type="dxa"/>
              <w:left w:w="90" w:type="dxa"/>
              <w:bottom w:w="70" w:type="dxa"/>
              <w:right w:w="90" w:type="dxa"/>
            </w:tcMar>
          </w:tcPr>
          <w:p>
            <w:pPr>
              <w:spacing w:after="0" w:line="276" w:lineRule="auto"/>
            </w:pPr>
            <w:r>
              <w:rPr>
                <w:rFonts w:ascii="맑은 고딕" w:hAnsi="맑은 고딕" w:eastAsia="맑은 고딕" w:cs="맑은 고딕"/>
                <w:b w:val="0"/>
                <w:sz w:val="17"/>
              </w:rPr>
              <w:t>TurboQuant 찬18/반1, ITME 찬2/반0</w:t>
            </w:r>
          </w:p>
        </w:tc>
        <w:tc>
          <w:tcPr>
            <w:tcW w:type="dxa" w:w="794"/>
            <w:tcMar>
              <w:top w:w="70" w:type="dxa"/>
              <w:left w:w="90" w:type="dxa"/>
              <w:bottom w:w="70" w:type="dxa"/>
              <w:right w:w="90" w:type="dxa"/>
            </w:tcMar>
          </w:tcPr>
          <w:p>
            <w:pPr>
              <w:spacing w:after="0" w:line="276" w:lineRule="auto"/>
            </w:pPr>
            <w:r>
              <w:rPr>
                <w:rFonts w:ascii="맑은 고딕" w:hAnsi="맑은 고딕" w:eastAsia="맑은 고딕" w:cs="맑은 고딕"/>
                <w:b w:val="0"/>
                <w:sz w:val="17"/>
              </w:rPr>
              <w:t>0</w:t>
            </w:r>
          </w:p>
        </w:tc>
        <w:tc>
          <w:tcPr>
            <w:tcW w:type="dxa" w:w="794"/>
            <w:tcMar>
              <w:top w:w="70" w:type="dxa"/>
              <w:left w:w="90" w:type="dxa"/>
              <w:bottom w:w="70" w:type="dxa"/>
              <w:right w:w="90" w:type="dxa"/>
            </w:tcMar>
          </w:tcPr>
          <w:p>
            <w:pPr>
              <w:spacing w:after="0" w:line="276" w:lineRule="auto"/>
            </w:pPr>
            <w:r>
              <w:rPr>
                <w:rFonts w:ascii="맑은 고딕" w:hAnsi="맑은 고딕" w:eastAsia="맑은 고딕" w:cs="맑은 고딕"/>
                <w:b w:val="0"/>
                <w:sz w:val="17"/>
              </w:rPr>
              <w:t>1</w:t>
            </w:r>
          </w:p>
        </w:tc>
        <w:tc>
          <w:tcPr>
            <w:tcW w:type="dxa" w:w="1134"/>
            <w:tcMar>
              <w:top w:w="70" w:type="dxa"/>
              <w:left w:w="90" w:type="dxa"/>
              <w:bottom w:w="70" w:type="dxa"/>
              <w:right w:w="90" w:type="dxa"/>
            </w:tcMar>
          </w:tcPr>
          <w:p>
            <w:pPr>
              <w:spacing w:after="0" w:line="276" w:lineRule="auto"/>
            </w:pPr>
            <w:r>
              <w:rPr>
                <w:rFonts w:ascii="맑은 고딕" w:hAnsi="맑은 고딕" w:eastAsia="맑은 고딕" w:cs="맑은 고딕"/>
                <w:b w:val="0"/>
                <w:sz w:val="17"/>
              </w:rPr>
              <w:t>판정 불확실</w:t>
            </w:r>
          </w:p>
        </w:tc>
      </w:tr>
    </w:tbl>
    <w:p>
      <w:pPr>
        <w:spacing w:after="80" w:line="324" w:lineRule="auto"/>
      </w:pPr>
    </w:p>
    <w:p>
      <w:pPr>
        <w:spacing w:after="40" w:line="312" w:lineRule="auto"/>
        <w:ind w:left="312" w:hanging="227"/>
      </w:pPr>
      <w:r>
        <w:rPr>
          <w:rFonts w:ascii="맑은 고딕" w:hAnsi="맑은 고딕" w:eastAsia="맑은 고딕" w:cs="맑은 고딕"/>
          <w:b/>
          <w:color w:val="7F4ACB"/>
          <w:sz w:val="20"/>
        </w:rPr>
        <w:t xml:space="preserve">• </w:t>
      </w:r>
      <w:r>
        <w:rPr>
          <w:rFonts w:ascii="맑은 고딕" w:hAnsi="맑은 고딕" w:eastAsia="맑은 고딕" w:cs="맑은 고딕"/>
          <w:b w:val="0"/>
          <w:sz w:val="20"/>
        </w:rPr>
        <w:t>본문 인용 근거의 출처 구분: 벤더 23건, 제3자 28건, 학술 5건. 관점마다 지지·반대 질의를 짝지어 검색했고, 수집 단계에서 한 원 출처 계열이 웹 근거의 50%를 넘으면 잘라냈으며, 개발사 발언은 이해관계자 점수에서 뺐다. 다만 웹 근거가 1~2건뿐인 경우에는 잘라도 비중이 내려가지 않아 최대 비중이 50%를 넘었고(TRL 67%, 시장성 100%, 도메인 적합성 67%), Judge는 이를 기준 미달로 판정했다.</w:t>
      </w:r>
    </w:p>
    <w:p>
      <w:pPr>
        <w:spacing w:after="40" w:line="312" w:lineRule="auto"/>
        <w:ind w:left="312" w:hanging="227"/>
      </w:pPr>
      <w:r>
        <w:rPr>
          <w:rFonts w:ascii="맑은 고딕" w:hAnsi="맑은 고딕" w:eastAsia="맑은 고딕" w:cs="맑은 고딕"/>
          <w:b/>
          <w:color w:val="7F4ACB"/>
          <w:sz w:val="20"/>
        </w:rPr>
        <w:t xml:space="preserve">• </w:t>
      </w:r>
      <w:r>
        <w:rPr>
          <w:rFonts w:ascii="맑은 고딕" w:hAnsi="맑은 고딕" w:eastAsia="맑은 고딕" w:cs="맑은 고딕"/>
          <w:b w:val="0"/>
          <w:sz w:val="20"/>
        </w:rPr>
        <w:t>반대(한계·우려) 근거 0계열: 시장성 ITME, 이해관계자 ITME, 도메인 적합성 ITME. 관점마다 한계·비판 질의를 지지 질의와 같은 수 이상 검색했으나 기술명을 명시한 독립 반대 근거를 찾지 못했다. 반대 근거가 없다는 것은 반대 의견이 없다는 뜻이 아니라 공개 자료에서 확인되지 않았다는 뜻이며, 이 관점의 점수는 긍정 쪽으로 기울어 있을 수 있다.</w:t>
      </w:r>
    </w:p>
    <w:p>
      <w:pPr>
        <w:spacing w:after="40" w:line="312" w:lineRule="auto"/>
        <w:ind w:left="312" w:hanging="227"/>
      </w:pPr>
      <w:r>
        <w:rPr>
          <w:rFonts w:ascii="맑은 고딕" w:hAnsi="맑은 고딕" w:eastAsia="맑은 고딕" w:cs="맑은 고딕"/>
          <w:b/>
          <w:color w:val="7F4ACB"/>
          <w:sz w:val="20"/>
        </w:rPr>
        <w:t xml:space="preserve">• </w:t>
      </w:r>
      <w:r>
        <w:rPr>
          <w:rFonts w:ascii="맑은 고딕" w:hAnsi="맑은 고딕" w:eastAsia="맑은 고딕" w:cs="맑은 고딕"/>
          <w:b w:val="0"/>
          <w:sz w:val="20"/>
        </w:rPr>
        <w:t>4개 관점은 두 기술 모두 평가했으나 시장성 ITME, 도메인 적합성 ITME은(는) 기술명을 명시한 독립 근거가 2계열 미만이라 판단 보류로 남겼다. 점수를 억지로 채우지 않은 것은 근거 부족을 낮은 점수로 바꾸지 않는다는 채점 규칙(C.6)에 따른 것이다.</w:t>
      </w:r>
    </w:p>
    <w:p>
      <w:pPr>
        <w:spacing w:after="40" w:line="312" w:lineRule="auto"/>
        <w:ind w:left="312" w:hanging="227"/>
      </w:pPr>
      <w:r>
        <w:rPr>
          <w:rFonts w:ascii="맑은 고딕" w:hAnsi="맑은 고딕" w:eastAsia="맑은 고딕" w:cs="맑은 고딕"/>
          <w:b/>
          <w:color w:val="7F4ACB"/>
          <w:sz w:val="20"/>
        </w:rPr>
        <w:t xml:space="preserve">• </w:t>
      </w:r>
      <w:r>
        <w:rPr>
          <w:rFonts w:ascii="맑은 고딕" w:hAnsi="맑은 고딕" w:eastAsia="맑은 고딕" w:cs="맑은 고딕"/>
          <w:b w:val="0"/>
          <w:sz w:val="20"/>
        </w:rPr>
        <w:t>Orchestrator가 SubTask 5개를 동적으로 계획했다(계획 출처 llm, 사용 Agent 5개, 미사용 Agent 2개).</w:t>
      </w:r>
    </w:p>
    <w:p>
      <w:pPr>
        <w:spacing w:after="40" w:line="312" w:lineRule="auto"/>
        <w:ind w:left="312" w:hanging="227"/>
      </w:pPr>
      <w:r>
        <w:rPr>
          <w:rFonts w:ascii="맑은 고딕" w:hAnsi="맑은 고딕" w:eastAsia="맑은 고딕" w:cs="맑은 고딕"/>
          <w:b/>
          <w:color w:val="7F4ACB"/>
          <w:sz w:val="20"/>
        </w:rPr>
        <w:t xml:space="preserve">• </w:t>
      </w:r>
      <w:r>
        <w:rPr>
          <w:rFonts w:ascii="맑은 고딕" w:hAnsi="맑은 고딕" w:eastAsia="맑은 고딕" w:cs="맑은 고딕"/>
          <w:b w:val="0"/>
          <w:sz w:val="20"/>
        </w:rPr>
        <w:t>Judge 판정식은 설계서 D.5를 그대로 썼다. 기준에 못 미친 작업만 같은 담당 Agent가 1회 다시 실행했고, 미사용 Agent의 교차 검토와 Agent 0의 재시도 지시를 거쳤다. 재시도 후에도 미달이면 판정 불확실로 남겼다.</w:t>
      </w:r>
    </w:p>
    <w:p>
      <w:pPr>
        <w:spacing w:after="40" w:line="312" w:lineRule="auto"/>
        <w:ind w:left="312" w:hanging="227"/>
      </w:pPr>
      <w:r>
        <w:rPr>
          <w:rFonts w:ascii="맑은 고딕" w:hAnsi="맑은 고딕" w:eastAsia="맑은 고딕" w:cs="맑은 고딕"/>
          <w:b/>
          <w:color w:val="7F4ACB"/>
          <w:sz w:val="20"/>
        </w:rPr>
        <w:t xml:space="preserve">• </w:t>
      </w:r>
      <w:r>
        <w:rPr>
          <w:rFonts w:ascii="맑은 고딕" w:hAnsi="맑은 고딕" w:eastAsia="맑은 고딕" w:cs="맑은 고딕"/>
          <w:b w:val="0"/>
          <w:sz w:val="20"/>
        </w:rPr>
        <w:t>재시도 1회 후에도 미달(판정 불확실): T01(FAILED_AFTER_RETRY) 한 출처 계열 비중 67%(50% 초과); T02(FAILED_AFTER_RETRY) 한 출처 계열 비중 100%(50% 초과); T03(FAILED_AFTER_RETRY) itme: 찬성 2계열·반대 0계열(각 2 이상 필요); T04(FAILED_AFTER_RETRY) 한 출처 계열 비중 67%(50% 초과)</w:t>
      </w:r>
    </w:p>
    <w:p>
      <w:pPr>
        <w:pStyle w:val="Heading2"/>
        <w:keepNext/>
      </w:pPr>
      <w:r>
        <w:rPr>
          <w:rFonts w:ascii="맑은 고딕" w:hAnsi="맑은 고딕" w:eastAsia="맑은 고딕" w:cs="맑은 고딕"/>
          <w:b/>
          <w:color w:val="161A58"/>
          <w:sz w:val="25"/>
        </w:rPr>
        <w:t>6.2 실행 개요와 보고서 품질 평가</w:t>
      </w:r>
    </w:p>
    <w:p>
      <w:pPr>
        <w:spacing w:after="40" w:line="312" w:lineRule="auto"/>
        <w:ind w:left="312" w:hanging="227"/>
      </w:pPr>
      <w:r>
        <w:rPr>
          <w:rFonts w:ascii="맑은 고딕" w:hAnsi="맑은 고딕" w:eastAsia="맑은 고딕" w:cs="맑은 고딕"/>
          <w:b/>
          <w:color w:val="7F4ACB"/>
          <w:sz w:val="20"/>
        </w:rPr>
        <w:t xml:space="preserve">• </w:t>
      </w:r>
      <w:r>
        <w:rPr>
          <w:rFonts w:ascii="맑은 고딕" w:hAnsi="맑은 고딕" w:eastAsia="맑은 고딕" w:cs="맑은 고딕"/>
          <w:b w:val="0"/>
          <w:sz w:val="20"/>
        </w:rPr>
        <w:t xml:space="preserve">run_id </w:t>
      </w:r>
      <w:r>
        <w:rPr>
          <w:rFonts w:ascii="D2Coding" w:hAnsi="D2Coding" w:eastAsia="맑은 고딕" w:cs="D2Coding"/>
          <w:b w:val="0"/>
          <w:color w:val="5B3FA0"/>
          <w:sz w:val="19"/>
        </w:rPr>
        <w:t>cdc64c3abebe</w:t>
      </w:r>
      <w:r>
        <w:rPr>
          <w:rFonts w:ascii="맑은 고딕" w:hAnsi="맑은 고딕" w:eastAsia="맑은 고딕" w:cs="맑은 고딕"/>
          <w:b w:val="0"/>
          <w:sz w:val="20"/>
        </w:rPr>
        <w:t xml:space="preserve">(LangSmith trace·결정 로그와 같은 키). Orchestrator가 실행 전에 SubTask 5개를 계획(계획 출처 llm)하고 </w:t>
      </w:r>
      <w:r>
        <w:rPr>
          <w:rFonts w:ascii="D2Coding" w:hAnsi="D2Coding" w:eastAsia="맑은 고딕" w:cs="D2Coding"/>
          <w:b w:val="0"/>
          <w:color w:val="5B3FA0"/>
          <w:sz w:val="19"/>
        </w:rPr>
        <w:t>Send</w:t>
      </w:r>
      <w:r>
        <w:rPr>
          <w:rFonts w:ascii="맑은 고딕" w:hAnsi="맑은 고딕" w:eastAsia="맑은 고딕" w:cs="맑은 고딕"/>
          <w:b w:val="0"/>
          <w:sz w:val="20"/>
        </w:rPr>
        <w:t>로 그 수만큼 Worker를 생성했다. 미사용 Agent 2개(ecosystem_specialist, regulation_specialist)가 실패 작업의 교차 검토자이다.</w:t>
      </w:r>
    </w:p>
    <w:tbl>
      <w:tblPr>
        <w:jc w:val="center"/>
        <w:tblLook w:firstColumn="1" w:firstRow="1" w:lastColumn="0" w:lastRow="0" w:noHBand="0" w:noVBand="1" w:val="04A0"/>
        <w:tblBorders>
          <w:top w:val="single" w:color="161A58" w:sz="8"/>
          <w:left w:val="none" w:color="FFFFFF" w:sz="0"/>
          <w:bottom w:val="single" w:color="161A58" w:sz="8"/>
          <w:right w:val="none" w:color="FFFFFF" w:sz="0"/>
          <w:insideH w:val="single" w:color="D8DAE5" w:sz="2"/>
          <w:insideV w:val="single" w:color="D8DAE5" w:sz="2"/>
        </w:tblBorders>
        <w:tblW w:w="9072" w:type="dxa"/>
        <w:tblLayout w:type="fixed"/>
      </w:tblPr>
      <w:tblGrid>
        <w:gridCol w:w="737"/>
        <w:gridCol w:w="2381"/>
        <w:gridCol w:w="2041"/>
        <w:gridCol w:w="623"/>
        <w:gridCol w:w="1360"/>
        <w:gridCol w:w="1927"/>
      </w:tblGrid>
      <w:tr>
        <w:trPr>
          <w:cantSplit/>
          <w:tblHeader w:val="true"/>
        </w:trPr>
        <w:tc>
          <w:tcPr>
            <w:tcW w:type="dxa" w:w="737"/>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작업</w:t>
            </w:r>
          </w:p>
        </w:tc>
        <w:tc>
          <w:tcPr>
            <w:tcW w:type="dxa" w:w="2381"/>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관점</w:t>
            </w:r>
          </w:p>
        </w:tc>
        <w:tc>
          <w:tcPr>
            <w:tcW w:type="dxa" w:w="2041"/>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담당 Agent</w:t>
            </w:r>
          </w:p>
        </w:tc>
        <w:tc>
          <w:tcPr>
            <w:tcW w:type="dxa" w:w="624"/>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시도</w:t>
            </w:r>
          </w:p>
        </w:tc>
        <w:tc>
          <w:tcPr>
            <w:tcW w:type="dxa" w:w="1361"/>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결과</w:t>
            </w:r>
          </w:p>
        </w:tc>
        <w:tc>
          <w:tcPr>
            <w:tcW w:type="dxa" w:w="1928"/>
            <w:tcMar>
              <w:top w:w="70" w:type="dxa"/>
              <w:left w:w="90" w:type="dxa"/>
              <w:bottom w:w="70" w:type="dxa"/>
              <w:right w:w="90" w:type="dxa"/>
            </w:tcMar>
            <w:shd w:val="clear" w:color="auto" w:fill="F2F3F8"/>
          </w:tcPr>
          <w:p>
            <w:pPr>
              <w:keepNext/>
              <w:spacing w:after="0" w:line="276" w:lineRule="auto"/>
              <w:jc w:val="center"/>
            </w:pPr>
            <w:r>
              <w:rPr>
                <w:rFonts w:ascii="맑은 고딕" w:hAnsi="맑은 고딕" w:eastAsia="맑은 고딕" w:cs="맑은 고딕"/>
                <w:b/>
                <w:color w:val="161A58"/>
                <w:sz w:val="17"/>
              </w:rPr>
              <w:t>교차 검토자</w:t>
            </w:r>
          </w:p>
        </w:tc>
      </w:tr>
      <w:tr>
        <w:trPr>
          <w:cantSplit/>
        </w:trPr>
        <w:tc>
          <w:tcPr>
            <w:tcW w:type="dxa" w:w="73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T01</w:t>
            </w:r>
          </w:p>
        </w:tc>
        <w:tc>
          <w:tcPr>
            <w:tcW w:type="dxa" w:w="2381"/>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technology readiness</w:t>
            </w:r>
          </w:p>
        </w:tc>
        <w:tc>
          <w:tcPr>
            <w:tcW w:type="dxa" w:w="2041"/>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trl_specialist</w:t>
            </w:r>
          </w:p>
        </w:tc>
        <w:tc>
          <w:tcPr>
            <w:tcW w:type="dxa" w:w="62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2</w:t>
            </w:r>
          </w:p>
        </w:tc>
        <w:tc>
          <w:tcPr>
            <w:tcW w:type="dxa" w:w="1361"/>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재시도 후 미달</w:t>
            </w:r>
          </w:p>
        </w:tc>
        <w:tc>
          <w:tcPr>
            <w:tcW w:type="dxa" w:w="1928"/>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ecosystem_specialist, regulation_specialist</w:t>
            </w:r>
          </w:p>
        </w:tc>
      </w:tr>
      <w:tr>
        <w:trPr>
          <w:cantSplit/>
        </w:trPr>
        <w:tc>
          <w:tcPr>
            <w:tcW w:type="dxa" w:w="73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T02</w:t>
            </w:r>
          </w:p>
        </w:tc>
        <w:tc>
          <w:tcPr>
            <w:tcW w:type="dxa" w:w="2381"/>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marketability</w:t>
            </w:r>
          </w:p>
        </w:tc>
        <w:tc>
          <w:tcPr>
            <w:tcW w:type="dxa" w:w="2041"/>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market_specialist</w:t>
            </w:r>
          </w:p>
        </w:tc>
        <w:tc>
          <w:tcPr>
            <w:tcW w:type="dxa" w:w="62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2</w:t>
            </w:r>
          </w:p>
        </w:tc>
        <w:tc>
          <w:tcPr>
            <w:tcW w:type="dxa" w:w="1361"/>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재시도 후 미달</w:t>
            </w:r>
          </w:p>
        </w:tc>
        <w:tc>
          <w:tcPr>
            <w:tcW w:type="dxa" w:w="1928"/>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ecosystem_specialist, regulation_specialist</w:t>
            </w:r>
          </w:p>
        </w:tc>
      </w:tr>
      <w:tr>
        <w:trPr>
          <w:cantSplit/>
        </w:trPr>
        <w:tc>
          <w:tcPr>
            <w:tcW w:type="dxa" w:w="73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T03</w:t>
            </w:r>
          </w:p>
        </w:tc>
        <w:tc>
          <w:tcPr>
            <w:tcW w:type="dxa" w:w="2381"/>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stakeholder perspective</w:t>
            </w:r>
          </w:p>
        </w:tc>
        <w:tc>
          <w:tcPr>
            <w:tcW w:type="dxa" w:w="2041"/>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stakeholder_specialist</w:t>
            </w:r>
          </w:p>
        </w:tc>
        <w:tc>
          <w:tcPr>
            <w:tcW w:type="dxa" w:w="62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2</w:t>
            </w:r>
          </w:p>
        </w:tc>
        <w:tc>
          <w:tcPr>
            <w:tcW w:type="dxa" w:w="1361"/>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재시도 후 미달</w:t>
            </w:r>
          </w:p>
        </w:tc>
        <w:tc>
          <w:tcPr>
            <w:tcW w:type="dxa" w:w="1928"/>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ecosystem_specialist, regulation_specialist</w:t>
            </w:r>
          </w:p>
        </w:tc>
      </w:tr>
      <w:tr>
        <w:trPr>
          <w:cantSplit/>
        </w:trPr>
        <w:tc>
          <w:tcPr>
            <w:tcW w:type="dxa" w:w="737"/>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T04</w:t>
            </w:r>
          </w:p>
        </w:tc>
        <w:tc>
          <w:tcPr>
            <w:tcW w:type="dxa" w:w="2381"/>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domain applicability</w:t>
            </w:r>
          </w:p>
        </w:tc>
        <w:tc>
          <w:tcPr>
            <w:tcW w:type="dxa" w:w="2041"/>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domain_specialist</w:t>
            </w:r>
          </w:p>
        </w:tc>
        <w:tc>
          <w:tcPr>
            <w:tcW w:type="dxa" w:w="624"/>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2</w:t>
            </w:r>
          </w:p>
        </w:tc>
        <w:tc>
          <w:tcPr>
            <w:tcW w:type="dxa" w:w="1361"/>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재시도 후 미달</w:t>
            </w:r>
          </w:p>
        </w:tc>
        <w:tc>
          <w:tcPr>
            <w:tcW w:type="dxa" w:w="1928"/>
            <w:tcMar>
              <w:top w:w="70" w:type="dxa"/>
              <w:left w:w="90" w:type="dxa"/>
              <w:bottom w:w="70" w:type="dxa"/>
              <w:right w:w="90" w:type="dxa"/>
            </w:tcMar>
          </w:tcPr>
          <w:p>
            <w:pPr>
              <w:keepNext/>
              <w:spacing w:after="0" w:line="276" w:lineRule="auto"/>
            </w:pPr>
            <w:r>
              <w:rPr>
                <w:rFonts w:ascii="맑은 고딕" w:hAnsi="맑은 고딕" w:eastAsia="맑은 고딕" w:cs="맑은 고딕"/>
                <w:b w:val="0"/>
                <w:sz w:val="17"/>
              </w:rPr>
              <w:t>ecosystem_specialist, regulation_specialist</w:t>
            </w:r>
          </w:p>
        </w:tc>
      </w:tr>
      <w:tr>
        <w:trPr>
          <w:cantSplit/>
        </w:trPr>
        <w:tc>
          <w:tcPr>
            <w:tcW w:type="dxa" w:w="737"/>
            <w:tcMar>
              <w:top w:w="70" w:type="dxa"/>
              <w:left w:w="90" w:type="dxa"/>
              <w:bottom w:w="70" w:type="dxa"/>
              <w:right w:w="90" w:type="dxa"/>
            </w:tcMar>
          </w:tcPr>
          <w:p>
            <w:pPr>
              <w:spacing w:after="0" w:line="276" w:lineRule="auto"/>
            </w:pPr>
            <w:r>
              <w:rPr>
                <w:rFonts w:ascii="맑은 고딕" w:hAnsi="맑은 고딕" w:eastAsia="맑은 고딕" w:cs="맑은 고딕"/>
                <w:b w:val="0"/>
                <w:sz w:val="17"/>
              </w:rPr>
              <w:t>T05</w:t>
            </w:r>
          </w:p>
        </w:tc>
        <w:tc>
          <w:tcPr>
            <w:tcW w:type="dxa" w:w="2381"/>
            <w:tcMar>
              <w:top w:w="70" w:type="dxa"/>
              <w:left w:w="90" w:type="dxa"/>
              <w:bottom w:w="70" w:type="dxa"/>
              <w:right w:w="90" w:type="dxa"/>
            </w:tcMar>
          </w:tcPr>
          <w:p>
            <w:pPr>
              <w:spacing w:after="0" w:line="276" w:lineRule="auto"/>
            </w:pPr>
            <w:r>
              <w:rPr>
                <w:rFonts w:ascii="맑은 고딕" w:hAnsi="맑은 고딕" w:eastAsia="맑은 고딕" w:cs="맑은 고딕"/>
                <w:b w:val="0"/>
                <w:sz w:val="17"/>
              </w:rPr>
              <w:t>research</w:t>
            </w:r>
          </w:p>
        </w:tc>
        <w:tc>
          <w:tcPr>
            <w:tcW w:type="dxa" w:w="2041"/>
            <w:tcMar>
              <w:top w:w="70" w:type="dxa"/>
              <w:left w:w="90" w:type="dxa"/>
              <w:bottom w:w="70" w:type="dxa"/>
              <w:right w:w="90" w:type="dxa"/>
            </w:tcMar>
          </w:tcPr>
          <w:p>
            <w:pPr>
              <w:spacing w:after="0" w:line="276" w:lineRule="auto"/>
            </w:pPr>
            <w:r>
              <w:rPr>
                <w:rFonts w:ascii="맑은 고딕" w:hAnsi="맑은 고딕" w:eastAsia="맑은 고딕" w:cs="맑은 고딕"/>
                <w:b w:val="0"/>
                <w:sz w:val="17"/>
              </w:rPr>
              <w:t>research_generalist</w:t>
            </w:r>
          </w:p>
        </w:tc>
        <w:tc>
          <w:tcPr>
            <w:tcW w:type="dxa" w:w="624"/>
            <w:tcMar>
              <w:top w:w="70" w:type="dxa"/>
              <w:left w:w="90" w:type="dxa"/>
              <w:bottom w:w="70" w:type="dxa"/>
              <w:right w:w="90" w:type="dxa"/>
            </w:tcMar>
          </w:tcPr>
          <w:p>
            <w:pPr>
              <w:spacing w:after="0" w:line="276" w:lineRule="auto"/>
            </w:pPr>
            <w:r>
              <w:rPr>
                <w:rFonts w:ascii="맑은 고딕" w:hAnsi="맑은 고딕" w:eastAsia="맑은 고딕" w:cs="맑은 고딕"/>
                <w:b w:val="0"/>
                <w:sz w:val="17"/>
              </w:rPr>
              <w:t>1</w:t>
            </w:r>
          </w:p>
        </w:tc>
        <w:tc>
          <w:tcPr>
            <w:tcW w:type="dxa" w:w="1361"/>
            <w:tcMar>
              <w:top w:w="70" w:type="dxa"/>
              <w:left w:w="90" w:type="dxa"/>
              <w:bottom w:w="70" w:type="dxa"/>
              <w:right w:w="90" w:type="dxa"/>
            </w:tcMar>
          </w:tcPr>
          <w:p>
            <w:pPr>
              <w:spacing w:after="0" w:line="276" w:lineRule="auto"/>
            </w:pPr>
            <w:r>
              <w:rPr>
                <w:rFonts w:ascii="맑은 고딕" w:hAnsi="맑은 고딕" w:eastAsia="맑은 고딕" w:cs="맑은 고딕"/>
                <w:b w:val="0"/>
                <w:sz w:val="17"/>
              </w:rPr>
              <w:t>통과</w:t>
            </w:r>
          </w:p>
        </w:tc>
        <w:tc>
          <w:tcPr>
            <w:tcW w:type="dxa" w:w="1928"/>
            <w:tcMar>
              <w:top w:w="70" w:type="dxa"/>
              <w:left w:w="90" w:type="dxa"/>
              <w:bottom w:w="70" w:type="dxa"/>
              <w:right w:w="90" w:type="dxa"/>
            </w:tcMar>
          </w:tcPr>
          <w:p>
            <w:pPr>
              <w:spacing w:after="0" w:line="276" w:lineRule="auto"/>
            </w:pPr>
            <w:r>
              <w:rPr>
                <w:rFonts w:ascii="맑은 고딕" w:hAnsi="맑은 고딕" w:eastAsia="맑은 고딕" w:cs="맑은 고딕"/>
                <w:b w:val="0"/>
                <w:sz w:val="17"/>
              </w:rPr>
              <w:t>-</w:t>
            </w:r>
          </w:p>
        </w:tc>
      </w:tr>
    </w:tbl>
    <w:p>
      <w:pPr>
        <w:spacing w:after="80" w:line="324" w:lineRule="auto"/>
      </w:pPr>
    </w:p>
    <w:p>
      <w:pPr>
        <w:spacing w:after="40" w:line="312" w:lineRule="auto"/>
        <w:ind w:left="312" w:hanging="227"/>
      </w:pPr>
      <w:r>
        <w:rPr>
          <w:rFonts w:ascii="맑은 고딕" w:hAnsi="맑은 고딕" w:eastAsia="맑은 고딕" w:cs="맑은 고딕"/>
          <w:b/>
          <w:color w:val="7F4ACB"/>
          <w:sz w:val="20"/>
        </w:rPr>
        <w:t xml:space="preserve">• </w:t>
      </w:r>
      <w:r>
        <w:rPr>
          <w:rFonts w:ascii="D2Coding" w:hAnsi="D2Coding" w:eastAsia="맑은 고딕" w:cs="D2Coding"/>
          <w:b w:val="0"/>
          <w:color w:val="5B3FA0"/>
          <w:sz w:val="19"/>
        </w:rPr>
        <w:t>worker_results</w:t>
      </w:r>
      <w:r>
        <w:rPr>
          <w:rFonts w:ascii="맑은 고딕" w:hAnsi="맑은 고딕" w:eastAsia="맑은 고딕" w:cs="맑은 고딕"/>
          <w:b w:val="0"/>
          <w:sz w:val="20"/>
        </w:rPr>
        <w:t xml:space="preserve"> reducer가 task_id별로 최신 시도만 남겨 병합하고, 재시도는 같은 담당 Agent가 1회만 한다.</w:t>
      </w:r>
    </w:p>
    <w:p>
      <w:pPr>
        <w:spacing w:after="40" w:line="312" w:lineRule="auto"/>
        <w:ind w:left="312" w:hanging="227"/>
      </w:pPr>
      <w:r>
        <w:rPr>
          <w:rFonts w:ascii="맑은 고딕" w:hAnsi="맑은 고딕" w:eastAsia="맑은 고딕" w:cs="맑은 고딕"/>
          <w:b/>
          <w:color w:val="7F4ACB"/>
          <w:sz w:val="20"/>
        </w:rPr>
        <w:t xml:space="preserve">• </w:t>
      </w:r>
      <w:r>
        <w:rPr>
          <w:rFonts w:ascii="맑은 고딕" w:hAnsi="맑은 고딕" w:eastAsia="맑은 고딕" w:cs="맑은 고딕"/>
          <w:b w:val="0"/>
          <w:sz w:val="20"/>
        </w:rPr>
        <w:t>품질 평가 Loop: 미달 시 서술 문제는 보고서 재작성(1회), 근거 문제는 해당 작업 재시도로 되돌아가며, 재시도를 마친 작업은 한계로 기록한다(이번 재작성 0회).</w:t>
      </w:r>
    </w:p>
    <w:p>
      <w:pPr>
        <w:spacing w:after="40" w:line="312" w:lineRule="auto"/>
        <w:ind w:left="312" w:hanging="227"/>
      </w:pPr>
      <w:r>
        <w:rPr>
          <w:rFonts w:ascii="맑은 고딕" w:hAnsi="맑은 고딕" w:eastAsia="맑은 고딕" w:cs="맑은 고딕"/>
          <w:b/>
          <w:color w:val="7F4ACB"/>
          <w:sz w:val="20"/>
        </w:rPr>
        <w:t xml:space="preserve">• </w:t>
      </w:r>
      <w:r>
        <w:rPr>
          <w:rFonts w:ascii="맑은 고딕" w:hAnsi="맑은 고딕" w:eastAsia="맑은 고딕" w:cs="맑은 고딕"/>
          <w:b w:val="0"/>
          <w:sz w:val="20"/>
        </w:rPr>
        <w:t>품질 평가 결과: 결정적 검사 근거성 통과, 중립성 통과, 편향 통제 통과, 관점 커버리지 통과 / LLM(1~5) 근거성 5, 중립성 5, 편향 통제 4, 관점 커버리지 4 / 한도 소진 후 한계 기록·후처리로 종료. 미해결 근거 문제(작업 T02, T03, T04)는 재시도를 마친 작업이라 한계로 기록했다.</w:t>
      </w:r>
    </w:p>
    <w:p>
      <w:pPr>
        <w:pStyle w:val="Heading1"/>
        <w:keepNext/>
        <w:pageBreakBefore w:val="0"/>
      </w:pPr>
      <w:r>
        <w:rPr>
          <w:rFonts w:ascii="맑은 고딕" w:hAnsi="맑은 고딕" w:eastAsia="맑은 고딕" w:cs="맑은 고딕"/>
          <w:b/>
          <w:color w:val="161A58"/>
          <w:sz w:val="30"/>
        </w:rPr>
        <w:t>REFERENCE</w:t>
      </w:r>
    </w:p>
    <w:p>
      <w:pPr>
        <w:keepNext/>
        <w:spacing w:after="80" w:line="324" w:lineRule="auto"/>
      </w:pPr>
      <w:r>
        <w:rPr>
          <w:rFonts w:ascii="맑은 고딕" w:hAnsi="맑은 고딕" w:eastAsia="맑은 고딕" w:cs="맑은 고딕"/>
          <w:b/>
          <w:color w:val="161A58"/>
          <w:sz w:val="20"/>
        </w:rPr>
        <w:t>논문</w:t>
      </w:r>
    </w:p>
    <w:p>
      <w:pPr>
        <w:spacing w:after="20" w:line="264" w:lineRule="auto"/>
        <w:ind w:left="312" w:hanging="227"/>
      </w:pPr>
      <w:r>
        <w:rPr>
          <w:rFonts w:ascii="맑은 고딕" w:hAnsi="맑은 고딕" w:eastAsia="맑은 고딕" w:cs="맑은 고딕"/>
          <w:b/>
          <w:color w:val="7F4ACB"/>
          <w:sz w:val="16"/>
        </w:rPr>
        <w:t xml:space="preserve">• </w:t>
      </w:r>
      <w:r>
        <w:rPr>
          <w:rFonts w:ascii="맑은 고딕" w:hAnsi="맑은 고딕" w:eastAsia="맑은 고딕" w:cs="맑은 고딕"/>
          <w:b w:val="0"/>
          <w:sz w:val="16"/>
        </w:rPr>
        <w:t>[1] Zandieh, A., Daliri, M., Hadian, M., &amp; Mirrokni, V.(2025). TurboQuant: Online Vector Quantization with Near-optimal Distortion Rate. arXiv, 2504.19874.</w:t>
      </w:r>
    </w:p>
    <w:p>
      <w:pPr>
        <w:spacing w:after="20" w:line="264" w:lineRule="auto"/>
        <w:ind w:left="312" w:hanging="227"/>
      </w:pPr>
      <w:r>
        <w:rPr>
          <w:rFonts w:ascii="맑은 고딕" w:hAnsi="맑은 고딕" w:eastAsia="맑은 고딕" w:cs="맑은 고딕"/>
          <w:b/>
          <w:color w:val="7F4ACB"/>
          <w:sz w:val="16"/>
        </w:rPr>
        <w:t xml:space="preserve">• </w:t>
      </w:r>
      <w:r>
        <w:rPr>
          <w:rFonts w:ascii="맑은 고딕" w:hAnsi="맑은 고딕" w:eastAsia="맑은 고딕" w:cs="맑은 고딕"/>
          <w:b w:val="0"/>
          <w:sz w:val="16"/>
        </w:rPr>
        <w:t>[2] Jang, H., Min, Y., Kim, S., Ahn, T., Kim, H., Joo, Y., Kim, H., &amp; Kim, J.(2026). ITME: Inference Tiered Memory Expansion with Disaggregated CXL-Hybrid Memories. arXiv, 2606.12556.</w:t>
      </w:r>
    </w:p>
    <w:p>
      <w:pPr>
        <w:keepNext/>
        <w:spacing w:after="80" w:line="324" w:lineRule="auto"/>
      </w:pPr>
      <w:r>
        <w:rPr>
          <w:rFonts w:ascii="맑은 고딕" w:hAnsi="맑은 고딕" w:eastAsia="맑은 고딕" w:cs="맑은 고딕"/>
          <w:b/>
          <w:color w:val="161A58"/>
          <w:sz w:val="20"/>
        </w:rPr>
        <w:t>웹페이지</w:t>
      </w:r>
    </w:p>
    <w:p>
      <w:pPr>
        <w:spacing w:after="20" w:line="264" w:lineRule="auto"/>
        <w:ind w:left="312" w:hanging="227"/>
      </w:pPr>
      <w:r>
        <w:rPr>
          <w:rFonts w:ascii="맑은 고딕" w:hAnsi="맑은 고딕" w:eastAsia="맑은 고딕" w:cs="맑은 고딕"/>
          <w:b/>
          <w:color w:val="7F4ACB"/>
          <w:sz w:val="16"/>
        </w:rPr>
        <w:t xml:space="preserve">• </w:t>
      </w:r>
      <w:r>
        <w:rPr>
          <w:rFonts w:ascii="맑은 고딕" w:hAnsi="맑은 고딕" w:eastAsia="맑은 고딕" w:cs="맑은 고딕"/>
          <w:b w:val="0"/>
          <w:sz w:val="16"/>
        </w:rPr>
        <w:t>[3] spheron.network(2026-09-22 접속). Google TurboQuant: 6x KV Cache Compression for LLM Inference. https://www.spheron.network/blog/google-turboquant-llm-compression-gpu-cloud</w:t>
      </w:r>
    </w:p>
    <w:p>
      <w:pPr>
        <w:spacing w:after="20" w:line="264" w:lineRule="auto"/>
        <w:ind w:left="312" w:hanging="227"/>
      </w:pPr>
      <w:r>
        <w:rPr>
          <w:rFonts w:ascii="맑은 고딕" w:hAnsi="맑은 고딕" w:eastAsia="맑은 고딕" w:cs="맑은 고딕"/>
          <w:b/>
          <w:color w:val="7F4ACB"/>
          <w:sz w:val="16"/>
        </w:rPr>
        <w:t xml:space="preserve">• </w:t>
      </w:r>
      <w:r>
        <w:rPr>
          <w:rFonts w:ascii="맑은 고딕" w:hAnsi="맑은 고딕" w:eastAsia="맑은 고딕" w:cs="맑은 고딕"/>
          <w:b w:val="0"/>
          <w:sz w:val="16"/>
        </w:rPr>
        <w:t>[4] GitHub(2026-09-22 접속). GitHub - 0xSero/turboquant: TurboQuant: Near-optimal KV cache quantization for…. https://github.com/0xSero/turboquant</w:t>
      </w:r>
    </w:p>
    <w:p>
      <w:pPr>
        <w:spacing w:after="20" w:line="264" w:lineRule="auto"/>
        <w:ind w:left="312" w:hanging="227"/>
      </w:pPr>
      <w:r>
        <w:rPr>
          <w:rFonts w:ascii="맑은 고딕" w:hAnsi="맑은 고딕" w:eastAsia="맑은 고딕" w:cs="맑은 고딕"/>
          <w:b/>
          <w:color w:val="7F4ACB"/>
          <w:sz w:val="16"/>
        </w:rPr>
        <w:t xml:space="preserve">• </w:t>
      </w:r>
      <w:r>
        <w:rPr>
          <w:rFonts w:ascii="맑은 고딕" w:hAnsi="맑은 고딕" w:eastAsia="맑은 고딕" w:cs="맑은 고딕"/>
          <w:b w:val="0"/>
          <w:sz w:val="16"/>
        </w:rPr>
        <w:t>[5] github.com(2026-09-22 접속). OmarHory/turboquant: Open-source implementation . https://github.com/OmarHory/turboquant</w:t>
      </w:r>
    </w:p>
    <w:p>
      <w:pPr>
        <w:spacing w:after="20" w:line="264" w:lineRule="auto"/>
        <w:ind w:left="312" w:hanging="227"/>
      </w:pPr>
      <w:r>
        <w:rPr>
          <w:rFonts w:ascii="맑은 고딕" w:hAnsi="맑은 고딕" w:eastAsia="맑은 고딕" w:cs="맑은 고딕"/>
          <w:b/>
          <w:color w:val="7F4ACB"/>
          <w:sz w:val="16"/>
        </w:rPr>
        <w:t xml:space="preserve">• </w:t>
      </w:r>
      <w:r>
        <w:rPr>
          <w:rFonts w:ascii="맑은 고딕" w:hAnsi="맑은 고딕" w:eastAsia="맑은 고딕" w:cs="맑은 고딕"/>
          <w:b w:val="0"/>
          <w:sz w:val="16"/>
        </w:rPr>
        <w:t>[6] dev.to(2026-09-22 접속). TurboQuant: What Developers Need to Know About . https://dev.to/arshtechpro/turboquant-what-developers-need-to-know-about-googles-kv-cache-compression-eeg</w:t>
      </w:r>
    </w:p>
    <w:p>
      <w:pPr>
        <w:spacing w:after="20" w:line="264" w:lineRule="auto"/>
        <w:ind w:left="312" w:hanging="227"/>
      </w:pPr>
      <w:r>
        <w:rPr>
          <w:rFonts w:ascii="맑은 고딕" w:hAnsi="맑은 고딕" w:eastAsia="맑은 고딕" w:cs="맑은 고딕"/>
          <w:b/>
          <w:color w:val="7F4ACB"/>
          <w:sz w:val="16"/>
        </w:rPr>
        <w:t xml:space="preserve">• </w:t>
      </w:r>
      <w:r>
        <w:rPr>
          <w:rFonts w:ascii="맑은 고딕" w:hAnsi="맑은 고딕" w:eastAsia="맑은 고딕" w:cs="맑은 고딕"/>
          <w:b w:val="0"/>
          <w:sz w:val="16"/>
        </w:rPr>
        <w:t>[7] tradingkey.com(2026-09-22 접속). What Is Google TurboQuant Compression Algorithm? How Does It Affect the AI…. https://tradingkey.com/analysis/stocks/us-stocks/261728257-what-is-google-turboquant-compression-algorithm-how-impact-ai-memory-chip-industry-tradingkey</w:t>
      </w:r>
    </w:p>
    <w:p>
      <w:pPr>
        <w:spacing w:after="20" w:line="264" w:lineRule="auto"/>
        <w:ind w:left="312" w:hanging="227"/>
      </w:pPr>
      <w:r>
        <w:rPr>
          <w:rFonts w:ascii="맑은 고딕" w:hAnsi="맑은 고딕" w:eastAsia="맑은 고딕" w:cs="맑은 고딕"/>
          <w:b/>
          <w:color w:val="7F4ACB"/>
          <w:sz w:val="16"/>
        </w:rPr>
        <w:t xml:space="preserve">• </w:t>
      </w:r>
      <w:r>
        <w:rPr>
          <w:rFonts w:ascii="맑은 고딕" w:hAnsi="맑은 고딕" w:eastAsia="맑은 고딕" w:cs="맑은 고딕"/>
          <w:b w:val="0"/>
          <w:sz w:val="16"/>
        </w:rPr>
        <w:t>[8] arxiv.org(2026-09-22 접속). HyMCache: A KV Cache Frameworkfor Multi-Turn LLM . https://arxiv.org/html/2607.18141v2</w:t>
      </w:r>
    </w:p>
    <w:p>
      <w:pPr>
        <w:spacing w:after="20" w:line="264" w:lineRule="auto"/>
        <w:ind w:left="312" w:hanging="227"/>
      </w:pPr>
      <w:r>
        <w:rPr>
          <w:rFonts w:ascii="맑은 고딕" w:hAnsi="맑은 고딕" w:eastAsia="맑은 고딕" w:cs="맑은 고딕"/>
          <w:b/>
          <w:color w:val="7F4ACB"/>
          <w:sz w:val="16"/>
        </w:rPr>
        <w:t xml:space="preserve">• </w:t>
      </w:r>
      <w:r>
        <w:rPr>
          <w:rFonts w:ascii="맑은 고딕" w:hAnsi="맑은 고딕" w:eastAsia="맑은 고딕" w:cs="맑은 고딕"/>
          <w:b w:val="0"/>
          <w:sz w:val="16"/>
        </w:rPr>
        <w:t>[9] GitHub(2026-09-22 접속). GitHub - hackimov/turboquant-kv: Open-source PyTorch implementation of Google…. https://github.com/hackimov/turboquant-kv</w:t>
      </w:r>
    </w:p>
    <w:p>
      <w:pPr>
        <w:spacing w:after="20" w:line="264" w:lineRule="auto"/>
        <w:ind w:left="312" w:hanging="227"/>
      </w:pPr>
      <w:r>
        <w:rPr>
          <w:rFonts w:ascii="맑은 고딕" w:hAnsi="맑은 고딕" w:eastAsia="맑은 고딕" w:cs="맑은 고딕"/>
          <w:b/>
          <w:color w:val="7F4ACB"/>
          <w:sz w:val="16"/>
        </w:rPr>
        <w:t xml:space="preserve">• </w:t>
      </w:r>
      <w:r>
        <w:rPr>
          <w:rFonts w:ascii="맑은 고딕" w:hAnsi="맑은 고딕" w:eastAsia="맑은 고딕" w:cs="맑은 고딕"/>
          <w:b w:val="0"/>
          <w:sz w:val="16"/>
        </w:rPr>
        <w:t>[10] starkinsider.com(2026-03). Google’s TurboQuant: The Unsexy AI Breakthrough Worth Watching. https://www.starkinsider.com/2026/03/google-turboquant-llm-compression-less-memory.html</w:t>
      </w:r>
    </w:p>
    <w:p>
      <w:pPr>
        <w:spacing w:after="20" w:line="264" w:lineRule="auto"/>
        <w:ind w:left="312" w:hanging="227"/>
      </w:pPr>
      <w:r>
        <w:rPr>
          <w:rFonts w:ascii="맑은 고딕" w:hAnsi="맑은 고딕" w:eastAsia="맑은 고딕" w:cs="맑은 고딕"/>
          <w:b/>
          <w:color w:val="7F4ACB"/>
          <w:sz w:val="16"/>
        </w:rPr>
        <w:t xml:space="preserve">• </w:t>
      </w:r>
      <w:r>
        <w:rPr>
          <w:rFonts w:ascii="맑은 고딕" w:hAnsi="맑은 고딕" w:eastAsia="맑은 고딕" w:cs="맑은 고딕"/>
          <w:b w:val="0"/>
          <w:sz w:val="16"/>
        </w:rPr>
        <w:t>[11] reddit.com(2026-09-22 접속). Will Google's TurboQuant technology save us? : r/StableDiffusion. https://www.reddit.com/r/StableDiffusion/comments/1s6t8yu/will_googles_turboquant_technology_save_us</w:t>
      </w:r>
    </w:p>
    <w:p>
      <w:pPr>
        <w:spacing w:after="20" w:line="264" w:lineRule="auto"/>
        <w:ind w:left="312" w:hanging="227"/>
      </w:pPr>
      <w:r>
        <w:rPr>
          <w:rFonts w:ascii="맑은 고딕" w:hAnsi="맑은 고딕" w:eastAsia="맑은 고딕" w:cs="맑은 고딕"/>
          <w:b/>
          <w:color w:val="7F4ACB"/>
          <w:sz w:val="16"/>
        </w:rPr>
        <w:t xml:space="preserve">• </w:t>
      </w:r>
      <w:r>
        <w:rPr>
          <w:rFonts w:ascii="맑은 고딕" w:hAnsi="맑은 고딕" w:eastAsia="맑은 고딕" w:cs="맑은 고딕"/>
          <w:b w:val="0"/>
          <w:sz w:val="16"/>
        </w:rPr>
        <w:t>[12] arxiv.org(2026-09-22 접속). TurboQuant: Online Vector Quantization with Near-optimal Distortion Rate. https://arxiv.org/html/2504.19874v1</w:t>
      </w:r>
    </w:p>
    <w:p>
      <w:pPr>
        <w:spacing w:after="20" w:line="264" w:lineRule="auto"/>
        <w:ind w:left="312" w:hanging="227"/>
      </w:pPr>
      <w:r>
        <w:rPr>
          <w:rFonts w:ascii="맑은 고딕" w:hAnsi="맑은 고딕" w:eastAsia="맑은 고딕" w:cs="맑은 고딕"/>
          <w:b/>
          <w:color w:val="7F4ACB"/>
          <w:sz w:val="16"/>
        </w:rPr>
        <w:t xml:space="preserve">• </w:t>
      </w:r>
      <w:r>
        <w:rPr>
          <w:rFonts w:ascii="맑은 고딕" w:hAnsi="맑은 고딕" w:eastAsia="맑은 고딕" w:cs="맑은 고딕"/>
          <w:b w:val="0"/>
          <w:sz w:val="16"/>
        </w:rPr>
        <w:t>[13] youtube.com(2026-09-22 접속). Google's TurboQuant Memory Reduction Claim vs Reality. https://www.youtube.com/watch?v=haoAI2lIZ74</w:t>
      </w:r>
    </w:p>
    <w:p>
      <w:pPr>
        <w:spacing w:after="20" w:line="264" w:lineRule="auto"/>
        <w:ind w:left="312" w:hanging="227"/>
      </w:pPr>
      <w:r>
        <w:rPr>
          <w:rFonts w:ascii="맑은 고딕" w:hAnsi="맑은 고딕" w:eastAsia="맑은 고딕" w:cs="맑은 고딕"/>
          <w:b/>
          <w:color w:val="7F4ACB"/>
          <w:sz w:val="16"/>
        </w:rPr>
        <w:t xml:space="preserve">• </w:t>
      </w:r>
      <w:r>
        <w:rPr>
          <w:rFonts w:ascii="맑은 고딕" w:hAnsi="맑은 고딕" w:eastAsia="맑은 고딕" w:cs="맑은 고딕"/>
          <w:b w:val="0"/>
          <w:sz w:val="16"/>
        </w:rPr>
        <w:t>[14] arxiv.org(2026-09-22 접속). ITME: Inference Tiered Memory Expansion with . https://arxiv.org/html/2606.12556v2</w:t>
      </w:r>
    </w:p>
    <w:p>
      <w:pPr>
        <w:spacing w:after="20" w:line="264" w:lineRule="auto"/>
        <w:ind w:left="312" w:hanging="227"/>
      </w:pPr>
      <w:r>
        <w:rPr>
          <w:rFonts w:ascii="맑은 고딕" w:hAnsi="맑은 고딕" w:eastAsia="맑은 고딕" w:cs="맑은 고딕"/>
          <w:b/>
          <w:color w:val="7F4ACB"/>
          <w:sz w:val="16"/>
        </w:rPr>
        <w:t xml:space="preserve">• </w:t>
      </w:r>
      <w:r>
        <w:rPr>
          <w:rFonts w:ascii="맑은 고딕" w:hAnsi="맑은 고딕" w:eastAsia="맑은 고딕" w:cs="맑은 고딕"/>
          <w:b w:val="0"/>
          <w:sz w:val="16"/>
        </w:rPr>
        <w:t>[15] Renovate QR(2026-09-22 접속). Google TurboQuant: KV Cache Cut 6x, No Accuracy Loss. https://renovateqr.com/blog/google-turboquant-kv-cache-compression-2026</w:t>
      </w:r>
    </w:p>
    <w:p>
      <w:pPr>
        <w:spacing w:after="20" w:line="264" w:lineRule="auto"/>
        <w:ind w:left="312" w:hanging="227"/>
      </w:pPr>
      <w:r>
        <w:rPr>
          <w:rFonts w:ascii="맑은 고딕" w:hAnsi="맑은 고딕" w:eastAsia="맑은 고딕" w:cs="맑은 고딕"/>
          <w:b/>
          <w:color w:val="7F4ACB"/>
          <w:sz w:val="16"/>
        </w:rPr>
        <w:t xml:space="preserve">• </w:t>
      </w:r>
      <w:r>
        <w:rPr>
          <w:rFonts w:ascii="맑은 고딕" w:hAnsi="맑은 고딕" w:eastAsia="맑은 고딕" w:cs="맑은 고딕"/>
          <w:b w:val="0"/>
          <w:sz w:val="16"/>
        </w:rPr>
        <w:t>[16] regolo.ai(2026-09-22 접속). Why TurboQuant matters for real-world LLM inference. https://regolo.ai/why-turboquant-matters-for-real-world-llm-inference</w:t>
      </w:r>
    </w:p>
    <w:p>
      <w:pPr>
        <w:spacing w:after="20" w:line="264" w:lineRule="auto"/>
        <w:ind w:left="312" w:hanging="227"/>
      </w:pPr>
      <w:r>
        <w:rPr>
          <w:rFonts w:ascii="맑은 고딕" w:hAnsi="맑은 고딕" w:eastAsia="맑은 고딕" w:cs="맑은 고딕"/>
          <w:b/>
          <w:color w:val="7F4ACB"/>
          <w:sz w:val="16"/>
        </w:rPr>
        <w:t xml:space="preserve">• </w:t>
      </w:r>
      <w:r>
        <w:rPr>
          <w:rFonts w:ascii="맑은 고딕" w:hAnsi="맑은 고딕" w:eastAsia="맑은 고딕" w:cs="맑은 고딕"/>
          <w:b w:val="0"/>
          <w:sz w:val="16"/>
        </w:rPr>
        <w:t>[17] alphaXiv(2026-09-22 접속). ITME: Inference Tiered Memory Expansion with Disaggregated CXL-Hybrid Memories. https://www.alphaxiv.org/abs/2606.12556</w:t>
      </w:r>
    </w:p>
    <w:p>
      <w:pPr>
        <w:spacing w:after="20" w:line="264" w:lineRule="auto"/>
        <w:ind w:left="312" w:hanging="227"/>
      </w:pPr>
      <w:r>
        <w:rPr>
          <w:rFonts w:ascii="맑은 고딕" w:hAnsi="맑은 고딕" w:eastAsia="맑은 고딕" w:cs="맑은 고딕"/>
          <w:b/>
          <w:color w:val="7F4ACB"/>
          <w:sz w:val="16"/>
        </w:rPr>
        <w:t xml:space="preserve">• </w:t>
      </w:r>
      <w:r>
        <w:rPr>
          <w:rFonts w:ascii="맑은 고딕" w:hAnsi="맑은 고딕" w:eastAsia="맑은 고딕" w:cs="맑은 고딕"/>
          <w:b w:val="0"/>
          <w:sz w:val="16"/>
        </w:rPr>
        <w:t>[18] substack.com(2026-09-22 접속). Deep·MU: TurboQuant Is Not Another DeepSeek Moment. https://fundaai.substack.com/p/deepmu-turboquant-is-not-another</w:t>
      </w:r>
    </w:p>
    <w:p>
      <w:pPr>
        <w:spacing w:after="20" w:line="264" w:lineRule="auto"/>
        <w:ind w:left="312" w:hanging="227"/>
      </w:pPr>
      <w:r>
        <w:rPr>
          <w:rFonts w:ascii="맑은 고딕" w:hAnsi="맑은 고딕" w:eastAsia="맑은 고딕" w:cs="맑은 고딕"/>
          <w:b/>
          <w:color w:val="7F4ACB"/>
          <w:sz w:val="16"/>
        </w:rPr>
        <w:t xml:space="preserve">• </w:t>
      </w:r>
      <w:r>
        <w:rPr>
          <w:rFonts w:ascii="맑은 고딕" w:hAnsi="맑은 고딕" w:eastAsia="맑은 고딕" w:cs="맑은 고딕"/>
          <w:b w:val="0"/>
          <w:sz w:val="16"/>
        </w:rPr>
        <w:t>[19] NVIDIA Developer Forums(2026-09-22 접속). Why Turboquant saves DGX twice. https://forums.developer.nvidia.com/t/why-turboquant-saves-dgx-twice/364736</w:t>
      </w:r>
    </w:p>
    <w:p>
      <w:pPr>
        <w:spacing w:after="20" w:line="264" w:lineRule="auto"/>
        <w:ind w:left="312" w:hanging="227"/>
      </w:pPr>
      <w:r>
        <w:rPr>
          <w:rFonts w:ascii="맑은 고딕" w:hAnsi="맑은 고딕" w:eastAsia="맑은 고딕" w:cs="맑은 고딕"/>
          <w:b/>
          <w:color w:val="7F4ACB"/>
          <w:sz w:val="16"/>
        </w:rPr>
        <w:t xml:space="preserve">• </w:t>
      </w:r>
      <w:r>
        <w:rPr>
          <w:rFonts w:ascii="맑은 고딕" w:hAnsi="맑은 고딕" w:eastAsia="맑은 고딕" w:cs="맑은 고딕"/>
          <w:b w:val="0"/>
          <w:sz w:val="16"/>
        </w:rPr>
        <w:t>[20] futurumgroup.com(2026-09-22 접속). SK Hynix ADR Issuance Strategy. https://futurumgroup.com/insights/will-sk-hynixs-record-265bn-adr-issuance-help-close-its-capex-intensity-gap</w:t>
      </w:r>
    </w:p>
    <w:p>
      <w:pPr>
        <w:spacing w:after="20" w:line="264" w:lineRule="auto"/>
        <w:ind w:left="312" w:hanging="227"/>
      </w:pPr>
      <w:r>
        <w:rPr>
          <w:rFonts w:ascii="맑은 고딕" w:hAnsi="맑은 고딕" w:eastAsia="맑은 고딕" w:cs="맑은 고딕"/>
          <w:b/>
          <w:color w:val="7F4ACB"/>
          <w:sz w:val="16"/>
        </w:rPr>
        <w:t xml:space="preserve">• </w:t>
      </w:r>
      <w:r>
        <w:rPr>
          <w:rFonts w:ascii="맑은 고딕" w:hAnsi="맑은 고딕" w:eastAsia="맑은 고딕" w:cs="맑은 고딕"/>
          <w:b w:val="0"/>
          <w:sz w:val="16"/>
        </w:rPr>
        <w:t>[21] deepinfra.com(2026-09-22 접속). What Is Google TurboQuant and What Does It Mean . https://deepinfra.com/blog/google-turboquant</w:t>
      </w:r>
    </w:p>
    <w:p>
      <w:pPr>
        <w:spacing w:after="20" w:line="264" w:lineRule="auto"/>
        <w:ind w:left="312" w:hanging="227"/>
      </w:pPr>
      <w:r>
        <w:rPr>
          <w:rFonts w:ascii="맑은 고딕" w:hAnsi="맑은 고딕" w:eastAsia="맑은 고딕" w:cs="맑은 고딕"/>
          <w:b/>
          <w:color w:val="7F4ACB"/>
          <w:sz w:val="16"/>
        </w:rPr>
        <w:t xml:space="preserve">• </w:t>
      </w:r>
      <w:r>
        <w:rPr>
          <w:rFonts w:ascii="맑은 고딕" w:hAnsi="맑은 고딕" w:eastAsia="맑은 고딕" w:cs="맑은 고딕"/>
          <w:b w:val="0"/>
          <w:sz w:val="16"/>
        </w:rPr>
        <w:t>[22] yage.ai(2026-09-22 접속). TurboQuant: Google Wants to Compress KV Cache Down to 3 Bits. https://yage.ai/share/turboquant-kv-cache-3-bit-en-20260325.html</w:t>
      </w:r>
    </w:p>
    <w:p>
      <w:pPr>
        <w:spacing w:after="20" w:line="264" w:lineRule="auto"/>
        <w:ind w:left="312" w:hanging="227"/>
      </w:pPr>
      <w:r>
        <w:rPr>
          <w:rFonts w:ascii="맑은 고딕" w:hAnsi="맑은 고딕" w:eastAsia="맑은 고딕" w:cs="맑은 고딕"/>
          <w:b/>
          <w:color w:val="7F4ACB"/>
          <w:sz w:val="16"/>
        </w:rPr>
        <w:t xml:space="preserve">• </w:t>
      </w:r>
      <w:r>
        <w:rPr>
          <w:rFonts w:ascii="맑은 고딕" w:hAnsi="맑은 고딕" w:eastAsia="맑은 고딕" w:cs="맑은 고딕"/>
          <w:b w:val="0"/>
          <w:sz w:val="16"/>
        </w:rPr>
        <w:t>[23] Semantic Scholar(2026-09-22 접속). [PDF] ITME: Inference Tiered Memory Expansion with Disaggregated CXL-Hybrid…. https://www.semanticscholar.org/paper/ITME%3A-Inference-Tiered-Memory-Expansion-with-Jang-Min/935228feb1a5d966c6ece0532bf6e0136d614f7f</w:t>
      </w:r>
    </w:p>
    <w:p>
      <w:pPr>
        <w:spacing w:after="20" w:line="264" w:lineRule="auto"/>
        <w:ind w:left="312" w:hanging="227"/>
      </w:pPr>
      <w:r>
        <w:rPr>
          <w:rFonts w:ascii="맑은 고딕" w:hAnsi="맑은 고딕" w:eastAsia="맑은 고딕" w:cs="맑은 고딕"/>
          <w:b/>
          <w:color w:val="7F4ACB"/>
          <w:sz w:val="16"/>
        </w:rPr>
        <w:t xml:space="preserve">• </w:t>
      </w:r>
      <w:r>
        <w:rPr>
          <w:rFonts w:ascii="맑은 고딕" w:hAnsi="맑은 고딕" w:eastAsia="맑은 고딕" w:cs="맑은 고딕"/>
          <w:b w:val="0"/>
          <w:sz w:val="16"/>
        </w:rPr>
        <w:t>[24] yahoo.com(2026-09-22 접속). What TurboQuant Actually Means for AI Memory Stocks. https://finance.yahoo.com/markets/stocks/articles/turboquant-actually-means-ai-memory-125500558.html</w:t>
      </w:r>
    </w:p>
    <w:p>
      <w:pPr>
        <w:spacing w:after="20" w:line="264" w:lineRule="auto"/>
        <w:ind w:left="312" w:hanging="227"/>
      </w:pPr>
      <w:r>
        <w:rPr>
          <w:rFonts w:ascii="맑은 고딕" w:hAnsi="맑은 고딕" w:eastAsia="맑은 고딕" w:cs="맑은 고딕"/>
          <w:b/>
          <w:color w:val="7F4ACB"/>
          <w:sz w:val="16"/>
        </w:rPr>
        <w:t xml:space="preserve">• </w:t>
      </w:r>
      <w:r>
        <w:rPr>
          <w:rFonts w:ascii="맑은 고딕" w:hAnsi="맑은 고딕" w:eastAsia="맑은 고딕" w:cs="맑은 고딕"/>
          <w:b w:val="0"/>
          <w:sz w:val="16"/>
        </w:rPr>
        <w:t>[25] o-mega.ai(2026-09-22 접속). Google TurboQuant in August 2026: Where It Actually Runs. https://o-mega.ai/articles/google-turboquant-the-2026-llm-compression-guide</w:t>
      </w:r>
    </w:p>
    <w:p>
      <w:pPr>
        <w:spacing w:after="20" w:line="264" w:lineRule="auto"/>
        <w:ind w:left="312" w:hanging="227"/>
      </w:pPr>
      <w:r>
        <w:rPr>
          <w:rFonts w:ascii="맑은 고딕" w:hAnsi="맑은 고딕" w:eastAsia="맑은 고딕" w:cs="맑은 고딕"/>
          <w:b/>
          <w:color w:val="7F4ACB"/>
          <w:sz w:val="16"/>
        </w:rPr>
        <w:t xml:space="preserve">• </w:t>
      </w:r>
      <w:r>
        <w:rPr>
          <w:rFonts w:ascii="맑은 고딕" w:hAnsi="맑은 고딕" w:eastAsia="맑은 고딕" w:cs="맑은 고딕"/>
          <w:b w:val="0"/>
          <w:sz w:val="16"/>
        </w:rPr>
        <w:t>[26] towardsai.net(2026-09-22 접속). Google's TurboQuant: The Compression Breakthrough . https://pub.towardsai.net/googles-turboquant-the-compression-breakthrough-that-could-reshape-llm-infrastructure-c09d68017567</w:t>
      </w:r>
    </w:p>
    <w:p>
      <w:pPr>
        <w:spacing w:after="20" w:line="264" w:lineRule="auto"/>
        <w:ind w:left="312" w:hanging="227"/>
      </w:pPr>
      <w:r>
        <w:rPr>
          <w:rFonts w:ascii="맑은 고딕" w:hAnsi="맑은 고딕" w:eastAsia="맑은 고딕" w:cs="맑은 고딕"/>
          <w:b/>
          <w:color w:val="7F4ACB"/>
          <w:sz w:val="16"/>
        </w:rPr>
        <w:t xml:space="preserve">• </w:t>
      </w:r>
      <w:r>
        <w:rPr>
          <w:rFonts w:ascii="맑은 고딕" w:hAnsi="맑은 고딕" w:eastAsia="맑은 고딕" w:cs="맑은 고딕"/>
          <w:b w:val="0"/>
          <w:sz w:val="16"/>
        </w:rPr>
        <w:t>[27] vast.ai(2026-09-22 접속). TurboQuant Explained: How It Reduces LLM Memory by 5x and . https://vast.ai/article/turboquant-explained-llm-memory-inference</w:t>
      </w:r>
    </w:p>
    <w:p>
      <w:pPr>
        <w:spacing w:after="20" w:line="264" w:lineRule="auto"/>
        <w:ind w:left="312" w:hanging="227"/>
      </w:pPr>
      <w:r>
        <w:rPr>
          <w:rFonts w:ascii="맑은 고딕" w:hAnsi="맑은 고딕" w:eastAsia="맑은 고딕" w:cs="맑은 고딕"/>
          <w:b/>
          <w:color w:val="7F4ACB"/>
          <w:sz w:val="16"/>
        </w:rPr>
        <w:t xml:space="preserve">• </w:t>
      </w:r>
      <w:r>
        <w:rPr>
          <w:rFonts w:ascii="맑은 고딕" w:hAnsi="맑은 고딕" w:eastAsia="맑은 고딕" w:cs="맑은 고딕"/>
          <w:b w:val="0"/>
          <w:sz w:val="16"/>
        </w:rPr>
        <w:t>[28] Everpure Blog(2026-09-22 접속). Up to 10X Faster KV Cache Restore: TurboQuant Meets FlashBlade. https://blog.everpuredata.com/purely-technical/up-to-10x-faster-kv-cache-restore-turboquant-meets-flashblade</w:t>
      </w:r>
    </w:p>
    <w:p>
      <w:pPr>
        <w:spacing w:after="20" w:line="264" w:lineRule="auto"/>
        <w:ind w:left="312" w:hanging="227"/>
      </w:pPr>
      <w:r>
        <w:rPr>
          <w:rFonts w:ascii="맑은 고딕" w:hAnsi="맑은 고딕" w:eastAsia="맑은 고딕" w:cs="맑은 고딕"/>
          <w:b/>
          <w:color w:val="7F4ACB"/>
          <w:sz w:val="16"/>
        </w:rPr>
        <w:t xml:space="preserve">• </w:t>
      </w:r>
      <w:r>
        <w:rPr>
          <w:rFonts w:ascii="맑은 고딕" w:hAnsi="맑은 고딕" w:eastAsia="맑은 고딕" w:cs="맑은 고딕"/>
          <w:b w:val="0"/>
          <w:sz w:val="16"/>
        </w:rPr>
        <w:t>[29] Google(2026-09-22 접속). TurboQuant: Redefining AI efficiency with extreme . https://research.google/blog/turboquant-redefining-ai-efficiency-with-extreme-compression</w:t>
      </w:r>
    </w:p>
    <w:p>
      <w:pPr>
        <w:spacing w:after="20" w:line="264" w:lineRule="auto"/>
        <w:ind w:left="312" w:hanging="227"/>
      </w:pPr>
      <w:r>
        <w:rPr>
          <w:rFonts w:ascii="맑은 고딕" w:hAnsi="맑은 고딕" w:eastAsia="맑은 고딕" w:cs="맑은 고딕"/>
          <w:b/>
          <w:color w:val="7F4ACB"/>
          <w:sz w:val="16"/>
        </w:rPr>
        <w:t xml:space="preserve">• </w:t>
      </w:r>
      <w:r>
        <w:rPr>
          <w:rFonts w:ascii="맑은 고딕" w:hAnsi="맑은 고딕" w:eastAsia="맑은 고딕" w:cs="맑은 고딕"/>
          <w:b w:val="0"/>
          <w:sz w:val="16"/>
        </w:rPr>
        <w:t>[30] vLLM(2026-05-11). A First Comprehensive Study of TurboQuant: Accuracy and . https://vllm.ai/blog/2026-05-11-turboquant</w:t>
      </w:r>
    </w:p>
    <w:p>
      <w:pPr>
        <w:spacing w:after="20" w:line="264" w:lineRule="auto"/>
        <w:ind w:left="312" w:hanging="227"/>
      </w:pPr>
      <w:r>
        <w:rPr>
          <w:rFonts w:ascii="맑은 고딕" w:hAnsi="맑은 고딕" w:eastAsia="맑은 고딕" w:cs="맑은 고딕"/>
          <w:b/>
          <w:color w:val="7F4ACB"/>
          <w:sz w:val="16"/>
        </w:rPr>
        <w:t xml:space="preserve">• </w:t>
      </w:r>
      <w:r>
        <w:rPr>
          <w:rFonts w:ascii="맑은 고딕" w:hAnsi="맑은 고딕" w:eastAsia="맑은 고딕" w:cs="맑은 고딕"/>
          <w:b w:val="0"/>
          <w:sz w:val="16"/>
        </w:rPr>
        <w:t>[31] substack.com(2026-09-22 접속). TurboQuant: the new(?) and controversial ground breaking . https://boringbot.substack.com/p/turboquant-the-new-and-controversial</w:t>
      </w:r>
    </w:p>
    <w:p>
      <w:pPr>
        <w:spacing w:after="20" w:line="264" w:lineRule="auto"/>
        <w:ind w:left="312" w:hanging="227"/>
      </w:pPr>
      <w:r>
        <w:rPr>
          <w:rFonts w:ascii="맑은 고딕" w:hAnsi="맑은 고딕" w:eastAsia="맑은 고딕" w:cs="맑은 고딕"/>
          <w:b/>
          <w:color w:val="7F4ACB"/>
          <w:sz w:val="16"/>
        </w:rPr>
        <w:t xml:space="preserve">• </w:t>
      </w:r>
      <w:r>
        <w:rPr>
          <w:rFonts w:ascii="맑은 고딕" w:hAnsi="맑은 고딕" w:eastAsia="맑은 고딕" w:cs="맑은 고딕"/>
          <w:b w:val="0"/>
          <w:sz w:val="16"/>
        </w:rPr>
        <w:t>[32] Intel(2026-09-22 접속). Enhancing long-context, high-concurrency LLM serving on a 32 GB . https://community.intel.com/t5/Blogs/Tech-Innovation/Data-Center/Enhancing-long-context-high-concurrency-LLM-serving-on-a-32-GB/post/1751209</w:t>
      </w:r>
    </w:p>
    <w:p>
      <w:pPr>
        <w:spacing w:after="20" w:line="264" w:lineRule="auto"/>
        <w:ind w:left="312" w:hanging="227"/>
      </w:pPr>
      <w:r>
        <w:rPr>
          <w:rFonts w:ascii="맑은 고딕" w:hAnsi="맑은 고딕" w:eastAsia="맑은 고딕" w:cs="맑은 고딕"/>
          <w:b/>
          <w:color w:val="7F4ACB"/>
          <w:sz w:val="16"/>
        </w:rPr>
        <w:t xml:space="preserve">• </w:t>
      </w:r>
      <w:r>
        <w:rPr>
          <w:rFonts w:ascii="맑은 고딕" w:hAnsi="맑은 고딕" w:eastAsia="맑은 고딕" w:cs="맑은 고딕"/>
          <w:b w:val="0"/>
          <w:sz w:val="16"/>
        </w:rPr>
        <w:t>[33] tether.io(2026-09-22 접속). TurboQuant in QVAC SDK 0.12.0: KV-cache quantization for pr…. https://qvac.tether.io/blog/turboquant-in-qvac-sdk-0-12-0-kv-cache-quantization-for-production-local-ai</w:t>
      </w:r>
    </w:p>
    <w:p>
      <w:pPr>
        <w:spacing w:after="20" w:line="264" w:lineRule="auto"/>
        <w:ind w:left="312" w:hanging="227"/>
      </w:pPr>
      <w:r>
        <w:rPr>
          <w:rFonts w:ascii="맑은 고딕" w:hAnsi="맑은 고딕" w:eastAsia="맑은 고딕" w:cs="맑은 고딕"/>
          <w:b/>
          <w:color w:val="7F4ACB"/>
          <w:sz w:val="16"/>
        </w:rPr>
        <w:t xml:space="preserve">• </w:t>
      </w:r>
      <w:r>
        <w:rPr>
          <w:rFonts w:ascii="맑은 고딕" w:hAnsi="맑은 고딕" w:eastAsia="맑은 고딕" w:cs="맑은 고딕"/>
          <w:b w:val="0"/>
          <w:sz w:val="16"/>
        </w:rPr>
        <w:t>[34] jangwook.net(2026-09-22 접속). Google TurboQuant: 3-Bit KV Cache With Zero Accuracy Loss. https://jangwook.net/en/blog/en/google-turboquant-kv-cache-3bit-compression</w:t>
      </w:r>
    </w:p>
    <w:p>
      <w:pPr>
        <w:spacing w:after="20" w:line="264" w:lineRule="auto"/>
        <w:ind w:left="312" w:hanging="227"/>
      </w:pPr>
      <w:r>
        <w:rPr>
          <w:rFonts w:ascii="맑은 고딕" w:hAnsi="맑은 고딕" w:eastAsia="맑은 고딕" w:cs="맑은 고딕"/>
          <w:b/>
          <w:color w:val="7F4ACB"/>
          <w:sz w:val="16"/>
        </w:rPr>
        <w:t xml:space="preserve">• </w:t>
      </w:r>
      <w:r>
        <w:rPr>
          <w:rFonts w:ascii="맑은 고딕" w:hAnsi="맑은 고딕" w:eastAsia="맑은 고딕" w:cs="맑은 고딕"/>
          <w:b w:val="0"/>
          <w:sz w:val="16"/>
        </w:rPr>
        <w:t>[35] Medium(2026-09-22 접속). Implementing Google’s TurboQuant: KV Cache Compression and LLM Evaluation with…. https://medium.com/online-inference/implementing-googles-turboquant-kv-cache-compression-and-llm-evaluation-with-w-b-1403d460846b</w:t>
      </w:r>
    </w:p>
    <w:p>
      <w:pPr>
        <w:spacing w:after="20" w:line="264" w:lineRule="auto"/>
        <w:ind w:left="312" w:hanging="227"/>
      </w:pPr>
      <w:r>
        <w:rPr>
          <w:rFonts w:ascii="맑은 고딕" w:hAnsi="맑은 고딕" w:eastAsia="맑은 고딕" w:cs="맑은 고딕"/>
          <w:b/>
          <w:color w:val="7F4ACB"/>
          <w:sz w:val="16"/>
        </w:rPr>
        <w:t xml:space="preserve">• </w:t>
      </w:r>
      <w:r>
        <w:rPr>
          <w:rFonts w:ascii="맑은 고딕" w:hAnsi="맑은 고딕" w:eastAsia="맑은 고딕" w:cs="맑은 고딕"/>
          <w:b w:val="0"/>
          <w:sz w:val="16"/>
        </w:rPr>
        <w:t>[36] neurips.cc(2026-09-22 접속). HiFC: High-efficiency Flash-based KV Cache Swapping for . https://papers.neurips.cc/paper_files/paper/2025/file/4431224d3762aa655f0aee4eaf04ff16-Paper-Conference.pdf</w:t>
      </w:r>
    </w:p>
    <w:p>
      <w:pPr>
        <w:spacing w:after="20" w:line="264" w:lineRule="auto"/>
        <w:ind w:left="312" w:hanging="227"/>
      </w:pPr>
      <w:r>
        <w:rPr>
          <w:rFonts w:ascii="맑은 고딕" w:hAnsi="맑은 고딕" w:eastAsia="맑은 고딕" w:cs="맑은 고딕"/>
          <w:b/>
          <w:color w:val="7F4ACB"/>
          <w:sz w:val="16"/>
        </w:rPr>
        <w:t xml:space="preserve">• </w:t>
      </w:r>
      <w:r>
        <w:rPr>
          <w:rFonts w:ascii="맑은 고딕" w:hAnsi="맑은 고딕" w:eastAsia="맑은 고딕" w:cs="맑은 고딕"/>
          <w:b w:val="0"/>
          <w:sz w:val="16"/>
        </w:rPr>
        <w:t>[37] Global Equity Briefing(2026-09-22 접속). SK Hynix Deep Dive: 4x P/E is Too Cheap!. https://www.globalequitybriefing.com/p/sk-hynix-deep-dive-4x-pe-is-too-cheap</w:t>
      </w:r>
    </w:p>
    <w:p>
      <w:pPr>
        <w:spacing w:after="20" w:line="264" w:lineRule="auto"/>
        <w:ind w:left="312" w:hanging="227"/>
      </w:pPr>
      <w:r>
        <w:rPr>
          <w:rFonts w:ascii="맑은 고딕" w:hAnsi="맑은 고딕" w:eastAsia="맑은 고딕" w:cs="맑은 고딕"/>
          <w:b/>
          <w:color w:val="7F4ACB"/>
          <w:sz w:val="16"/>
        </w:rPr>
        <w:t xml:space="preserve">• </w:t>
      </w:r>
      <w:r>
        <w:rPr>
          <w:rFonts w:ascii="맑은 고딕" w:hAnsi="맑은 고딕" w:eastAsia="맑은 고딕" w:cs="맑은 고딕"/>
          <w:b w:val="0"/>
          <w:sz w:val="16"/>
        </w:rPr>
        <w:t>[38] seagate.com(2026-09-22 접속). Enabling inference at massive scale with hybrid storage for . https://www.seagate.com/resources/enabling-inference-at-massive-scale-with-hybrid-storage-for-kv-cache-offloading</w:t>
      </w:r>
    </w:p>
    <w:sectPr>
      <w:headerReference w:type="default" r:id="rId7"/>
      <w:headerReference w:type="first" r:id="rId8"/>
      <w:footerReference w:type="default" r:id="rId9"/>
      <w:footerReference w:type="first" r:id="rId10"/>
      <w:pgSz w:w="11906" w:h="16838" w:orient="portrait"/>
      <w:pgMar w:top="1300" w:right="1440" w:bottom="1300" w:left="1440" w:header="700" w:footer="6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8A8F9C"/>
        <w:sz w:val="16"/>
        <w:szCs w:val="16"/>
      </w:rPr>
      <w:t xml:space="preserve">- </w:t>
      <w:fldChar w:fldCharType="begin"/>
      <w:instrText xml:space="preserve">PAGE</w:instrText>
      <w:fldChar w:fldCharType="separate"/>
      <w:fldChar w:fldCharType="end"/>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맑은 고딕" w:cs="맑은 고딕" w:eastAsia="맑은 고딕" w:hAnsi="맑은 고딕"/>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AE5" w:sz="4" w:space="4"/>
      </w:pBdr>
      <w:tabs>
        <w:tab w:val="right" w:pos="9020"/>
      </w:tabs>
      <w:spacing w:after="60"/>
    </w:pPr>
    <w:r>
      <w:drawing>
        <wp:inline distT="0" distB="0" distL="0" distR="0">
          <wp:extent cx="628650" cy="17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28650" cy="171450"/>
                  </a:xfrm>
                  <a:prstGeom prst="rect">
                    <a:avLst/>
                  </a:prstGeom>
                </pic:spPr>
              </pic:pic>
            </a:graphicData>
          </a:graphic>
        </wp:inline>
      </w:drawing>
    </w:r>
    <w:r>
      <w:rPr>
        <w:rFonts w:ascii="맑은 고딕" w:cs="맑은 고딕" w:eastAsia="맑은 고딕" w:hAnsi="맑은 고딕"/>
        <w:color w:val="8A8F9C"/>
        <w:sz w:val="16"/>
        <w:szCs w:val="16"/>
      </w:rPr>
      <w:t xml:space="preserve">	SKALA 4기 과제 제출 보고서 · 평가 보고서</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맑은 고딕" w:cs="맑은 고딕" w:eastAsia="맑은 고딕" w:hAnsi="맑은 고딕"/>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line="320"/>
        <w:ind w:left="460" w:hanging="240"/>
      </w:pPr>
    </w:lvl>
    <w:lvl w:ilvl="1" w15:tentative="1">
      <w:start w:val="1"/>
      <w:numFmt w:val="bullet"/>
      <w:lvlText w:val="–"/>
      <w:lvlJc w:val="left"/>
      <w:pPr>
        <w:spacing w:after="80" w:line="320"/>
        <w:ind w:left="84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7F4ACB" w:sz="8" w:space="6"/>
      </w:pBdr>
      <w:spacing w:after="180" w:before="400"/>
      <w:outlineLvl w:val="0"/>
    </w:pPr>
    <w:rPr>
      <w:rFonts w:ascii="맑은 고딕" w:cs="맑은 고딕" w:eastAsia="맑은 고딕" w:hAnsi="맑은 고딕"/>
      <w:b/>
      <w:bCs/>
      <w:color w:val="161A58"/>
      <w:sz w:val="26"/>
      <w:szCs w:val="26"/>
    </w:rPr>
  </w:style>
  <w:style w:type="paragraph" w:styleId="Heading2">
    <w:name w:val="Heading 2"/>
    <w:basedOn w:val="Normal"/>
    <w:next w:val="Normal"/>
    <w:qFormat/>
    <w:pPr>
      <w:spacing w:after="120" w:before="280"/>
      <w:outlineLvl w:val="1"/>
    </w:pPr>
    <w:rPr>
      <w:rFonts w:ascii="맑은 고딕" w:cs="맑은 고딕" w:eastAsia="맑은 고딕" w:hAnsi="맑은 고딕"/>
      <w:b/>
      <w:bCs/>
      <w:color w:val="2A2F6B"/>
      <w:sz w:val="22"/>
      <w:szCs w:val="22"/>
    </w:rPr>
  </w:style>
  <w:style w:type="paragraph" w:styleId="BodyKo">
    <w:name w:val="Body Ko"/>
    <w:basedOn w:val="Normal"/>
    <w:next w:val="BodyKo"/>
    <w:qFormat/>
    <w:pPr>
      <w:spacing w:after="120" w:before="0" w:line="340"/>
      <w:ind w:firstLine="200"/>
    </w:pPr>
    <w:rPr>
      <w:rFonts w:ascii="맑은 고딕" w:cs="맑은 고딕" w:eastAsia="맑은 고딕" w:hAnsi="맑은 고딕"/>
      <w:sz w:val="20"/>
      <w:szCs w:val="20"/>
    </w:rPr>
  </w:style>
  <w:style w:type="paragraph" w:styleId="CodeKo">
    <w:name w:val="Code Ko"/>
    <w:basedOn w:val="Normal"/>
    <w:next w:val="CodeKo"/>
    <w:pPr>
      <w:pBdr>
        <w:left w:val="single" w:color="7F4ACB" w:sz="12" w:space="8"/>
      </w:pBdr>
      <w:shd w:fill="F5F6FA" w:color="auto" w:val="clear"/>
      <w:spacing w:after="120" w:before="120" w:line="280"/>
      <w:ind w:left="200" w:right="200"/>
    </w:pPr>
    <w:rPr>
      <w:rFonts w:ascii="D2Coding" w:cs="D2Coding" w:eastAsia="D2Coding" w:hAnsi="D2Coding"/>
      <w:color w:val="24292F"/>
      <w:sz w:val="18"/>
      <w:szCs w:val="1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837ccb94b81f10bcf0dc65624871ee31f18939dc.png"/><Relationship Id="rId12" Type="http://schemas.openxmlformats.org/officeDocument/2006/relationships/fontTable" Target="fontTable.xml"/></Relationships>
</file>

<file path=word/_rels/header1.xml.rels><?xml version='1.0' encoding='UTF-8' standalone='yes'?>
<Relationships xmlns="http://schemas.openxmlformats.org/package/2006/relationships"><Relationship Id="rId0" Type="http://schemas.openxmlformats.org/officeDocument/2006/relationships/image" Target="media/837ccb94b81f10bcf0dc65624871ee31f18939d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SKALA 과제 제출 보고서 양식</dc:title>
  <dc:creator>SKALA</dc:creator>
  <dc:description>SKALA 과제 제출용 보고서 표준 양식</dc:description>
  <cp:lastModifiedBy>Un-named</cp:lastModifiedBy>
  <cp:revision>1</cp:revision>
  <dcterms:created xsi:type="dcterms:W3CDTF">2026-08-18T07:52:55.970Z</dcterms:created>
  <dcterms:modified xsi:type="dcterms:W3CDTF">2026-08-18T07:52:55.972Z</dcterms:modified>
</cp:coreProperties>
</file>

<file path=docProps/custom.xml><?xml version="1.0" encoding="utf-8"?>
<Properties xmlns="http://schemas.openxmlformats.org/officeDocument/2006/custom-properties" xmlns:vt="http://schemas.openxmlformats.org/officeDocument/2006/docPropsVTypes"/>
</file>