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OKF-Driven Context Optimization</w:t>
      </w:r>
    </w:p>
    <w:p>
      <w:r>
        <w:t>A proposal for scalable Claude-based reverse engineering of large mainframe COBOL/CICS applications</w:t>
      </w:r>
    </w:p>
    <w:p>
      <w:r>
        <w:t>MANAGEMENT DISCUSSION DRAFT  |  26 OCTOBER 2026</w:t>
      </w:r>
    </w:p>
    <w:p>
      <w:pPr>
        <w:pStyle w:val="Heading1"/>
      </w:pPr>
      <w:r>
        <w:t>1. Executive summary</w:t>
      </w:r>
    </w:p>
    <w:p>
      <w:r>
        <w:t>Large COBOL/CICS programs can contain 30,000–50,000 or more lines of source. When multiple programs, copybooks and job-control artifacts must be analyzed together, loading the full source into Claude creates significant context-window pressure. This can lead to interrupted analysis, repeated reading of code, and loss of earlier details as long-running sessions are compacted.</w:t>
      </w:r>
    </w:p>
    <w:p>
      <w:r>
        <w:t>We propose using Open Knowledge Format (OKF) as a versioned, reusable knowledge and navigation layer. Claude would consult concise program and functional OKF documents first, then retrieve only the relevant original COBOL source and dependencies required to validate an answer. A Python-based pipeline would extract program structure, assemble bounded source slices, orchestrate LLM-assisted knowledge generation, and verify links to source evidence.</w:t>
      </w:r>
    </w:p>
    <w:p>
      <w:r>
        <w:t>Decision sought: Approve a focused proof of concept on one JCL job and its connected programs, including at least one 30,000+ line COBOL/CICS program. Measure analysis correctness, context usage, dependency coverage and reusability against the current workflow.</w:t>
      </w:r>
    </w:p>
    <w:p>
      <w:pPr>
        <w:pStyle w:val="Heading1"/>
      </w:pPr>
      <w:r>
        <w:t>2. Problem and opportunity</w:t>
      </w:r>
    </w:p>
    <w:p>
      <w:pPr>
        <w:pStyle w:val="ListBullet"/>
      </w:pPr>
      <w:r>
        <w:t>Context-window pressure: source, copybooks, instructions, tool output and prior discussion all compete for a finite Claude context window.</w:t>
      </w:r>
    </w:p>
    <w:p>
      <w:pPr>
        <w:pStyle w:val="ListBullet"/>
      </w:pPr>
      <w:r>
        <w:t>Repeated interpretation: shared programs may be reanalyzed in every new job or business-process investigation.</w:t>
      </w:r>
    </w:p>
    <w:p>
      <w:pPr>
        <w:pStyle w:val="ListBullet"/>
      </w:pPr>
      <w:r>
        <w:t>Disconnected business logic: relevant routines can be spread across distant paragraphs, copybooks, data definitions and called programs.</w:t>
      </w:r>
    </w:p>
    <w:p>
      <w:pPr>
        <w:pStyle w:val="ListBullet"/>
      </w:pPr>
      <w:r>
        <w:t>Limited persistence: conclusions from one session may not be available in another unless saved as durable knowledge.</w:t>
      </w:r>
    </w:p>
    <w:p>
      <w:pPr>
        <w:pStyle w:val="ListBullet"/>
      </w:pPr>
      <w:r>
        <w:t>Simple line-based chunking risks hiding control flow, dynamic calls and business conditions that connect chunks.</w:t>
      </w:r>
    </w:p>
    <w:p>
      <w:pPr>
        <w:pStyle w:val="Heading1"/>
      </w:pPr>
      <w:r>
        <w:t>3. Proposed solution: OKF-first, source-verified analysis</w:t>
      </w:r>
    </w:p>
    <w:p>
      <w:r>
        <w:t>OKF uses Markdown files with YAML metadata and links. For this use case, we propose three linked types of knowledge: a compact program overview, detailed functional slices for large programs, and invocation-context documents that describe how specific callers use a shared program. All meaningful claims will reference the exact source member, version and location. A separate Python-managed source index and dependency graph provide reliable retrieval and typed execution relationships.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t>Artifact</w:t>
            </w:r>
          </w:p>
        </w:tc>
        <w:tc>
          <w:tcPr>
            <w:tcW w:type="dxa" w:w="3264"/>
            <w:vAlign w:val="center"/>
          </w:tcPr>
          <w:p>
            <w:pPr>
              <w:spacing w:after="20"/>
            </w:pPr>
            <w:r>
              <w:t>Purpose</w:t>
            </w:r>
          </w:p>
        </w:tc>
        <w:tc>
          <w:tcPr>
            <w:tcW w:type="dxa" w:w="3264"/>
            <w:vAlign w:val="center"/>
          </w:tcPr>
          <w:p>
            <w:pPr>
              <w:spacing w:after="20"/>
            </w:pPr>
            <w:r>
              <w:t>Illustration</w:t>
            </w:r>
          </w:p>
        </w:tc>
      </w:tr>
      <w:tr>
        <w:tc>
          <w:tcPr>
            <w:tcW w:type="dxa" w:w="3264"/>
            <w:vAlign w:val="center"/>
          </w:tcPr>
          <w:p>
            <w:pPr>
              <w:spacing w:after="20"/>
            </w:pPr>
            <w:r>
              <w:t>Program OKF</w:t>
            </w:r>
          </w:p>
        </w:tc>
        <w:tc>
          <w:tcPr>
            <w:tcW w:type="dxa" w:w="3264"/>
            <w:vAlign w:val="center"/>
          </w:tcPr>
          <w:p>
            <w:pPr>
              <w:spacing w:after="20"/>
            </w:pPr>
            <w:r>
              <w:t>Overall responsibilities, interfaces, functions, dependencies</w:t>
            </w:r>
          </w:p>
        </w:tc>
        <w:tc>
          <w:tcPr>
            <w:tcW w:type="dxa" w:w="3264"/>
            <w:vAlign w:val="center"/>
          </w:tcPr>
          <w:p>
            <w:pPr>
              <w:spacing w:after="20"/>
            </w:pPr>
            <w:r>
              <w:t>programs/B2/overview.md</w:t>
            </w:r>
          </w:p>
        </w:tc>
      </w:tr>
      <w:tr>
        <w:tc>
          <w:tcPr>
            <w:tcW w:type="dxa" w:w="3264"/>
            <w:vAlign w:val="center"/>
          </w:tcPr>
          <w:p>
            <w:pPr>
              <w:spacing w:after="20"/>
            </w:pPr>
            <w:r>
              <w:t>Functional OKF</w:t>
            </w:r>
          </w:p>
        </w:tc>
        <w:tc>
          <w:tcPr>
            <w:tcW w:type="dxa" w:w="3264"/>
            <w:vAlign w:val="center"/>
          </w:tcPr>
          <w:p>
            <w:pPr>
              <w:spacing w:after="20"/>
            </w:pPr>
            <w:r>
              <w:t>A focused unit with conditions, side effects and evidence</w:t>
            </w:r>
          </w:p>
        </w:tc>
        <w:tc>
          <w:tcPr>
            <w:tcW w:type="dxa" w:w="3264"/>
            <w:vAlign w:val="center"/>
          </w:tcPr>
          <w:p>
            <w:pPr>
              <w:spacing w:after="20"/>
            </w:pPr>
            <w:r>
              <w:t>programs/B2/functions/account-update.md</w:t>
            </w:r>
          </w:p>
        </w:tc>
      </w:tr>
      <w:tr>
        <w:tc>
          <w:tcPr>
            <w:tcW w:type="dxa" w:w="3264"/>
            <w:vAlign w:val="center"/>
          </w:tcPr>
          <w:p>
            <w:pPr>
              <w:spacing w:after="20"/>
            </w:pPr>
            <w:r>
              <w:t>Invocation OKF</w:t>
            </w:r>
          </w:p>
        </w:tc>
        <w:tc>
          <w:tcPr>
            <w:tcW w:type="dxa" w:w="3264"/>
            <w:vAlign w:val="center"/>
          </w:tcPr>
          <w:p>
            <w:pPr>
              <w:spacing w:after="20"/>
            </w:pPr>
            <w:r>
              <w:t>Caller-specific operation codes and call-path evidence</w:t>
            </w:r>
          </w:p>
        </w:tc>
        <w:tc>
          <w:tcPr>
            <w:tcW w:type="dxa" w:w="3264"/>
            <w:vAlign w:val="center"/>
          </w:tcPr>
          <w:p>
            <w:pPr>
              <w:spacing w:after="20"/>
            </w:pPr>
            <w:r>
              <w:t>invocations/P1-to-B2.md</w:t>
            </w:r>
          </w:p>
        </w:tc>
      </w:tr>
      <w:tr>
        <w:tc>
          <w:tcPr>
            <w:tcW w:type="dxa" w:w="3264"/>
            <w:vAlign w:val="center"/>
          </w:tcPr>
          <w:p>
            <w:pPr>
              <w:spacing w:after="20"/>
            </w:pPr>
            <w:r>
              <w:t>Source index / graph</w:t>
            </w:r>
          </w:p>
        </w:tc>
        <w:tc>
          <w:tcPr>
            <w:tcW w:type="dxa" w:w="3264"/>
            <w:vAlign w:val="center"/>
          </w:tcPr>
          <w:p>
            <w:pPr>
              <w:spacing w:after="20"/>
            </w:pPr>
            <w:r>
              <w:t>Exact references and CALL/PERFORM/CICS/data-flow edges</w:t>
            </w:r>
          </w:p>
        </w:tc>
        <w:tc>
          <w:tcPr>
            <w:tcW w:type="dxa" w:w="3264"/>
            <w:vAlign w:val="center"/>
          </w:tcPr>
          <w:p>
            <w:pPr>
              <w:spacing w:after="20"/>
            </w:pPr>
            <w:r>
              <w:t>index.sqlite / graph.json</w:t>
            </w:r>
          </w:p>
        </w:tc>
      </w:tr>
    </w:tbl>
    <w:p/>
    <w:p>
      <w:pPr>
        <w:pStyle w:val="Heading1"/>
      </w:pPr>
      <w:r>
        <w:t>4. Worked example: A1 → P1 → B1/B2</w:t>
      </w:r>
    </w:p>
    <w:tbl>
      <w:tblPr>
        <w:tblStyle w:val="TableGrid"/>
        <w:tblW w:type="auto" w:w="0"/>
        <w:tblLook w:firstColumn="1" w:firstRow="1" w:lastColumn="0" w:lastRow="0" w:noHBand="0" w:noVBand="1" w:val="04A0"/>
      </w:tblPr>
      <w:tblGrid>
        <w:gridCol w:w="9792"/>
      </w:tblGrid>
      <w:tr>
        <w:tc>
          <w:tcPr>
            <w:tcW w:type="dxa" w:w="9792"/>
          </w:tcPr>
          <w:p>
            <w:r>
              <w:rPr>
                <w:rFonts w:ascii="Consolas" w:hAnsi="Consolas"/>
                <w:sz w:val="16"/>
              </w:rPr>
              <w:t>JOB A1 (JCL)</w:t>
              <w:br/>
              <w:t xml:space="preserve">  └── P1 (5,000 lines)</w:t>
              <w:br/>
              <w:t xml:space="preserve">        ├── B1 (35,000 lines)</w:t>
              <w:br/>
              <w:t xml:space="preserve">        └── B2 (40,000 lines)</w:t>
            </w:r>
          </w:p>
        </w:tc>
      </w:tr>
    </w:tbl>
    <w:p/>
    <w:p>
      <w:r>
        <w:t>Question: “How does job A1 update account data?” In a source-first workflow Claude may inspect most or all of P1, B1 and B2. In the proposed workflow Claude initially reads A1/P1 program overviews, examines the P1-to-B2 invocation context, follows the account-update functional OKF and fetches the exact COBOL paragraphs, data definitions and dependent routines needed for the question.</w:t>
      </w:r>
    </w:p>
    <w:p>
      <w:pPr>
        <w:pStyle w:val="ListNumber"/>
      </w:pPr>
      <w:r>
        <w:t>Find A1 and its relevant JCL step in the OKF index.</w:t>
      </w:r>
    </w:p>
    <w:p>
      <w:pPr>
        <w:pStyle w:val="ListNumber"/>
      </w:pPr>
      <w:r>
        <w:t>Read P1 overview and identify actual call sites and conditions, not merely possible callees.</w:t>
      </w:r>
    </w:p>
    <w:p>
      <w:pPr>
        <w:pStyle w:val="ListNumber"/>
      </w:pPr>
      <w:r>
        <w:t>Read the P1→B2 invocation description; determine the known operation selector and unresolved runtime values.</w:t>
      </w:r>
    </w:p>
    <w:p>
      <w:pPr>
        <w:pStyle w:val="ListNumber"/>
      </w:pPr>
      <w:r>
        <w:t>Consult B2 account-update knowledge to identify relevant source spans and dependencies.</w:t>
      </w:r>
    </w:p>
    <w:p>
      <w:pPr>
        <w:pStyle w:val="ListNumber"/>
      </w:pPr>
      <w:r>
        <w:t>Retrieve the necessary original source; expand to PERFORM targets, copybooks and SQL/error paths as needed.</w:t>
      </w:r>
    </w:p>
    <w:p>
      <w:pPr>
        <w:pStyle w:val="ListNumber"/>
      </w:pPr>
      <w:r>
        <w:t>Verify execution conditions and data effects against the source; distinguish possible behavior from the behavior reachable in A1.</w:t>
      </w:r>
    </w:p>
    <w:p>
      <w:r>
        <w:t>Illustrative context comparison: initial OKF overviews might total 4,000–6,000 tokens rather than loading approximately 80,000 lines across three programs. These are design examples—not measured savings. Deep dives may still require additional source; OKF controls what is loaded first and why.</w:t>
      </w:r>
    </w:p>
    <w:p>
      <w:pPr>
        <w:pStyle w:val="Heading1"/>
      </w:pPr>
      <w:r>
        <w:t>5. How this helps Claude workflows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t>Capability</w:t>
            </w:r>
          </w:p>
        </w:tc>
        <w:tc>
          <w:tcPr>
            <w:tcW w:type="dxa" w:w="4896"/>
            <w:vAlign w:val="center"/>
          </w:tcPr>
          <w:p>
            <w:pPr>
              <w:spacing w:after="20"/>
            </w:pPr>
            <w:r>
              <w:t>Contribution</w:t>
            </w:r>
          </w:p>
        </w:tc>
      </w:tr>
      <w:tr>
        <w:tc>
          <w:tcPr>
            <w:tcW w:type="dxa" w:w="4896"/>
            <w:vAlign w:val="center"/>
          </w:tcPr>
          <w:p>
            <w:pPr>
              <w:spacing w:after="20"/>
            </w:pPr>
            <w:r>
              <w:t>Progressive loading</w:t>
            </w:r>
          </w:p>
        </w:tc>
        <w:tc>
          <w:tcPr>
            <w:tcW w:type="dxa" w:w="4896"/>
            <w:vAlign w:val="center"/>
          </w:tcPr>
          <w:p>
            <w:pPr>
              <w:spacing w:after="20"/>
            </w:pPr>
            <w:r>
              <w:t>Read compact overviews, then functional concepts, then verified source evidence.</w:t>
            </w:r>
          </w:p>
        </w:tc>
      </w:tr>
      <w:tr>
        <w:tc>
          <w:tcPr>
            <w:tcW w:type="dxa" w:w="4896"/>
            <w:vAlign w:val="center"/>
          </w:tcPr>
          <w:p>
            <w:pPr>
              <w:spacing w:after="20"/>
            </w:pPr>
            <w:r>
              <w:t>Reduced redundant analysis</w:t>
            </w:r>
          </w:p>
        </w:tc>
        <w:tc>
          <w:tcPr>
            <w:tcW w:type="dxa" w:w="4896"/>
            <w:vAlign w:val="center"/>
          </w:tcPr>
          <w:p>
            <w:pPr>
              <w:spacing w:after="20"/>
            </w:pPr>
            <w:r>
              <w:t>Reuse B2 knowledge across A1, A9 and other callers while documenting each invocation separately.</w:t>
            </w:r>
          </w:p>
        </w:tc>
      </w:tr>
      <w:tr>
        <w:tc>
          <w:tcPr>
            <w:tcW w:type="dxa" w:w="4896"/>
            <w:vAlign w:val="center"/>
          </w:tcPr>
          <w:p>
            <w:pPr>
              <w:spacing w:after="20"/>
            </w:pPr>
            <w:r>
              <w:t>Session continuity</w:t>
            </w:r>
          </w:p>
        </w:tc>
        <w:tc>
          <w:tcPr>
            <w:tcW w:type="dxa" w:w="4896"/>
            <w:vAlign w:val="center"/>
          </w:tcPr>
          <w:p>
            <w:pPr>
              <w:spacing w:after="20"/>
            </w:pPr>
            <w:r>
              <w:t>Store durable knowledge and source pointers outside the conversation so analysis can resume after context compaction.</w:t>
            </w:r>
          </w:p>
        </w:tc>
      </w:tr>
      <w:tr>
        <w:tc>
          <w:tcPr>
            <w:tcW w:type="dxa" w:w="4896"/>
            <w:vAlign w:val="center"/>
          </w:tcPr>
          <w:p>
            <w:pPr>
              <w:spacing w:after="20"/>
            </w:pPr>
            <w:r>
              <w:t>Targeted retrieval</w:t>
            </w:r>
          </w:p>
        </w:tc>
        <w:tc>
          <w:tcPr>
            <w:tcW w:type="dxa" w:w="4896"/>
            <w:vAlign w:val="center"/>
          </w:tcPr>
          <w:p>
            <w:pPr>
              <w:spacing w:after="20"/>
            </w:pPr>
            <w:r>
              <w:t>Use source line/paragraph references and dependency traversal instead of arbitrary large file reads.</w:t>
            </w:r>
          </w:p>
        </w:tc>
      </w:tr>
      <w:tr>
        <w:tc>
          <w:tcPr>
            <w:tcW w:type="dxa" w:w="4896"/>
            <w:vAlign w:val="center"/>
          </w:tcPr>
          <w:p>
            <w:pPr>
              <w:spacing w:after="20"/>
            </w:pPr>
            <w:r>
              <w:t>Defensible outputs</w:t>
            </w:r>
          </w:p>
        </w:tc>
        <w:tc>
          <w:tcPr>
            <w:tcW w:type="dxa" w:w="4896"/>
            <w:vAlign w:val="center"/>
          </w:tcPr>
          <w:p>
            <w:pPr>
              <w:spacing w:after="20"/>
            </w:pPr>
            <w:r>
              <w:t>Ground findings in original COBOL, and label unverified dynamic paths and runtime conditions.</w:t>
            </w:r>
          </w:p>
        </w:tc>
      </w:tr>
    </w:tbl>
    <w:p/>
    <w:p>
      <w:r>
        <w:t>For Claude Code, a repository-level CLAUDE.md can instruct the agent to consult the OKF index first, use Python utilities to retrieve source by structural identifier, reserve a context budget, and verify material conclusions against source code. These instructions are workflow controls; the OKF format by itself does not automatically limit context usage.</w:t>
      </w:r>
    </w:p>
    <w:p>
      <w:pPr>
        <w:pStyle w:val="Heading1"/>
      </w:pPr>
      <w:r>
        <w:t>6. Python-based OKF creation approach</w:t>
      </w:r>
    </w:p>
    <w:p>
      <w:r>
        <w:t>The generation process must not require Claude to read all 35,000 lines at once. Python processes and indexes the full source outside the LLM context, while Claude receives bounded, dependency-aware source packages.</w:t>
      </w:r>
    </w:p>
    <w:p>
      <w:pPr>
        <w:pStyle w:val="ListNumber"/>
      </w:pPr>
      <w:r>
        <w:t>Ingest COBOL, JCL, copybooks, relevant CICS definitions, DB2/VSAM schemas and control cards. Record source baseline and hashes.</w:t>
      </w:r>
    </w:p>
    <w:p>
      <w:pPr>
        <w:pStyle w:val="ListNumber"/>
      </w:pPr>
      <w:r>
        <w:t>Extract structural facts with a COBOL-aware parser: program IDs, paragraphs, PERFORM/THRU, CALL, CICS LINK/XCTL/START, SQL/file operations, data structures and original line references.</w:t>
      </w:r>
    </w:p>
    <w:p>
      <w:pPr>
        <w:pStyle w:val="ListNumber"/>
      </w:pPr>
      <w:r>
        <w:t>Build a program/paragraph dependency graph and index; distinguish resolved calls from dynamic or uncertain targets.</w:t>
      </w:r>
    </w:p>
    <w:p>
      <w:pPr>
        <w:pStyle w:val="ListNumber"/>
      </w:pPr>
      <w:r>
        <w:t>Form cohesive functional slices based on entry points, control flow and data dependencies; avoid arbitrary fixed-line chunking.</w:t>
      </w:r>
    </w:p>
    <w:p>
      <w:pPr>
        <w:pStyle w:val="ListNumber"/>
      </w:pPr>
      <w:r>
        <w:t>Assemble token-budgeted packages containing selected source, related declarations, entry conditions and verified dependency contracts.</w:t>
      </w:r>
    </w:p>
    <w:p>
      <w:pPr>
        <w:pStyle w:val="ListNumber"/>
      </w:pPr>
      <w:r>
        <w:t>Ask Claude to create a functional knowledge document for each package. Recursively decompose oversized regions, and never silently truncate an unresolved dependency.</w:t>
      </w:r>
    </w:p>
    <w:p>
      <w:pPr>
        <w:pStyle w:val="ListNumber"/>
      </w:pPr>
      <w:r>
        <w:t>Synthesize compact program and invocation OKF documents bottom-up from reviewed functional knowledge and deterministic structural facts.</w:t>
      </w:r>
    </w:p>
    <w:p>
      <w:pPr>
        <w:pStyle w:val="ListNumber"/>
      </w:pPr>
      <w:r>
        <w:t>Validate frontmatter, source hashes, references, graph edges and analysis coverage; publish draft or verified status as appropriate.</w:t>
      </w:r>
    </w:p>
    <w:p>
      <w:pPr>
        <w:pStyle w:val="ListNumber"/>
      </w:pPr>
      <w:r>
        <w:t>After source changes, detect affected paragraphs, shared dependencies and copybooks, then revalidate or regenerate impacted documents.</w:t>
      </w:r>
    </w:p>
    <w:tbl>
      <w:tblPr>
        <w:tblStyle w:val="TableGrid"/>
        <w:tblW w:type="auto" w:w="0"/>
        <w:tblLook w:firstColumn="1" w:firstRow="1" w:lastColumn="0" w:lastRow="0" w:noHBand="0" w:noVBand="1" w:val="04A0"/>
      </w:tblPr>
      <w:tblGrid>
        <w:gridCol w:w="9792"/>
      </w:tblGrid>
      <w:tr>
        <w:tc>
          <w:tcPr>
            <w:tcW w:type="dxa" w:w="9792"/>
          </w:tcPr>
          <w:p>
            <w:r>
              <w:rPr>
                <w:rFonts w:ascii="Consolas" w:hAnsi="Consolas"/>
                <w:sz w:val="16"/>
              </w:rPr>
              <w:t>COBOL / JCL / COPYBOOKS</w:t>
              <w:br/>
              <w:t xml:space="preserve">          ↓</w:t>
              <w:br/>
              <w:t>Python COBOL-aware parser + structural index</w:t>
              <w:br/>
              <w:t xml:space="preserve">          ↓</w:t>
              <w:br/>
              <w:t>Dependency graph + functional decomposition</w:t>
              <w:br/>
              <w:t xml:space="preserve">          ↓</w:t>
              <w:br/>
              <w:t>Bounded source packages (token-counted)</w:t>
              <w:br/>
              <w:t xml:space="preserve">          ↓</w:t>
              <w:br/>
              <w:t>Claude functional analysis → source-backed OKF</w:t>
              <w:br/>
              <w:t xml:space="preserve">          ↓</w:t>
              <w:br/>
              <w:t>Program overview / invocation knowledge</w:t>
              <w:br/>
              <w:t xml:space="preserve">          ↓</w:t>
              <w:br/>
              <w:t>OKF-first retrieval in future Claude workflows</w:t>
            </w:r>
          </w:p>
        </w:tc>
      </w:tr>
    </w:tbl>
    <w:p/>
    <w:p>
      <w:pPr>
        <w:pStyle w:val="Heading1"/>
      </w:pPr>
      <w:r>
        <w:t>7. Accuracy and operational safeguards</w:t>
      </w:r>
    </w:p>
    <w:p>
      <w:pPr>
        <w:pStyle w:val="ListBullet"/>
      </w:pPr>
      <w:r>
        <w:t>OKF documents summarize knowledge; original version-matched source remains the authority for technical conclusions.</w:t>
      </w:r>
    </w:p>
    <w:p>
      <w:pPr>
        <w:pStyle w:val="ListBullet"/>
      </w:pPr>
      <w:r>
        <w:t>Track evidence states: source-confirmed, statically derived, AI-inferred and unresolved. Do not represent an inference as confirmed execution.</w:t>
      </w:r>
    </w:p>
    <w:p>
      <w:pPr>
        <w:pStyle w:val="ListBullet"/>
      </w:pPr>
      <w:r>
        <w:t>Preserve CICS semantics: CALL, LINK, XCTL, START and RETURN are not interchangeable, and COPY is not a runtime call.</w:t>
      </w:r>
    </w:p>
    <w:p>
      <w:pPr>
        <w:pStyle w:val="ListBullet"/>
      </w:pPr>
      <w:r>
        <w:t>Analyze data flow across caller/callee boundaries: an action code set before a call may be modified by intermediate code.</w:t>
      </w:r>
    </w:p>
    <w:p>
      <w:pPr>
        <w:pStyle w:val="ListBullet"/>
      </w:pPr>
      <w:r>
        <w:t>Maintain coverage data for paragraphs, dependencies and unresolved targets. An OKF summary does not prove that all program paths have been analyzed.</w:t>
      </w:r>
    </w:p>
    <w:p>
      <w:pPr>
        <w:pStyle w:val="ListBullet"/>
      </w:pPr>
      <w:r>
        <w:t>Respect organizational restrictions on source code and sensitive business logic in LLM processing and knowledge storage.</w:t>
      </w:r>
    </w:p>
    <w:p>
      <w:pPr>
        <w:pStyle w:val="Heading1"/>
      </w:pPr>
      <w:r>
        <w:t>8. Expected benefits and limitations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t>Expected benefit</w:t>
            </w:r>
          </w:p>
        </w:tc>
        <w:tc>
          <w:tcPr>
            <w:tcW w:type="dxa" w:w="4896"/>
            <w:vAlign w:val="center"/>
          </w:tcPr>
          <w:p>
            <w:pPr>
              <w:spacing w:after="20"/>
            </w:pPr>
            <w:r>
              <w:t>Key qualification</w:t>
            </w:r>
          </w:p>
        </w:tc>
      </w:tr>
      <w:tr>
        <w:tc>
          <w:tcPr>
            <w:tcW w:type="dxa" w:w="4896"/>
            <w:vAlign w:val="center"/>
          </w:tcPr>
          <w:p>
            <w:pPr>
              <w:spacing w:after="20"/>
            </w:pPr>
            <w:r>
              <w:t>Less initial context usage</w:t>
            </w:r>
          </w:p>
        </w:tc>
        <w:tc>
          <w:tcPr>
            <w:tcW w:type="dxa" w:w="4896"/>
            <w:vAlign w:val="center"/>
          </w:tcPr>
          <w:p>
            <w:pPr>
              <w:spacing w:after="20"/>
            </w:pPr>
            <w:r>
              <w:t>Selective loading reduces unnecessary input; OKF does not enlarge Claude’s context window.</w:t>
            </w:r>
          </w:p>
        </w:tc>
      </w:tr>
      <w:tr>
        <w:tc>
          <w:tcPr>
            <w:tcW w:type="dxa" w:w="4896"/>
            <w:vAlign w:val="center"/>
          </w:tcPr>
          <w:p>
            <w:pPr>
              <w:spacing w:after="20"/>
            </w:pPr>
            <w:r>
              <w:t>Reusable knowledge</w:t>
            </w:r>
          </w:p>
        </w:tc>
        <w:tc>
          <w:tcPr>
            <w:tcW w:type="dxa" w:w="4896"/>
            <w:vAlign w:val="center"/>
          </w:tcPr>
          <w:p>
            <w:pPr>
              <w:spacing w:after="20"/>
            </w:pPr>
            <w:r>
              <w:t>Upfront generation and ongoing maintenance costs must be accounted for.</w:t>
            </w:r>
          </w:p>
        </w:tc>
      </w:tr>
      <w:tr>
        <w:tc>
          <w:tcPr>
            <w:tcW w:type="dxa" w:w="4896"/>
            <w:vAlign w:val="center"/>
          </w:tcPr>
          <w:p>
            <w:pPr>
              <w:spacing w:after="20"/>
            </w:pPr>
            <w:r>
              <w:t>Faster targeted investigations</w:t>
            </w:r>
          </w:p>
        </w:tc>
        <w:tc>
          <w:tcPr>
            <w:tcW w:type="dxa" w:w="4896"/>
            <w:vAlign w:val="center"/>
          </w:tcPr>
          <w:p>
            <w:pPr>
              <w:spacing w:after="20"/>
            </w:pPr>
            <w:r>
              <w:t>Actual speed gains depend on retrieval precision and program complexity.</w:t>
            </w:r>
          </w:p>
        </w:tc>
      </w:tr>
      <w:tr>
        <w:tc>
          <w:tcPr>
            <w:tcW w:type="dxa" w:w="4896"/>
            <w:vAlign w:val="center"/>
          </w:tcPr>
          <w:p>
            <w:pPr>
              <w:spacing w:after="20"/>
            </w:pPr>
            <w:r>
              <w:t>Improved cross-session continuity</w:t>
            </w:r>
          </w:p>
        </w:tc>
        <w:tc>
          <w:tcPr>
            <w:tcW w:type="dxa" w:w="4896"/>
            <w:vAlign w:val="center"/>
          </w:tcPr>
          <w:p>
            <w:pPr>
              <w:spacing w:after="20"/>
            </w:pPr>
            <w:r>
              <w:t>Claude must have reliable access to the OKF repository and source index.</w:t>
            </w:r>
          </w:p>
        </w:tc>
      </w:tr>
      <w:tr>
        <w:tc>
          <w:tcPr>
            <w:tcW w:type="dxa" w:w="4896"/>
            <w:vAlign w:val="center"/>
          </w:tcPr>
          <w:p>
            <w:pPr>
              <w:spacing w:after="20"/>
            </w:pPr>
            <w:r>
              <w:t>Better modernization assets</w:t>
            </w:r>
          </w:p>
        </w:tc>
        <w:tc>
          <w:tcPr>
            <w:tcW w:type="dxa" w:w="4896"/>
            <w:vAlign w:val="center"/>
          </w:tcPr>
          <w:p>
            <w:pPr>
              <w:spacing w:after="20"/>
            </w:pPr>
            <w:r>
              <w:t>Documentation and inferred rules still require evidence-based review.</w:t>
            </w:r>
          </w:p>
        </w:tc>
      </w:tr>
    </w:tbl>
    <w:p/>
    <w:p>
      <w:pPr>
        <w:pStyle w:val="Heading1"/>
      </w:pPr>
      <w:r>
        <w:t>9. Proof of concept and success measures</w:t>
      </w:r>
    </w:p>
    <w:p>
      <w:r>
        <w:t>Pilot: one JCL job A1, main program P1, and large downstream programs B1/B2. Choose 10–15 questions exercising call paths, operation-code dispatch, data updates, error handling, distant paragraphs and negative-path claims. Compare OKF-first with the existing source-first approach on the same code baseline.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t>Metric</w:t>
            </w:r>
          </w:p>
        </w:tc>
        <w:tc>
          <w:tcPr>
            <w:tcW w:type="dxa" w:w="4896"/>
            <w:vAlign w:val="center"/>
          </w:tcPr>
          <w:p>
            <w:pPr>
              <w:spacing w:after="20"/>
            </w:pPr>
            <w:r>
              <w:t>Measurement</w:t>
            </w:r>
          </w:p>
        </w:tc>
      </w:tr>
      <w:tr>
        <w:tc>
          <w:tcPr>
            <w:tcW w:type="dxa" w:w="4896"/>
            <w:vAlign w:val="center"/>
          </w:tcPr>
          <w:p>
            <w:pPr>
              <w:spacing w:after="20"/>
            </w:pPr>
            <w:r>
              <w:t>Accuracy and evidence</w:t>
            </w:r>
          </w:p>
        </w:tc>
        <w:tc>
          <w:tcPr>
            <w:tcW w:type="dxa" w:w="4896"/>
            <w:vAlign w:val="center"/>
          </w:tcPr>
          <w:p>
            <w:pPr>
              <w:spacing w:after="20"/>
            </w:pPr>
            <w:r>
              <w:t>Proportion of material findings supported by exact source references.</w:t>
            </w:r>
          </w:p>
        </w:tc>
      </w:tr>
      <w:tr>
        <w:tc>
          <w:tcPr>
            <w:tcW w:type="dxa" w:w="4896"/>
            <w:vAlign w:val="center"/>
          </w:tcPr>
          <w:p>
            <w:pPr>
              <w:spacing w:after="20"/>
            </w:pPr>
            <w:r>
              <w:t>Call-path coverage</w:t>
            </w:r>
          </w:p>
        </w:tc>
        <w:tc>
          <w:tcPr>
            <w:tcW w:type="dxa" w:w="4896"/>
            <w:vAlign w:val="center"/>
          </w:tcPr>
          <w:p>
            <w:pPr>
              <w:spacing w:after="20"/>
            </w:pPr>
            <w:r>
              <w:t>Relevant edges found, and unknown dynamic paths explicitly disclosed.</w:t>
            </w:r>
          </w:p>
        </w:tc>
      </w:tr>
      <w:tr>
        <w:tc>
          <w:tcPr>
            <w:tcW w:type="dxa" w:w="4896"/>
            <w:vAlign w:val="center"/>
          </w:tcPr>
          <w:p>
            <w:pPr>
              <w:spacing w:after="20"/>
            </w:pPr>
            <w:r>
              <w:t>Context efficiency</w:t>
            </w:r>
          </w:p>
        </w:tc>
        <w:tc>
          <w:tcPr>
            <w:tcW w:type="dxa" w:w="4896"/>
            <w:vAlign w:val="center"/>
          </w:tcPr>
          <w:p>
            <w:pPr>
              <w:spacing w:after="20"/>
            </w:pPr>
            <w:r>
              <w:t>Input/output tokens used per question and source amount retrieved.</w:t>
            </w:r>
          </w:p>
        </w:tc>
      </w:tr>
      <w:tr>
        <w:tc>
          <w:tcPr>
            <w:tcW w:type="dxa" w:w="4896"/>
            <w:vAlign w:val="center"/>
          </w:tcPr>
          <w:p>
            <w:pPr>
              <w:spacing w:after="20"/>
            </w:pPr>
            <w:r>
              <w:t>Time to answer</w:t>
            </w:r>
          </w:p>
        </w:tc>
        <w:tc>
          <w:tcPr>
            <w:tcW w:type="dxa" w:w="4896"/>
            <w:vAlign w:val="center"/>
          </w:tcPr>
          <w:p>
            <w:pPr>
              <w:spacing w:after="20"/>
            </w:pPr>
            <w:r>
              <w:t>End-to-end time to produce a reviewed explanation.</w:t>
            </w:r>
          </w:p>
        </w:tc>
      </w:tr>
      <w:tr>
        <w:tc>
          <w:tcPr>
            <w:tcW w:type="dxa" w:w="4896"/>
            <w:vAlign w:val="center"/>
          </w:tcPr>
          <w:p>
            <w:pPr>
              <w:spacing w:after="20"/>
            </w:pPr>
            <w:r>
              <w:t>Knowledge reuse</w:t>
            </w:r>
          </w:p>
        </w:tc>
        <w:tc>
          <w:tcPr>
            <w:tcW w:type="dxa" w:w="4896"/>
            <w:vAlign w:val="center"/>
          </w:tcPr>
          <w:p>
            <w:pPr>
              <w:spacing w:after="20"/>
            </w:pPr>
            <w:r>
              <w:t>Reduction in repeat analysis for later questions/callers.</w:t>
            </w:r>
          </w:p>
        </w:tc>
      </w:tr>
      <w:tr>
        <w:tc>
          <w:tcPr>
            <w:tcW w:type="dxa" w:w="4896"/>
            <w:vAlign w:val="center"/>
          </w:tcPr>
          <w:p>
            <w:pPr>
              <w:spacing w:after="20"/>
            </w:pPr>
            <w:r>
              <w:t>Generation overhead</w:t>
            </w:r>
          </w:p>
        </w:tc>
        <w:tc>
          <w:tcPr>
            <w:tcW w:type="dxa" w:w="4896"/>
            <w:vAlign w:val="center"/>
          </w:tcPr>
          <w:p>
            <w:pPr>
              <w:spacing w:after="20"/>
            </w:pPr>
            <w:r>
              <w:t>Tokens, compute and human effort needed to generate/maintain OKF.</w:t>
            </w:r>
          </w:p>
        </w:tc>
      </w:tr>
      <w:tr>
        <w:tc>
          <w:tcPr>
            <w:tcW w:type="dxa" w:w="4896"/>
            <w:vAlign w:val="center"/>
          </w:tcPr>
          <w:p>
            <w:pPr>
              <w:spacing w:after="20"/>
            </w:pPr>
            <w:r>
              <w:t>Freshness</w:t>
            </w:r>
          </w:p>
        </w:tc>
        <w:tc>
          <w:tcPr>
            <w:tcW w:type="dxa" w:w="4896"/>
            <w:vAlign w:val="center"/>
          </w:tcPr>
          <w:p>
            <w:pPr>
              <w:spacing w:after="20"/>
            </w:pPr>
            <w:r>
              <w:t>Whether edits to shared paragraphs/copybooks trigger appropriate revalidation.</w:t>
            </w:r>
          </w:p>
        </w:tc>
      </w:tr>
    </w:tbl>
    <w:p/>
    <w:p>
      <w:pPr>
        <w:pStyle w:val="Heading1"/>
      </w:pPr>
      <w:r>
        <w:t>10. Roadmap and recommendation</w:t>
      </w:r>
    </w:p>
    <w:p>
      <w:r>
        <w:t>Phase 1: establish source inventory, Python parser/index, OKF conventions and evidence model. Phase 2: generate and validate functional knowledge for the pilot programs. Phase 3: integrate OKF-first retrieval into Claude Code and test representative questions. Phase 4: compare costs, context usage, correctness and operational feasibility. Phase 5: extend gradually to more jobs and implement change-based regeneration.</w:t>
      </w:r>
    </w:p>
    <w:p>
      <w:r>
        <w:t>Recommendation: Proceed with a bounded proof of concept. OKF is valuable as the reusable knowledge layer, while Python-based structural analysis and source retrieval are what make context slicing operationally reliable. The strongest value proposition is not “OKF increases context capacity,” but “OKF helps Claude spend context on the source evidence relevant to each question instead of repeatedly loading entire legacy programs.”</w:t>
      </w:r>
    </w:p>
    <w:p>
      <w:pPr>
        <w:pStyle w:val="Heading1"/>
      </w:pPr>
      <w:r>
        <w:t>References</w:t>
      </w:r>
    </w:p>
    <w:p>
      <w:r>
        <w:t>Open Knowledge Format specification: https://github.com/GoogleCloudPlatform/open-knowledge-format/blob/main/SPEC.md</w:t>
      </w:r>
    </w:p>
    <w:p>
      <w:r>
        <w:t>Claude Code documentation: https://docs.anthropic.com/en/docs/claude-code/overview</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OKF-Driven Context Optimization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708B"/>
      </w:rPr>
      <w:t>MAINFRAME MODERNIZATION  /  TECHNICAL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5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4669"/>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951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14314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