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工程政企板块建设可行性与风险分析报告</w:t>
      </w:r>
    </w:p>
    <w:p>
      <w:pPr>
        <w:pStyle w:val="Subtitle"/>
      </w:pPr>
      <w:r>
        <w:t xml:space="preserve">基于随销工作台、集客线路工作台及《数值工程劳务成本系统》思维导图</w:t>
      </w:r>
    </w:p>
    <w:p>
      <w:pPr>
        <w:pStyle w:val="Meta"/>
      </w:pPr>
      <w:r>
        <w:t xml:space="preserve">项目：miniprogram-XDL　　日期：2026年10月13日</w:t>
      </w:r>
    </w:p>
    <w:p>
      <w:pPr>
        <w:pStyle w:val="Normal"/>
      </w:pPr>
      <w:r>
        <w:t xml:space="preserve">报告说明：本报告依据所提供思维导图、现有项目目录索引及已核对的用户身份、工作台和集客模块部分代码形成，用于需求讨论与建设决策。不代表已完成线上云环境安全审计。图中引用的内部文件尚未取得原文，相关公式、单价和管理要求应由业务、人力、财务及法务部门核实后定稿。</w:t>
      </w:r>
    </w:p>
    <w:p>
      <w:pPr>
        <w:pStyle w:val="Heading1"/>
      </w:pPr>
      <w:r>
        <w:t xml:space="preserve">一、总体结论</w:t>
      </w:r>
    </w:p>
    <w:p>
      <w:pPr>
        <w:pStyle w:val="Normal"/>
      </w:pPr>
      <w:r>
        <w:t xml:space="preserve">工程政企板块可以在现有项目基础上开发。建议将其作为独立业务模块建设，并配套电脑管理端。小程序主要承载员工查询、确认、反馈和移动审批；复杂核算、批量导入、预算管理及审计放在电脑端。</w:t>
      </w:r>
    </w:p>
    <w:p>
      <w:pPr>
        <w:pStyle w:val="Normal"/>
      </w:pPr>
      <w:r>
        <w:t xml:space="preserve">完整范围已经覆盖薪酬核算、项目成本、清算额度、支付台账和分级监督，建设重点在于业务口径、身份权限、数据质量与审计追溯。建议先完成查询确认闭环，再逐步增加自动核算和外部平台对接。</w:t>
      </w:r>
    </w:p>
    <w:p>
      <w:pPr>
        <w:pStyle w:val="Heading1"/>
      </w:pPr>
      <w:r>
        <w:t xml:space="preserve">二、功能范围与现有基础</w:t>
      </w:r>
    </w:p>
    <w:p>
      <w:pPr>
        <w:pStyle w:val="Normal"/>
      </w:pPr>
      <w:r>
        <w:t xml:space="preserve">思维导图包括八部分：用户识别与分流、薪酬构成、劳务成本计算、支付与资金管理、专项薪酬、员工交互、监督、系统管理。业务涉及工程与政企、生产与支撑、灵活用工、跨条线复用，以及项目部—地市—省公司的多级管理。</w:t>
      </w:r>
    </w:p>
    <w:p>
      <w:pPr>
        <w:pStyle w:val="Normal"/>
      </w:pPr>
      <w:r>
        <w:t xml:space="preserve">现有系统可提供登录、导入预览、个人明细、确认、反馈、批次和导出的基础。当前集客代码中已有批次版本、回滚和审计日志相关机制，可借鉴其设计。</w:t>
      </w:r>
    </w:p>
    <w:tbl>
      <w:tblPr>
        <w:tblW w:w="95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750"/>
        <w:gridCol w:w="4750"/>
      </w:tblGrid>
      <w:tr>
        <w:trPr>
          <w:tblHeader/>
          <w:cantSplit/>
        </w:trPr>
        <w:tc>
          <w:tcPr>
            <w:tcW w:w="4750" w:type="dxa"/>
            <w:shd w:fill="E7EFF7"/>
          </w:tcPr>
          <w:p>
            <w:pPr>
              <w:pStyle w:val="TableHeader"/>
            </w:pPr>
            <w:r>
              <w:t xml:space="preserve">能力</w:t>
            </w:r>
          </w:p>
        </w:tc>
        <w:tc>
          <w:tcPr>
            <w:tcW w:w="4750" w:type="dxa"/>
            <w:shd w:fill="E7EFF7"/>
          </w:tcPr>
          <w:p>
            <w:pPr>
              <w:pStyle w:val="TableHeader"/>
            </w:pPr>
            <w:r>
              <w:t xml:space="preserve">工程政企板块需补充的内容</w:t>
            </w:r>
          </w:p>
        </w:tc>
      </w:tr>
      <w:tr>
        <w:trPr>
          <w:cantSplit/>
        </w:trPr>
        <w:tc>
          <w:tcPr>
            <w:tcW w:w="4750" w:type="dxa"/>
          </w:tcPr>
          <w:p>
            <w:pPr>
              <w:pStyle w:val="TableText"/>
            </w:pPr>
            <w:r>
              <w:t xml:space="preserve">人员身份</w:t>
            </w:r>
          </w:p>
        </w:tc>
        <w:tc>
          <w:tcPr>
            <w:tcW w:w="4750" w:type="dxa"/>
          </w:tcPr>
          <w:p>
            <w:pPr>
              <w:pStyle w:val="TableText"/>
            </w:pPr>
            <w:r>
              <w:t xml:space="preserve">一人多岗位、多项目、跨条线复用；任职关系带生效日期。</w:t>
            </w:r>
          </w:p>
        </w:tc>
      </w:tr>
      <w:tr>
        <w:trPr>
          <w:cantSplit/>
        </w:trPr>
        <w:tc>
          <w:tcPr>
            <w:tcW w:w="4750" w:type="dxa"/>
          </w:tcPr>
          <w:p>
            <w:pPr>
              <w:pStyle w:val="TableText"/>
            </w:pPr>
            <w:r>
              <w:t xml:space="preserve">权限</w:t>
            </w:r>
          </w:p>
        </w:tc>
        <w:tc>
          <w:tcPr>
            <w:tcW w:w="4750" w:type="dxa"/>
          </w:tcPr>
          <w:p>
            <w:pPr>
              <w:pStyle w:val="TableText"/>
            </w:pPr>
            <w:r>
              <w:t xml:space="preserve">按角色、组织、项目、条线和具体操作授权。</w:t>
            </w:r>
          </w:p>
        </w:tc>
      </w:tr>
      <w:tr>
        <w:trPr>
          <w:cantSplit/>
        </w:trPr>
        <w:tc>
          <w:tcPr>
            <w:tcW w:w="4750" w:type="dxa"/>
          </w:tcPr>
          <w:p>
            <w:pPr>
              <w:pStyle w:val="TableText"/>
            </w:pPr>
            <w:r>
              <w:t xml:space="preserve">核算</w:t>
            </w:r>
          </w:p>
        </w:tc>
        <w:tc>
          <w:tcPr>
            <w:tcW w:w="4750" w:type="dxa"/>
          </w:tcPr>
          <w:p>
            <w:pPr>
              <w:pStyle w:val="TableText"/>
            </w:pPr>
            <w:r>
              <w:t xml:space="preserve">固定报酬、量化报酬、企业承担费用、个人扣款分别处理。</w:t>
            </w:r>
          </w:p>
        </w:tc>
      </w:tr>
      <w:tr>
        <w:trPr>
          <w:cantSplit/>
        </w:trPr>
        <w:tc>
          <w:tcPr>
            <w:tcW w:w="4750" w:type="dxa"/>
          </w:tcPr>
          <w:p>
            <w:pPr>
              <w:pStyle w:val="TableText"/>
            </w:pPr>
            <w:r>
              <w:t xml:space="preserve">规则</w:t>
            </w:r>
          </w:p>
        </w:tc>
        <w:tc>
          <w:tcPr>
            <w:tcW w:w="4750" w:type="dxa"/>
          </w:tcPr>
          <w:p>
            <w:pPr>
              <w:pStyle w:val="TableText"/>
            </w:pPr>
            <w:r>
              <w:t xml:space="preserve">单价、上限、分配办法按年度和版本生效，历史可重算。</w:t>
            </w:r>
          </w:p>
        </w:tc>
      </w:tr>
      <w:tr>
        <w:trPr>
          <w:cantSplit/>
        </w:trPr>
        <w:tc>
          <w:tcPr>
            <w:tcW w:w="4750" w:type="dxa"/>
          </w:tcPr>
          <w:p>
            <w:pPr>
              <w:pStyle w:val="TableText"/>
            </w:pPr>
            <w:r>
              <w:t xml:space="preserve">审批</w:t>
            </w:r>
          </w:p>
        </w:tc>
        <w:tc>
          <w:tcPr>
            <w:tcW w:w="4750" w:type="dxa"/>
          </w:tcPr>
          <w:p>
            <w:pPr>
              <w:pStyle w:val="TableText"/>
            </w:pPr>
            <w:r>
              <w:t xml:space="preserve">制表、复核、批准、发布、支付回执等不同职责分离。</w:t>
            </w:r>
          </w:p>
        </w:tc>
      </w:tr>
      <w:tr>
        <w:trPr>
          <w:cantSplit/>
        </w:trPr>
        <w:tc>
          <w:tcPr>
            <w:tcW w:w="4750" w:type="dxa"/>
          </w:tcPr>
          <w:p>
            <w:pPr>
              <w:pStyle w:val="TableText"/>
            </w:pPr>
            <w:r>
              <w:t xml:space="preserve">财务关联</w:t>
            </w:r>
          </w:p>
        </w:tc>
        <w:tc>
          <w:tcPr>
            <w:tcW w:w="4750" w:type="dxa"/>
          </w:tcPr>
          <w:p>
            <w:pPr>
              <w:pStyle w:val="TableText"/>
            </w:pPr>
            <w:r>
              <w:t xml:space="preserve">工资、项目成本、清算额度、实际支付分别建账并对账。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员工实发工资、企业人工成本、供应商结算金额必须分别定义。这三者之间可能存在税费、社保、服务费、分摊和时间差，不能直接作为同一个金额使用。</w:t>
      </w:r>
    </w:p>
    <w:p>
      <w:pPr>
        <w:pStyle w:val="Heading1"/>
      </w:pPr>
      <w:r>
        <w:t xml:space="preserve">三、国企使用小程序的主要风险及对策</w:t>
      </w:r>
    </w:p>
    <w:p>
      <w:pPr>
        <w:pStyle w:val="Heading2"/>
      </w:pPr>
      <w:r>
        <w:t xml:space="preserve">3.1 数据分类与部署边界</w:t>
      </w:r>
    </w:p>
    <w:p>
      <w:pPr>
        <w:pStyle w:val="Normal"/>
      </w:pPr>
      <w:r>
        <w:t xml:space="preserve">不能仅凭国企身份判断小程序一定不能用，也不能凭使用腾讯云就认定系统合规。应结合数据类别、部署位置、接入方式及集团内部制度，由信息化、网安、保密和业务部门共同确定数据清单。</w:t>
      </w:r>
    </w:p>
    <w:tbl>
      <w:tblPr>
        <w:tblW w:w="95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750"/>
        <w:gridCol w:w="4750"/>
      </w:tblGrid>
      <w:tr>
        <w:trPr>
          <w:tblHeader/>
          <w:cantSplit/>
        </w:trPr>
        <w:tc>
          <w:tcPr>
            <w:tcW w:w="4750" w:type="dxa"/>
            <w:shd w:fill="E7EFF7"/>
          </w:tcPr>
          <w:p>
            <w:pPr>
              <w:pStyle w:val="TableHeader"/>
            </w:pPr>
            <w:r>
              <w:t xml:space="preserve">数据类别</w:t>
            </w:r>
          </w:p>
        </w:tc>
        <w:tc>
          <w:tcPr>
            <w:tcW w:w="4750" w:type="dxa"/>
            <w:shd w:fill="E7EFF7"/>
          </w:tcPr>
          <w:p>
            <w:pPr>
              <w:pStyle w:val="TableHeader"/>
            </w:pPr>
            <w:r>
              <w:t xml:space="preserve">建议处理方式</w:t>
            </w:r>
          </w:p>
        </w:tc>
      </w:tr>
      <w:tr>
        <w:trPr>
          <w:cantSplit/>
        </w:trPr>
        <w:tc>
          <w:tcPr>
            <w:tcW w:w="4750" w:type="dxa"/>
          </w:tcPr>
          <w:p>
            <w:pPr>
              <w:pStyle w:val="TableText"/>
            </w:pPr>
            <w:r>
              <w:t xml:space="preserve">普通业务数据</w:t>
            </w:r>
          </w:p>
        </w:tc>
        <w:tc>
          <w:tcPr>
            <w:tcW w:w="4750" w:type="dxa"/>
          </w:tcPr>
          <w:p>
            <w:pPr>
              <w:pStyle w:val="TableText"/>
            </w:pPr>
            <w:r>
              <w:t xml:space="preserve">按授权展示，遵循最小必要原则。</w:t>
            </w:r>
          </w:p>
        </w:tc>
      </w:tr>
      <w:tr>
        <w:trPr>
          <w:cantSplit/>
        </w:trPr>
        <w:tc>
          <w:tcPr>
            <w:tcW w:w="4750" w:type="dxa"/>
          </w:tcPr>
          <w:p>
            <w:pPr>
              <w:pStyle w:val="TableText"/>
            </w:pPr>
            <w:r>
              <w:t xml:space="preserve">工资、身份证、银行账户、考勤等</w:t>
            </w:r>
          </w:p>
        </w:tc>
        <w:tc>
          <w:tcPr>
            <w:tcW w:w="4750" w:type="dxa"/>
          </w:tcPr>
          <w:p>
            <w:pPr>
              <w:pStyle w:val="TableText"/>
            </w:pPr>
            <w:r>
              <w:t xml:space="preserve">限制采集和访问；敏感字段单独保护，展示时按需脱敏。</w:t>
            </w:r>
          </w:p>
        </w:tc>
      </w:tr>
      <w:tr>
        <w:trPr>
          <w:cantSplit/>
        </w:trPr>
        <w:tc>
          <w:tcPr>
            <w:tcW w:w="4750" w:type="dxa"/>
          </w:tcPr>
          <w:p>
            <w:pPr>
              <w:pStyle w:val="TableText"/>
            </w:pPr>
            <w:r>
              <w:t xml:space="preserve">合同价格、项目利润、客户资料</w:t>
            </w:r>
          </w:p>
        </w:tc>
        <w:tc>
          <w:tcPr>
            <w:tcW w:w="4750" w:type="dxa"/>
          </w:tcPr>
          <w:p>
            <w:pPr>
              <w:pStyle w:val="TableText"/>
            </w:pPr>
            <w:r>
              <w:t xml:space="preserve">按企业商业秘密及内部制度控制访问与导出。</w:t>
            </w:r>
          </w:p>
        </w:tc>
      </w:tr>
      <w:tr>
        <w:trPr>
          <w:cantSplit/>
        </w:trPr>
        <w:tc>
          <w:tcPr>
            <w:tcW w:w="4750" w:type="dxa"/>
          </w:tcPr>
          <w:p>
            <w:pPr>
              <w:pStyle w:val="TableText"/>
            </w:pPr>
            <w:r>
              <w:t xml:space="preserve">涉及国家秘密的数据</w:t>
            </w:r>
          </w:p>
        </w:tc>
        <w:tc>
          <w:tcPr>
            <w:tcW w:w="4750" w:type="dxa"/>
          </w:tcPr>
          <w:p>
            <w:pPr>
              <w:pStyle w:val="TableText"/>
            </w:pPr>
            <w:r>
              <w:t xml:space="preserve">排除在普通微信小程序和普通公有云方案之外，按涉密系统要求另行处理。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政企项目本身不等于涉密项目，应按实际内容认定。国家秘密的处理、传输和系统保护应遵守保密规定。[1]</w:t>
      </w:r>
    </w:p>
    <w:p>
      <w:pPr>
        <w:pStyle w:val="Normal"/>
      </w:pPr>
      <w:r>
        <w:t xml:space="preserve">建议核心数据放在企业批准的境内环境，小程序通过受控接口获取当前用户需要的数据。企业批准现有云开发环境时，可以继续利用；如要求集团云或内网，则保留前端并调整后端部署。</w:t>
      </w:r>
    </w:p>
    <w:p>
      <w:pPr>
        <w:pStyle w:val="Heading2"/>
      </w:pPr>
      <w:r>
        <w:t xml:space="preserve">3.2 身份核验与权限控制</w:t>
      </w:r>
    </w:p>
    <w:p>
      <w:pPr>
        <w:pStyle w:val="Normal"/>
      </w:pPr>
      <w:r>
        <w:t xml:space="preserve">当前用户管理代码会根据填写的网格通账号、姓名、区县匹配待认领数据，并根据路由配置推导部分管理身份。字段一致性校验有价值，但知道某人的姓名和工号不等于证明自己就是该人员。扩大到完整工资、项目成本和审批权限前，应加强可信身份绑定。</w:t>
      </w:r>
    </w:p>
    <w:p>
      <w:pPr>
        <w:pStyle w:val="ListParagraph"/>
      </w:pPr>
      <w:r>
        <w:t xml:space="preserve">• 企业人员名册预建，微信账号与人员身份经过可信核验后绑定。</w:t>
      </w:r>
    </w:p>
    <w:p>
      <w:pPr>
        <w:pStyle w:val="ListParagraph"/>
      </w:pPr>
      <w:r>
        <w:t xml:space="preserve">• 可采用企业统一认证、名册预留手机号验证，或者管理员复核。</w:t>
      </w:r>
    </w:p>
    <w:p>
      <w:pPr>
        <w:pStyle w:val="ListParagraph"/>
      </w:pPr>
      <w:r>
        <w:t xml:space="preserve">• 角色与管理范围由授权流程确定，不由用户自行填写资料获得。</w:t>
      </w:r>
    </w:p>
    <w:p>
      <w:pPr>
        <w:pStyle w:val="ListParagraph"/>
      </w:pPr>
      <w:r>
        <w:t xml:space="preserve">• 调岗、离职、外包合同到期后及时调整权限。</w:t>
      </w:r>
    </w:p>
    <w:p>
      <w:pPr>
        <w:pStyle w:val="ListParagraph"/>
      </w:pPr>
      <w:r>
        <w:t xml:space="preserve">• 每个后端接口检查权限，不能仅依赖隐藏页面和按钮。</w:t>
      </w:r>
    </w:p>
    <w:p>
      <w:pPr>
        <w:pStyle w:val="Normal"/>
      </w:pPr>
      <w:r>
        <w:t xml:space="preserve">现有工作台工具主要按两类工作台归一处理。新增板块时，应支持一个人拥有多个工作台的授权，以适应跨条线人员复用。任职关系、数据访问范围和业务核算归属应分别管理。</w:t>
      </w:r>
    </w:p>
    <w:p>
      <w:pPr>
        <w:pStyle w:val="Heading2"/>
      </w:pPr>
      <w:r>
        <w:t xml:space="preserve">3.3 工资、附件及个人信息保护</w:t>
      </w:r>
    </w:p>
    <w:p>
      <w:pPr>
        <w:pStyle w:val="Normal"/>
      </w:pPr>
      <w:r>
        <w:t xml:space="preserve">建议员工默认只查看本人明细，管理者按职责查看必要范围。身份证、银行账户脱敏；附件私有存储并下载鉴权；导出设置权限、范围、操作记录和水印；避免日志、通知和测试数据出现完整工资表。</w:t>
      </w:r>
    </w:p>
    <w:p>
      <w:pPr>
        <w:pStyle w:val="Normal"/>
      </w:pPr>
      <w:r>
        <w:t xml:space="preserve">截图、拍照和导出后的转发无法仅靠小程序彻底阻止，应减少可见范围并落实使用责任。</w:t>
      </w:r>
    </w:p>
    <w:p>
      <w:pPr>
        <w:pStyle w:val="Normal"/>
      </w:pPr>
      <w:r>
        <w:t xml:space="preserve">个人信息处理需要明确处理依据、告知、保存期限及权利请求渠道。人力资源管理存在法定处理依据，但不能把所有外包人员、所有用途都套入该依据。涉及敏感个人信息等情形，应开展相应影响评估，并按适用依据落实同意等要求。[2]</w:t>
      </w:r>
    </w:p>
    <w:p>
      <w:pPr>
        <w:pStyle w:val="Heading2"/>
      </w:pPr>
      <w:r>
        <w:t xml:space="preserve">3.4 运营责任、备案与安全保障</w:t>
      </w:r>
    </w:p>
    <w:p>
      <w:pPr>
        <w:pStyle w:val="Normal"/>
      </w:pPr>
      <w:r>
        <w:t xml:space="preserve">建议小程序主体、云账号、域名、代码仓库和管理员账号统一纳入单位管理。业务部门负责规则，信息化部门负责系统，财务、人力负责各自口径，开发人员负责实现。</w:t>
      </w:r>
    </w:p>
    <w:p>
      <w:pPr>
        <w:pStyle w:val="Normal"/>
      </w:pPr>
      <w:r>
        <w:t xml:space="preserve">核实小程序备案，并根据系统实际情况开展等保定级及相应备案、建设和测评。不能仅凭导图直接认定必须二级或三级，也不能用云服务商的认证代替本系统的责任。[3][4]</w:t>
      </w:r>
    </w:p>
    <w:p>
      <w:pPr>
        <w:pStyle w:val="Normal"/>
      </w:pPr>
      <w:r>
        <w:t xml:space="preserve">安排开发、测试、生产环境隔离，备份恢复、异常告警和运维交接。对云服务、外包开发等涉及的委托处理，明确合同责任与监督机制。[5]</w:t>
      </w:r>
    </w:p>
    <w:p>
      <w:pPr>
        <w:pStyle w:val="Heading1"/>
      </w:pPr>
      <w:r>
        <w:t xml:space="preserve">四、编码前应确认或修订的业务规则</w:t>
      </w:r>
    </w:p>
    <w:p>
      <w:pPr>
        <w:pStyle w:val="Heading2"/>
      </w:pPr>
      <w:r>
        <w:t xml:space="preserve">4.1 明确“导入工资”与“计算工资”的边界</w:t>
      </w:r>
    </w:p>
    <w:p>
      <w:pPr>
        <w:pStyle w:val="Normal"/>
      </w:pPr>
      <w:r>
        <w:t xml:space="preserve">导图提出了两种模式：导入区县已经核定的工资，或导入工日、工程量后由系统计算。两者对规则、数据源和验收的要求差异明显，应先确定一期模式。</w:t>
      </w:r>
    </w:p>
    <w:p>
      <w:pPr>
        <w:pStyle w:val="Normal"/>
      </w:pPr>
      <w:r>
        <w:t xml:space="preserve">建议第一期导入经核定的明细，系统完成人员匹配、合计校验、规则校验、展示和反馈。待样本、口径和数据源稳定后，再逐类接入自动核算。导入数据应注明来源和核定状态，不能把导入结果显示成系统独立核算结果。</w:t>
      </w:r>
    </w:p>
    <w:p>
      <w:pPr>
        <w:pStyle w:val="Heading2"/>
      </w:pPr>
      <w:r>
        <w:t xml:space="preserve">4.2 核实公式、单价、费用性质与额度关系</w:t>
      </w:r>
    </w:p>
    <w:p>
      <w:pPr>
        <w:pStyle w:val="ListParagraph"/>
      </w:pPr>
      <w:r>
        <w:t xml:space="preserve">• 复用人员公式出现“岗位工资×工日单价”，需要重新确认量纲、单位及实际计算含义。</w:t>
      </w:r>
    </w:p>
    <w:p>
      <w:pPr>
        <w:pStyle w:val="ListParagraph"/>
      </w:pPr>
      <w:r>
        <w:t xml:space="preserve">• 灵活用工公式中的社保、意外险，需明确属于企业成本、个人扣款还是补贴。</w:t>
      </w:r>
    </w:p>
    <w:p>
      <w:pPr>
        <w:pStyle w:val="ListParagraph"/>
      </w:pPr>
      <w:r>
        <w:t xml:space="preserve">• 260、340、400等岗位价格，需明确是采购结算单价、人工成本上限，还是个人薪酬单价。</w:t>
      </w:r>
    </w:p>
    <w:p>
      <w:pPr>
        <w:pStyle w:val="ListParagraph"/>
      </w:pPr>
      <w:r>
        <w:t xml:space="preserve">• “额度跨月跨年累计”与“资金池当月未用清零”应分别建账，并确认两者之间的关系。</w:t>
      </w:r>
    </w:p>
    <w:p>
      <w:pPr>
        <w:pStyle w:val="Normal"/>
      </w:pPr>
      <w:r>
        <w:t xml:space="preserve">导图引用的内部文件目前未取得原文，上述内容只能作为待确认需求。应保存正式文件、适用范围、生效日期、规则负责人及审批依据。</w:t>
      </w:r>
    </w:p>
    <w:p>
      <w:pPr>
        <w:pStyle w:val="Heading2"/>
      </w:pPr>
      <w:r>
        <w:t xml:space="preserve">4.3 预算控制与工资支付义务分别处理</w:t>
      </w:r>
    </w:p>
    <w:p>
      <w:pPr>
        <w:pStyle w:val="Normal"/>
      </w:pPr>
      <w:r>
        <w:t xml:space="preserve">图中“无收入不支出成本”“没有打卡不计工作日”“回款不足限制支付”等表述，应区分财务管理条件、证据异常与工资支付义务。</w:t>
      </w:r>
    </w:p>
    <w:p>
      <w:pPr>
        <w:pStyle w:val="Normal"/>
      </w:pPr>
      <w:r>
        <w:t xml:space="preserve">系统可以预警、要求补证和升级审批，但不能因接口漏数据、缺少打卡或项目款未到，自动抹掉已发生的劳动报酬。涉及农民工工资时，还应落实相应支付保障要求，工程争议不能成为违规停止代发工资的理由。[6]</w:t>
      </w:r>
    </w:p>
    <w:p>
      <w:pPr>
        <w:pStyle w:val="Heading2"/>
      </w:pPr>
      <w:r>
        <w:t xml:space="preserve">4.4 签字确认绑定具体明细版本</w:t>
      </w:r>
    </w:p>
    <w:p>
      <w:pPr>
        <w:pStyle w:val="Normal"/>
      </w:pPr>
      <w:r>
        <w:t xml:space="preserve">应记录谁在何时确认了哪份明细、哪个批次及哪些金额。确认后发生变更，保留旧版本，通过调整单和重新确认处理。</w:t>
      </w:r>
    </w:p>
    <w:p>
      <w:pPr>
        <w:pStyle w:val="Normal"/>
      </w:pPr>
      <w:r>
        <w:t xml:space="preserve">手写签名图片可以作为证据材料，但不会自动成为法律意义上的可靠电子签名。如需替代正式纸质签署，应由法务确定证据要求，采用满足身份控制和改动可发现等条件的签署方案，不默认收集指纹。[7]</w:t>
      </w:r>
    </w:p>
    <w:p>
      <w:pPr>
        <w:pStyle w:val="Heading1"/>
      </w:pPr>
      <w:r>
        <w:t xml:space="preserve">五、建议的分期建设方案</w:t>
      </w:r>
    </w:p>
    <w:tbl>
      <w:tblPr>
        <w:tblW w:w="95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167"/>
        <w:gridCol w:w="3167"/>
        <w:gridCol w:w="3167"/>
      </w:tblGrid>
      <w:tr>
        <w:trPr>
          <w:tblHeader/>
          <w:cantSplit/>
        </w:trPr>
        <w:tc>
          <w:tcPr>
            <w:tcW w:w="3167" w:type="dxa"/>
            <w:shd w:fill="E7EFF7"/>
          </w:tcPr>
          <w:p>
            <w:pPr>
              <w:pStyle w:val="TableHeader"/>
            </w:pPr>
            <w:r>
              <w:t xml:space="preserve">阶段</w:t>
            </w:r>
          </w:p>
        </w:tc>
        <w:tc>
          <w:tcPr>
            <w:tcW w:w="3167" w:type="dxa"/>
            <w:shd w:fill="E7EFF7"/>
          </w:tcPr>
          <w:p>
            <w:pPr>
              <w:pStyle w:val="TableHeader"/>
            </w:pPr>
            <w:r>
              <w:t xml:space="preserve">建设内容</w:t>
            </w:r>
          </w:p>
        </w:tc>
        <w:tc>
          <w:tcPr>
            <w:tcW w:w="3167" w:type="dxa"/>
            <w:shd w:fill="E7EFF7"/>
          </w:tcPr>
          <w:p>
            <w:pPr>
              <w:pStyle w:val="TableHeader"/>
            </w:pPr>
            <w:r>
              <w:t xml:space="preserve">完成标准</w:t>
            </w:r>
          </w:p>
        </w:tc>
      </w:tr>
      <w:tr>
        <w:trPr>
          <w:cantSplit/>
        </w:trPr>
        <w:tc>
          <w:tcPr>
            <w:tcW w:w="3167" w:type="dxa"/>
          </w:tcPr>
          <w:p>
            <w:pPr>
              <w:pStyle w:val="TableText"/>
            </w:pPr>
            <w:r>
              <w:t xml:space="preserve">需求定稿</w:t>
            </w:r>
          </w:p>
        </w:tc>
        <w:tc>
          <w:tcPr>
            <w:tcW w:w="3167" w:type="dxa"/>
          </w:tcPr>
          <w:p>
            <w:pPr>
              <w:pStyle w:val="TableText"/>
            </w:pPr>
            <w:r>
              <w:t xml:space="preserve">人员和项目编码、权限表、薪酬口径、规则来源、数据来源、报表模板。</w:t>
            </w:r>
          </w:p>
        </w:tc>
        <w:tc>
          <w:tcPr>
            <w:tcW w:w="3167" w:type="dxa"/>
          </w:tcPr>
          <w:p>
            <w:pPr>
              <w:pStyle w:val="TableText"/>
            </w:pPr>
            <w:r>
              <w:t xml:space="preserve">业务、人力、财务认可同一套样例及结果。</w:t>
            </w:r>
          </w:p>
        </w:tc>
      </w:tr>
      <w:tr>
        <w:trPr>
          <w:cantSplit/>
        </w:trPr>
        <w:tc>
          <w:tcPr>
            <w:tcW w:w="3167" w:type="dxa"/>
          </w:tcPr>
          <w:p>
            <w:pPr>
              <w:pStyle w:val="TableText"/>
            </w:pPr>
            <w:r>
              <w:t xml:space="preserve">第一期：查询确认闭环</w:t>
            </w:r>
          </w:p>
        </w:tc>
        <w:tc>
          <w:tcPr>
            <w:tcW w:w="3167" w:type="dxa"/>
          </w:tcPr>
          <w:p>
            <w:pPr>
              <w:pStyle w:val="TableText"/>
            </w:pPr>
            <w:r>
              <w:t xml:space="preserve">工程政企入口、身份绑定、导入校验、工资明细、反馈、确认、管理端、审计。</w:t>
            </w:r>
          </w:p>
        </w:tc>
        <w:tc>
          <w:tcPr>
            <w:tcW w:w="3167" w:type="dxa"/>
          </w:tcPr>
          <w:p>
            <w:pPr>
              <w:pStyle w:val="TableText"/>
            </w:pPr>
            <w:r>
              <w:t xml:space="preserve">选一个项目部，完整走通一个月份。</w:t>
            </w:r>
          </w:p>
        </w:tc>
      </w:tr>
      <w:tr>
        <w:trPr>
          <w:cantSplit/>
        </w:trPr>
        <w:tc>
          <w:tcPr>
            <w:tcW w:w="3167" w:type="dxa"/>
          </w:tcPr>
          <w:p>
            <w:pPr>
              <w:pStyle w:val="TableText"/>
            </w:pPr>
            <w:r>
              <w:t xml:space="preserve">第二期：核算和成本</w:t>
            </w:r>
          </w:p>
        </w:tc>
        <w:tc>
          <w:tcPr>
            <w:tcW w:w="3167" w:type="dxa"/>
          </w:tcPr>
          <w:p>
            <w:pPr>
              <w:pStyle w:val="TableText"/>
            </w:pPr>
            <w:r>
              <w:t xml:space="preserve">工日/工程量核算、规则版本、复用分摊、专项薪酬、预算及清算额度。</w:t>
            </w:r>
          </w:p>
        </w:tc>
        <w:tc>
          <w:tcPr>
            <w:tcW w:w="3167" w:type="dxa"/>
          </w:tcPr>
          <w:p>
            <w:pPr>
              <w:pStyle w:val="TableText"/>
            </w:pPr>
            <w:r>
              <w:t xml:space="preserve">每笔金额能追到原始依据，汇总能对账。</w:t>
            </w:r>
          </w:p>
        </w:tc>
      </w:tr>
      <w:tr>
        <w:trPr>
          <w:cantSplit/>
        </w:trPr>
        <w:tc>
          <w:tcPr>
            <w:tcW w:w="3167" w:type="dxa"/>
          </w:tcPr>
          <w:p>
            <w:pPr>
              <w:pStyle w:val="TableText"/>
            </w:pPr>
            <w:r>
              <w:t xml:space="preserve">第三期：系统对接</w:t>
            </w:r>
          </w:p>
        </w:tc>
        <w:tc>
          <w:tcPr>
            <w:tcW w:w="3167" w:type="dxa"/>
          </w:tcPr>
          <w:p>
            <w:pPr>
              <w:pStyle w:val="TableText"/>
            </w:pPr>
            <w:r>
              <w:t xml:space="preserve">对接考勤、智慧工程、ERP，接收支付结果，增加监管预警。</w:t>
            </w:r>
          </w:p>
        </w:tc>
        <w:tc>
          <w:tcPr>
            <w:tcW w:w="3167" w:type="dxa"/>
          </w:tcPr>
          <w:p>
            <w:pPr>
              <w:pStyle w:val="TableText"/>
            </w:pPr>
            <w:r>
              <w:t xml:space="preserve">对接失败可补偿，重复传输不重复入账。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第一期建议继续由现有财务系统执行付款，新模块提供核对后的报表和状态跟踪。外部平台自动获取数据取决于对方是否提供并批准接口；暂时没有接口时，可使用受控模板导入。</w:t>
      </w:r>
    </w:p>
    <w:p>
      <w:pPr>
        <w:pStyle w:val="Normal"/>
      </w:pPr>
      <w:r>
        <w:t xml:space="preserve">范围和工期应在规则样本、接口条件、用户规模及部署要求明确后评估，避免把完整导图作为一次性上线范围。</w:t>
      </w:r>
    </w:p>
    <w:p>
      <w:pPr>
        <w:pStyle w:val="Heading1"/>
      </w:pPr>
      <w:r>
        <w:t xml:space="preserve">六、实现与验收建议</w:t>
      </w:r>
    </w:p>
    <w:tbl>
      <w:tblPr>
        <w:tblW w:w="95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750"/>
        <w:gridCol w:w="4750"/>
      </w:tblGrid>
      <w:tr>
        <w:trPr>
          <w:tblHeader/>
          <w:cantSplit/>
        </w:trPr>
        <w:tc>
          <w:tcPr>
            <w:tcW w:w="4750" w:type="dxa"/>
            <w:shd w:fill="E7EFF7"/>
          </w:tcPr>
          <w:p>
            <w:pPr>
              <w:pStyle w:val="TableHeader"/>
            </w:pPr>
            <w:r>
              <w:t xml:space="preserve">原则</w:t>
            </w:r>
          </w:p>
        </w:tc>
        <w:tc>
          <w:tcPr>
            <w:tcW w:w="4750" w:type="dxa"/>
            <w:shd w:fill="E7EFF7"/>
          </w:tcPr>
          <w:p>
            <w:pPr>
              <w:pStyle w:val="TableHeader"/>
            </w:pPr>
            <w:r>
              <w:t xml:space="preserve">落实方式</w:t>
            </w:r>
          </w:p>
        </w:tc>
      </w:tr>
      <w:tr>
        <w:trPr>
          <w:cantSplit/>
        </w:trPr>
        <w:tc>
          <w:tcPr>
            <w:tcW w:w="4750" w:type="dxa"/>
          </w:tcPr>
          <w:p>
            <w:pPr>
              <w:pStyle w:val="TableText"/>
            </w:pPr>
            <w:r>
              <w:t xml:space="preserve">规则版本化</w:t>
            </w:r>
          </w:p>
        </w:tc>
        <w:tc>
          <w:tcPr>
            <w:tcW w:w="4750" w:type="dxa"/>
          </w:tcPr>
          <w:p>
            <w:pPr>
              <w:pStyle w:val="TableText"/>
            </w:pPr>
            <w:r>
              <w:t xml:space="preserve">保存来源文件、生效日期和审批记录，调整新规则不覆盖历史。</w:t>
            </w:r>
          </w:p>
        </w:tc>
      </w:tr>
      <w:tr>
        <w:trPr>
          <w:cantSplit/>
        </w:trPr>
        <w:tc>
          <w:tcPr>
            <w:tcW w:w="4750" w:type="dxa"/>
          </w:tcPr>
          <w:p>
            <w:pPr>
              <w:pStyle w:val="TableText"/>
            </w:pPr>
            <w:r>
              <w:t xml:space="preserve">金额可追溯</w:t>
            </w:r>
          </w:p>
        </w:tc>
        <w:tc>
          <w:tcPr>
            <w:tcW w:w="4750" w:type="dxa"/>
          </w:tcPr>
          <w:p>
            <w:pPr>
              <w:pStyle w:val="TableText"/>
            </w:pPr>
            <w:r>
              <w:t xml:space="preserve">保存计算明细和统一舍入规则；导入、计算、调整、发放之间能够对账。</w:t>
            </w:r>
          </w:p>
        </w:tc>
      </w:tr>
      <w:tr>
        <w:trPr>
          <w:cantSplit/>
        </w:trPr>
        <w:tc>
          <w:tcPr>
            <w:tcW w:w="4750" w:type="dxa"/>
          </w:tcPr>
          <w:p>
            <w:pPr>
              <w:pStyle w:val="TableText"/>
            </w:pPr>
            <w:r>
              <w:t xml:space="preserve">职责分离</w:t>
            </w:r>
          </w:p>
        </w:tc>
        <w:tc>
          <w:tcPr>
            <w:tcW w:w="4750" w:type="dxa"/>
          </w:tcPr>
          <w:p>
            <w:pPr>
              <w:pStyle w:val="TableText"/>
            </w:pPr>
            <w:r>
              <w:t xml:space="preserve">制表、复核、批准和系统管理分别授权；开发人员不默认拥有全部工资权限。</w:t>
            </w:r>
          </w:p>
        </w:tc>
      </w:tr>
      <w:tr>
        <w:trPr>
          <w:cantSplit/>
        </w:trPr>
        <w:tc>
          <w:tcPr>
            <w:tcW w:w="4750" w:type="dxa"/>
          </w:tcPr>
          <w:p>
            <w:pPr>
              <w:pStyle w:val="TableText"/>
            </w:pPr>
            <w:r>
              <w:t xml:space="preserve">异常可纠正</w:t>
            </w:r>
          </w:p>
        </w:tc>
        <w:tc>
          <w:tcPr>
            <w:tcW w:w="4750" w:type="dxa"/>
          </w:tcPr>
          <w:p>
            <w:pPr>
              <w:pStyle w:val="TableText"/>
            </w:pPr>
            <w:r>
              <w:t xml:space="preserve">重复导入、调岗、补发、冲销、缺卡和撤回都有明确处理路径。</w:t>
            </w:r>
          </w:p>
        </w:tc>
      </w:tr>
      <w:tr>
        <w:trPr>
          <w:cantSplit/>
        </w:trPr>
        <w:tc>
          <w:tcPr>
            <w:tcW w:w="4750" w:type="dxa"/>
          </w:tcPr>
          <w:p>
            <w:pPr>
              <w:pStyle w:val="TableText"/>
            </w:pPr>
            <w:r>
              <w:t xml:space="preserve">重点验证</w:t>
            </w:r>
          </w:p>
        </w:tc>
        <w:tc>
          <w:tcPr>
            <w:tcW w:w="4750" w:type="dxa"/>
          </w:tcPr>
          <w:p>
            <w:pPr>
              <w:pStyle w:val="TableText"/>
            </w:pPr>
            <w:r>
              <w:t xml:space="preserve">验证跨人员/跨项目越权、重复计薪、历史重算、审批绕过、备份恢复；使用脱敏历史月份并行核对结果。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现有代码的相关修改入口：utils/workspace.js（工作台授权与跳转）、cloudfunctions/userManagement/index.js（身份绑定和用户授权）、cloudfunctions/lineProjectData/index.js（可借鉴的导入版本、回滚与审计机制）。新增工程政企业务宜保持独立模块边界，通过公共身份与权限能力协作。</w:t>
      </w:r>
    </w:p>
    <w:p>
      <w:pPr>
        <w:pStyle w:val="Heading1"/>
      </w:pPr>
      <w:r>
        <w:t xml:space="preserve">七、AI答疑与下一步工作</w:t>
      </w:r>
    </w:p>
    <w:p>
      <w:pPr>
        <w:pStyle w:val="Normal"/>
      </w:pPr>
      <w:r>
        <w:t xml:space="preserve">导图中的AI薪酬答疑可以建设，但建议后置。先实现确定性的计算明细解释，再让AI基于已授权的数据解释规则、引用条款、整理反馈。</w:t>
      </w:r>
    </w:p>
    <w:p>
      <w:pPr>
        <w:pStyle w:val="Normal"/>
      </w:pPr>
      <w:r>
        <w:t xml:space="preserve">AI不决定工资、不批准扣款、不直接改账；真实工资和身份数据不能默认发送到未经单位批准的外部模型。回答应能追溯到对应规则及明细，对争议事项转交人工处理。</w:t>
      </w:r>
    </w:p>
    <w:p>
      <w:pPr>
        <w:pStyle w:val="Normal"/>
      </w:pPr>
      <w:r>
        <w:t xml:space="preserve">建议下一步形成一份可由业务部门签字确认的需求底稿，至少包括：一期范围、角色权限矩阵、数据字典、薪酬规则样例、审批流程，以及与现有平台的职责边界。这些内容明确后，再进入详细设计和开发。</w:t>
      </w:r>
    </w:p>
    <w:p>
      <w:pPr>
        <w:pStyle w:val="Heading1"/>
      </w:pPr>
      <w:r>
        <w:t xml:space="preserve">八、参考来源</w:t>
      </w:r>
    </w:p>
    <w:p>
      <w:pPr>
        <w:pStyle w:val="Normal"/>
      </w:pPr>
      <w:r>
        <w:t xml:space="preserve">以下为原分析所核对的官方来源。内部制度需另行补充正式原文；上线时应结合适用行业要求及集团制度复核。</w:t>
      </w:r>
    </w:p>
    <w:p>
      <w:pPr>
        <w:pStyle w:val="Reference"/>
      </w:pPr>
      <w:hyperlink r:id="link1">
        <w:r>
          <w:rPr>
            <w:color w:val="175A8A"/>
            <w:u w:val="single"/>
          </w:rPr>
          <w:t>[1]《中华人民共和国保守国家秘密法》—国家保密局</w:t>
        </w:r>
      </w:hyperlink>
    </w:p>
    <w:p>
      <w:pPr>
        <w:pStyle w:val="Reference"/>
      </w:pPr>
      <w:hyperlink r:id="link2">
        <w:r>
          <w:rPr>
            <w:color w:val="175A8A"/>
            <w:u w:val="single"/>
          </w:rPr>
          <w:t>[2]《中华人民共和国个人信息保护法》—中央网信办</w:t>
        </w:r>
      </w:hyperlink>
    </w:p>
    <w:p>
      <w:pPr>
        <w:pStyle w:val="Reference"/>
      </w:pPr>
      <w:hyperlink r:id="link3">
        <w:r>
          <w:rPr>
            <w:color w:val="175A8A"/>
            <w:u w:val="single"/>
          </w:rPr>
          <w:t>[3]《工业和信息化部关于开展移动互联网应用程序备案工作的通知》—工业和信息化部</w:t>
        </w:r>
      </w:hyperlink>
    </w:p>
    <w:p>
      <w:pPr>
        <w:pStyle w:val="Reference"/>
      </w:pPr>
      <w:hyperlink r:id="link4">
        <w:r>
          <w:rPr>
            <w:color w:val="175A8A"/>
            <w:u w:val="single"/>
          </w:rPr>
          <w:t>[4]《等级保护备案办理指南及联系方式》—承德市公安局</w:t>
        </w:r>
      </w:hyperlink>
    </w:p>
    <w:p>
      <w:pPr>
        <w:pStyle w:val="Reference"/>
      </w:pPr>
      <w:hyperlink r:id="link5">
        <w:r>
          <w:rPr>
            <w:color w:val="175A8A"/>
            <w:u w:val="single"/>
          </w:rPr>
          <w:t>[5]《网络数据安全管理条例》—中央网信办</w:t>
        </w:r>
      </w:hyperlink>
    </w:p>
    <w:p>
      <w:pPr>
        <w:pStyle w:val="Reference"/>
      </w:pPr>
      <w:hyperlink r:id="link6">
        <w:r>
          <w:rPr>
            <w:color w:val="175A8A"/>
            <w:u w:val="single"/>
          </w:rPr>
          <w:t>[6]《保障农民工工资支付条例》—北京市人民政府门户网站转载国务院文件</w:t>
        </w:r>
      </w:hyperlink>
    </w:p>
    <w:p>
      <w:pPr>
        <w:pStyle w:val="Reference"/>
      </w:pPr>
      <w:hyperlink r:id="link7">
        <w:r>
          <w:rPr>
            <w:color w:val="175A8A"/>
            <w:u w:val="single"/>
          </w:rPr>
          <w:t>[7]《中华人民共和国电子签名法（2019年修正）》—工业和信息化部</w:t>
        </w:r>
      </w:hyperlink>
    </w:p>
    <w:sectPr>
      <w:footerReference w:type="default" r:id="footer"/>
      <w:pgSz w:w="11906" w:h="16838"/>
      <w:pgMar w:top="1134" w:right="1200" w:bottom="1134" w:left="1200" w:header="567" w:footer="567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667085"/>
        <w:sz w:val="18"/>
      </w:rPr>
      <w:t xml:space="preserve">工程政企板块建设分析  ·  </w:t>
    </w:r>
    <w:fldSimple w:instr="PAGE">
      <w: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/>
        <w:sz w:val="22"/>
        <w:lang w:val="zh-CN" w:eastAsia="zh-CN"/>
      </w:rPr>
    </w:rPrDefault>
    <w:pPrDefault>
      <w:pPr>
        <w:spacing w:after="130" w:line="340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280"/>
      <w:keepNext/>
    </w:pPr>
    <w:rPr>
      <w:rFonts w:eastAsia="微软雅黑"/>
      <w:b/>
      <w:color w:val="153C5B"/>
      <w:sz w:val="36"/>
    </w:rPr>
  </w:style>
  <w:style w:type="paragraph" w:styleId="Subtitle">
    <w:name w:val="Subtitle"/>
    <w:basedOn w:val="Normal"/>
    <w:pPr>
      <w:jc w:val="center"/>
      <w:keepNext/>
    </w:pPr>
    <w:rPr>
      <w:color w:val="526477"/>
      <w:sz w:val="22"/>
    </w:rPr>
  </w:style>
  <w:style w:type="paragraph" w:styleId="Meta">
    <w:name w:val="Meta"/>
    <w:basedOn w:val="Normal"/>
    <w:pPr>
      <w:jc w:val="center"/>
      <w:spacing w:after="320"/>
    </w:pPr>
    <w:rPr>
      <w:color w:val="667085"/>
      <w:sz w:val="20"/>
    </w:rPr>
  </w:style>
  <w:style w:type="paragraph" w:styleId="Heading1">
    <w:name w:val="heading 1"/>
    <w:basedOn w:val="Normal"/>
    <w:next w:val="Normal"/>
    <w:pPr>
      <w:keepNext/>
      <w:keepLines/>
      <w:spacing w:before="300" w:after="180"/>
      <w:outlineLvl w:val="0"/>
    </w:pPr>
    <w:rPr>
      <w:rFonts w:eastAsia="微软雅黑"/>
      <w:b/>
      <w:color w:val="153C5B"/>
      <w:sz w:val="28"/>
    </w:rPr>
  </w:style>
  <w:style w:type="paragraph" w:styleId="Heading2">
    <w:name w:val="heading 2"/>
    <w:basedOn w:val="Normal"/>
    <w:next w:val="Normal"/>
    <w:pPr>
      <w:keepNext/>
      <w:keepLines/>
      <w:spacing w:before="200" w:after="120"/>
      <w:outlineLvl w:val="1"/>
    </w:pPr>
    <w:rPr>
      <w:rFonts w:eastAsia="微软雅黑"/>
      <w:b/>
      <w:sz w:val="24"/>
    </w:rPr>
  </w:style>
  <w:style w:type="paragraph" w:styleId="ListParagraph">
    <w:name w:val="List Paragraph"/>
    <w:basedOn w:val="Normal"/>
    <w:pPr>
      <w:ind w:left="240" w:hanging="200"/>
      <w:spacing w:after="80"/>
    </w:pPr>
  </w:style>
  <w:style w:type="paragraph" w:styleId="TableText">
    <w:name w:val="Table Text"/>
    <w:basedOn w:val="Normal"/>
    <w:pPr>
      <w:spacing w:after="0" w:line="280" w:lineRule="auto"/>
    </w:pPr>
    <w:rPr>
      <w:sz w:val="20"/>
    </w:rPr>
  </w:style>
  <w:style w:type="paragraph" w:styleId="TableHeader">
    <w:name w:val="Table Header"/>
    <w:basedOn w:val="TableText"/>
    <w:rPr>
      <w:b/>
      <w:color w:val="153C5B"/>
    </w:rPr>
  </w:style>
  <w:style w:type="paragraph" w:styleId="Reference">
    <w:name w:val="Reference"/>
    <w:basedOn w:val="Normal"/>
    <w:pPr>
      <w:spacing w:after="130"/>
    </w:pPr>
    <w:rPr>
      <w:sz w:val="19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footer" Type="http://schemas.openxmlformats.org/officeDocument/2006/relationships/footer" Target="footer1.xml"/><Relationship Id="link1" Type="http://schemas.openxmlformats.org/officeDocument/2006/relationships/hyperlink" Target="https://www.gjbmj.gov.cn/n1/2024/0227/c409088-40184579.html" TargetMode="External"/><Relationship Id="link2" Type="http://schemas.openxmlformats.org/officeDocument/2006/relationships/hyperlink" Target="https://www.cac.gov.cn/2021-08/20/c_1631050028355286.htm" TargetMode="External"/><Relationship Id="link3" Type="http://schemas.openxmlformats.org/officeDocument/2006/relationships/hyperlink" Target="https://www.miit.gov.cn/jgsj/xgj/wjfb/art/2023/art_dd783a581c9644a4aee10afa582811db.html" TargetMode="External"/><Relationship Id="link4" Type="http://schemas.openxmlformats.org/officeDocument/2006/relationships/hyperlink" Target="https://ga.chengde.gov.cn/art/2026/2/25/art_1722_1104782.html" TargetMode="External"/><Relationship Id="link5" Type="http://schemas.openxmlformats.org/officeDocument/2006/relationships/hyperlink" Target="https://www.cac.gov.cn/2024-09/30/c_1729384452307680.htm" TargetMode="External"/><Relationship Id="link6" Type="http://schemas.openxmlformats.org/officeDocument/2006/relationships/hyperlink" Target="https://www.beijing.gov.cn/zhengce/gwywj/202001/t20200108_1566187.html" TargetMode="External"/><Relationship Id="link7" Type="http://schemas.openxmlformats.org/officeDocument/2006/relationships/hyperlink" Target="https://wap.miit.gov.cn/zwgk/zcwj/flfg/art/2022/art_4ed0e4a46946479c90a9e0f2c76a11ef.html" TargetMode="External"/></Relationships>
</file>