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2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pca"/>
      <w:r>
        <w:t xml:space="preserve">3.1 PCA</w:t>
      </w:r>
      <w:bookmarkEnd w:id="20"/>
    </w:p>
    <w:p>
      <w:pPr>
        <w:pStyle w:val="FirstParagraph"/>
      </w:pPr>
      <w:r>
        <w:t xml:space="preserve"> </w:t>
      </w:r>
    </w:p>
    <w:p>
      <w:pPr>
        <w:pStyle w:val="TableCaption"/>
      </w:pPr>
      <w:r>
        <w:rPr>
          <w:b/>
        </w:rPr>
        <w:t xml:space="preserve">I want this in Bold</w:t>
      </w:r>
    </w:p>
    <w:tbl>
      <w:tblPr>
        <w:tblStyle w:val="Table"/>
        <w:tblW w:type="pct" w:w="0.0"/>
        <w:tblLook w:firstRow="1"/>
        <w:tblCaption w:val="I want this in Bol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PC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Variance explained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Culmulative Proportion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5.0312012</w:t>
            </w:r>
          </w:p>
        </w:tc>
        <w:tc>
          <w:p>
            <w:pPr>
              <w:pStyle w:val="Compact"/>
              <w:jc w:val="center"/>
            </w:pPr>
            <w:r>
              <w:t xml:space="preserve">0.7187430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p>
            <w:pPr>
              <w:pStyle w:val="Compact"/>
              <w:jc w:val="center"/>
            </w:pPr>
            <w:r>
              <w:t xml:space="preserve">1.1975728</w:t>
            </w:r>
          </w:p>
        </w:tc>
        <w:tc>
          <w:p>
            <w:pPr>
              <w:pStyle w:val="Compact"/>
              <w:jc w:val="center"/>
            </w:pPr>
            <w:r>
              <w:t xml:space="preserve">0.8898249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3</w:t>
            </w:r>
          </w:p>
        </w:tc>
        <w:tc>
          <w:p>
            <w:pPr>
              <w:pStyle w:val="Compact"/>
              <w:jc w:val="center"/>
            </w:pPr>
            <w:r>
              <w:t xml:space="preserve">0.6780034</w:t>
            </w:r>
          </w:p>
        </w:tc>
        <w:tc>
          <w:p>
            <w:pPr>
              <w:pStyle w:val="Compact"/>
              <w:jc w:val="center"/>
            </w:pPr>
            <w:r>
              <w:t xml:space="preserve">0.9866825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p>
            <w:pPr>
              <w:pStyle w:val="Compact"/>
              <w:jc w:val="center"/>
            </w:pPr>
            <w:r>
              <w:t xml:space="preserve">0.0683645</w:t>
            </w:r>
          </w:p>
        </w:tc>
        <w:tc>
          <w:p>
            <w:pPr>
              <w:pStyle w:val="Compact"/>
              <w:jc w:val="center"/>
            </w:pPr>
            <w:r>
              <w:t xml:space="preserve">0.9964488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p>
            <w:pPr>
              <w:pStyle w:val="Compact"/>
              <w:jc w:val="center"/>
            </w:pPr>
            <w:r>
              <w:t xml:space="preserve">0.0187136</w:t>
            </w:r>
          </w:p>
        </w:tc>
        <w:tc>
          <w:p>
            <w:pPr>
              <w:pStyle w:val="Compact"/>
              <w:jc w:val="center"/>
            </w:pPr>
            <w:r>
              <w:t xml:space="preserve">0.9991222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p>
            <w:pPr>
              <w:pStyle w:val="Compact"/>
              <w:jc w:val="center"/>
            </w:pPr>
            <w:r>
              <w:t xml:space="preserve">0.0053320</w:t>
            </w:r>
          </w:p>
        </w:tc>
        <w:tc>
          <w:p>
            <w:pPr>
              <w:pStyle w:val="Compact"/>
              <w:jc w:val="center"/>
            </w:pPr>
            <w:r>
              <w:t xml:space="preserve">0.9998839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0.0008124</w:t>
            </w:r>
          </w:p>
        </w:tc>
        <w:tc>
          <w:p>
            <w:pPr>
              <w:pStyle w:val="Compact"/>
              <w:jc w:val="center"/>
            </w:pPr>
            <w:r>
              <w:t xml:space="preserve">1.0000000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 </w:t>
      </w:r>
      <w:r>
        <w:br/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pca%20scree%20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pca%202%20PC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By examining the first 2 eigenvectors, we can see that pc1 is a general measure of the area, perimeter, kernel length, width and groove length. whereas the main contribution to pc2 is by the asymmetry coefficient and to a lesser extent, kernel length and groove length.</w:t>
      </w:r>
    </w:p>
    <w:p>
      <w:pPr>
        <w:pStyle w:val="BodyText"/>
      </w:pPr>
      <w:r>
        <w:t xml:space="preserve"> </w:t>
      </w:r>
    </w:p>
    <w:p>
      <w:pPr>
        <w:pStyle w:val="TableCaption"/>
      </w:pPr>
      <w:r>
        <w:t xml:space="preserve">Table 3.2</w:t>
      </w:r>
    </w:p>
    <w:tbl>
      <w:tblPr>
        <w:tblStyle w:val="Table"/>
        <w:tblW w:type="pct" w:w="0.0"/>
        <w:tblLook w:firstRow="1"/>
        <w:tblCaption w:val="Table 3.2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Eigenvector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Eigenvector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Eigenvector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right"/>
            </w:pPr>
            <w:r>
              <w:t xml:space="preserve">-0.4444735</w:t>
            </w:r>
          </w:p>
        </w:tc>
        <w:tc>
          <w:p>
            <w:pPr>
              <w:pStyle w:val="Compact"/>
              <w:jc w:val="right"/>
            </w:pPr>
            <w:r>
              <w:t xml:space="preserve">0.0265636</w:t>
            </w:r>
          </w:p>
        </w:tc>
        <w:tc>
          <w:p>
            <w:pPr>
              <w:pStyle w:val="Compact"/>
              <w:jc w:val="right"/>
            </w:pPr>
            <w:r>
              <w:t xml:space="preserve">-0.0258709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right"/>
            </w:pPr>
            <w:r>
              <w:t xml:space="preserve">-0.4415715</w:t>
            </w:r>
          </w:p>
        </w:tc>
        <w:tc>
          <w:p>
            <w:pPr>
              <w:pStyle w:val="Compact"/>
              <w:jc w:val="right"/>
            </w:pPr>
            <w:r>
              <w:t xml:space="preserve">0.0840028</w:t>
            </w:r>
          </w:p>
        </w:tc>
        <w:tc>
          <w:p>
            <w:pPr>
              <w:pStyle w:val="Compact"/>
              <w:jc w:val="right"/>
            </w:pPr>
            <w:r>
              <w:t xml:space="preserve">0.0598391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right"/>
            </w:pPr>
            <w:r>
              <w:t xml:space="preserve">-0.2770174</w:t>
            </w:r>
          </w:p>
        </w:tc>
        <w:tc>
          <w:p>
            <w:pPr>
              <w:pStyle w:val="Compact"/>
              <w:jc w:val="right"/>
            </w:pPr>
            <w:r>
              <w:t xml:space="preserve">-0.5291513</w:t>
            </w:r>
          </w:p>
        </w:tc>
        <w:tc>
          <w:p>
            <w:pPr>
              <w:pStyle w:val="Compact"/>
              <w:jc w:val="right"/>
            </w:pPr>
            <w:r>
              <w:t xml:space="preserve">-0.6296918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length_k</w:t>
            </w:r>
          </w:p>
        </w:tc>
        <w:tc>
          <w:p>
            <w:pPr>
              <w:pStyle w:val="Compact"/>
              <w:jc w:val="right"/>
            </w:pPr>
            <w:r>
              <w:t xml:space="preserve">-0.4235633</w:t>
            </w:r>
          </w:p>
        </w:tc>
        <w:tc>
          <w:p>
            <w:pPr>
              <w:pStyle w:val="Compact"/>
              <w:jc w:val="right"/>
            </w:pPr>
            <w:r>
              <w:t xml:space="preserve">0.2059752</w:t>
            </w:r>
          </w:p>
        </w:tc>
        <w:tc>
          <w:p>
            <w:pPr>
              <w:pStyle w:val="Compact"/>
              <w:jc w:val="right"/>
            </w:pPr>
            <w:r>
              <w:t xml:space="preserve">0.2118797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width_k</w:t>
            </w:r>
          </w:p>
        </w:tc>
        <w:tc>
          <w:p>
            <w:pPr>
              <w:pStyle w:val="Compact"/>
              <w:jc w:val="right"/>
            </w:pPr>
            <w:r>
              <w:t xml:space="preserve">-0.4328187</w:t>
            </w:r>
          </w:p>
        </w:tc>
        <w:tc>
          <w:p>
            <w:pPr>
              <w:pStyle w:val="Compact"/>
              <w:jc w:val="right"/>
            </w:pPr>
            <w:r>
              <w:t xml:space="preserve">-0.1166896</w:t>
            </w:r>
          </w:p>
        </w:tc>
        <w:tc>
          <w:p>
            <w:pPr>
              <w:pStyle w:val="Compact"/>
              <w:jc w:val="right"/>
            </w:pPr>
            <w:r>
              <w:t xml:space="preserve">-0.2164834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asym</w:t>
            </w:r>
          </w:p>
        </w:tc>
        <w:tc>
          <w:p>
            <w:pPr>
              <w:pStyle w:val="Compact"/>
              <w:jc w:val="right"/>
            </w:pPr>
            <w:r>
              <w:t xml:space="preserve">0.1186925</w:t>
            </w:r>
          </w:p>
        </w:tc>
        <w:tc>
          <w:p>
            <w:pPr>
              <w:pStyle w:val="Compact"/>
              <w:jc w:val="right"/>
            </w:pPr>
            <w:r>
              <w:t xml:space="preserve">0.7168820</w:t>
            </w:r>
          </w:p>
        </w:tc>
        <w:tc>
          <w:p>
            <w:pPr>
              <w:pStyle w:val="Compact"/>
              <w:jc w:val="right"/>
            </w:pPr>
            <w:r>
              <w:t xml:space="preserve">-0.6795058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length_k_g</w:t>
            </w:r>
          </w:p>
        </w:tc>
        <w:tc>
          <w:p>
            <w:pPr>
              <w:pStyle w:val="Compact"/>
              <w:jc w:val="right"/>
            </w:pPr>
            <w:r>
              <w:t xml:space="preserve">-0.3871608</w:t>
            </w:r>
          </w:p>
        </w:tc>
        <w:tc>
          <w:p>
            <w:pPr>
              <w:pStyle w:val="Compact"/>
              <w:jc w:val="right"/>
            </w:pPr>
            <w:r>
              <w:t xml:space="preserve">0.3771933</w:t>
            </w:r>
          </w:p>
        </w:tc>
        <w:tc>
          <w:p>
            <w:pPr>
              <w:pStyle w:val="Compact"/>
              <w:jc w:val="right"/>
            </w:pPr>
            <w:r>
              <w:t xml:space="preserve">0.2138972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Heading1"/>
      </w:pPr>
      <w:bookmarkStart w:id="23" w:name="factor-analysis"/>
      <w:r>
        <w:t xml:space="preserve">3.2 Factor analysis</w:t>
      </w:r>
      <w:bookmarkEnd w:id="23"/>
    </w:p>
    <w:p>
      <w:pPr>
        <w:pStyle w:val="FirstParagraph"/>
      </w:pPr>
      <w:r>
        <w:t xml:space="preserve"> </w:t>
      </w:r>
    </w:p>
    <w:p>
      <w:pPr>
        <w:pStyle w:val="TableCaption"/>
      </w:pPr>
      <w:r>
        <w:t xml:space="preserve">Table 3.3</w:t>
      </w:r>
    </w:p>
    <w:tbl>
      <w:tblPr>
        <w:tblStyle w:val="Table"/>
        <w:tblW w:type="pct" w:w="0.0"/>
        <w:tblLook w:firstRow="1"/>
        <w:tblCaption w:val="Table 3.3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 explained</w:t>
            </w:r>
          </w:p>
        </w:tc>
        <w:tc>
          <w:p>
            <w:pPr>
              <w:pStyle w:val="Compact"/>
              <w:jc w:val="center"/>
            </w:pPr>
            <w:r>
              <w:t xml:space="preserve">5.031201</w:t>
            </w:r>
          </w:p>
        </w:tc>
        <w:tc>
          <w:p>
            <w:pPr>
              <w:pStyle w:val="Compact"/>
              <w:jc w:val="center"/>
            </w:pPr>
            <w:r>
              <w:t xml:space="preserve">1.1975728</w:t>
            </w:r>
          </w:p>
        </w:tc>
        <w:tc>
          <w:p>
            <w:pPr>
              <w:pStyle w:val="Compact"/>
              <w:jc w:val="center"/>
            </w:pPr>
            <w:r>
              <w:t xml:space="preserve">0.6780034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Culmulative proportion of total variance</w:t>
            </w:r>
          </w:p>
        </w:tc>
        <w:tc>
          <w:p>
            <w:pPr>
              <w:pStyle w:val="Compact"/>
              <w:jc w:val="center"/>
            </w:pPr>
            <w:r>
              <w:t xml:space="preserve">0.718743</w:t>
            </w:r>
          </w:p>
        </w:tc>
        <w:tc>
          <w:p>
            <w:pPr>
              <w:pStyle w:val="Compact"/>
              <w:jc w:val="center"/>
            </w:pPr>
            <w:r>
              <w:t xml:space="preserve">0.8898249</w:t>
            </w:r>
          </w:p>
        </w:tc>
        <w:tc>
          <w:p>
            <w:pPr>
              <w:pStyle w:val="Compact"/>
              <w:jc w:val="center"/>
            </w:pPr>
            <w:r>
              <w:t xml:space="preserve">0.9866825</w:t>
            </w:r>
          </w:p>
        </w:tc>
      </w:tr>
    </w:tbl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actor%20loading%20tabl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TableCaption"/>
      </w:pPr>
      <w:r>
        <w:t xml:space="preserve">Table 3.4</w:t>
      </w:r>
    </w:p>
    <w:tbl>
      <w:tblPr>
        <w:tblStyle w:val="Table"/>
        <w:tblW w:type="pct" w:w="0.0"/>
        <w:tblLook w:firstRow="1"/>
        <w:tblCaption w:val="Table 3.4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 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 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Factor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 explained</w:t>
            </w:r>
          </w:p>
        </w:tc>
        <w:tc>
          <w:p>
            <w:pPr>
              <w:pStyle w:val="Compact"/>
              <w:jc w:val="center"/>
            </w:pPr>
            <w:r>
              <w:t xml:space="preserve">4.1861181</w:t>
            </w:r>
          </w:p>
        </w:tc>
        <w:tc>
          <w:p>
            <w:pPr>
              <w:pStyle w:val="Compact"/>
              <w:jc w:val="center"/>
            </w:pPr>
            <w:r>
              <w:t xml:space="preserve">1.0524208</w:t>
            </w:r>
          </w:p>
        </w:tc>
        <w:tc>
          <w:p>
            <w:pPr>
              <w:pStyle w:val="Compact"/>
              <w:jc w:val="center"/>
            </w:pPr>
            <w:r>
              <w:t xml:space="preserve">1.6682386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Culmulative proportion of total variance</w:t>
            </w:r>
          </w:p>
        </w:tc>
        <w:tc>
          <w:p>
            <w:pPr>
              <w:pStyle w:val="Compact"/>
              <w:jc w:val="center"/>
            </w:pPr>
            <w:r>
              <w:t xml:space="preserve">0.5980169</w:t>
            </w:r>
          </w:p>
        </w:tc>
        <w:tc>
          <w:p>
            <w:pPr>
              <w:pStyle w:val="Compact"/>
              <w:jc w:val="center"/>
            </w:pPr>
            <w:r>
              <w:t xml:space="preserve">0.7483627</w:t>
            </w:r>
          </w:p>
        </w:tc>
        <w:tc>
          <w:p>
            <w:pPr>
              <w:pStyle w:val="Compact"/>
              <w:jc w:val="center"/>
            </w:pPr>
            <w:r>
              <w:t xml:space="preserve">0.9866825</w:t>
            </w:r>
          </w:p>
        </w:tc>
      </w:tr>
    </w:tbl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files/figure-docx/factor%20rotat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Table 3.5</w:t>
      </w:r>
    </w:p>
    <w:tbl>
      <w:tblPr>
        <w:tblStyle w:val="Table"/>
        <w:tblW w:type="pct" w:w="0.0"/>
        <w:tblLook w:firstRow="1"/>
        <w:tblCaption w:val="Table 3.5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Wilks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approx 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den Df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Pr(&gt;F)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factor(group)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0.1316657</w:t>
            </w:r>
          </w:p>
        </w:tc>
        <w:tc>
          <w:p>
            <w:pPr>
              <w:pStyle w:val="Compact"/>
              <w:jc w:val="right"/>
            </w:pPr>
            <w:r>
              <w:t xml:space="preserve">180.8578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Residuals</w:t>
            </w:r>
          </w:p>
        </w:tc>
        <w:tc>
          <w:p>
            <w:pPr>
              <w:pStyle w:val="Compact"/>
              <w:jc w:val="right"/>
            </w:pPr>
            <w:r>
              <w:t xml:space="preserve">207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2" Target="media/rId22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2020-11-11T13:12:14Z</dcterms:created>
  <dcterms:modified xsi:type="dcterms:W3CDTF">2020-11-11T13:12:14Z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