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Bioinformatics analysis of small RNA libraries identifies Loquacious-PD as exclusively required for production of hairpin-derived, but not transposon or </w:t>
      </w:r>
      <w:r w:rsidDel="00000000" w:rsidR="00000000" w:rsidRPr="00000000">
        <w:rPr>
          <w:i w:val="1"/>
          <w:rtl w:val="0"/>
        </w:rPr>
        <w:t xml:space="preserve">cis</w:t>
      </w:r>
      <w:r w:rsidDel="00000000" w:rsidR="00000000" w:rsidRPr="00000000">
        <w:rPr>
          <w:rtl w:val="0"/>
        </w:rPr>
        <w:t xml:space="preserve">-NAT, siRNAs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vertAlign w:val="superscript"/>
        </w:rPr>
      </w:pPr>
      <w:r w:rsidDel="00000000" w:rsidR="00000000" w:rsidRPr="00000000">
        <w:rPr>
          <w:rtl w:val="0"/>
        </w:rPr>
        <w:t xml:space="preserve">Lee Jin Wee</w:t>
      </w:r>
      <w:r w:rsidDel="00000000" w:rsidR="00000000" w:rsidRPr="00000000">
        <w:rPr>
          <w:vertAlign w:val="superscript"/>
          <w:rtl w:val="0"/>
        </w:rPr>
        <w:t xml:space="preserve">1,2,*</w:t>
      </w:r>
      <w:r w:rsidDel="00000000" w:rsidR="00000000" w:rsidRPr="00000000">
        <w:rPr>
          <w:rtl w:val="0"/>
        </w:rPr>
        <w:t xml:space="preserve">, Teo Ren Yi</w:t>
      </w:r>
      <w:r w:rsidDel="00000000" w:rsidR="00000000" w:rsidRPr="00000000">
        <w:rPr>
          <w:vertAlign w:val="superscript"/>
          <w:rtl w:val="0"/>
        </w:rPr>
        <w:t xml:space="preserve">1,*</w:t>
      </w:r>
      <w:r w:rsidDel="00000000" w:rsidR="00000000" w:rsidRPr="00000000">
        <w:rPr>
          <w:rtl w:val="0"/>
        </w:rPr>
        <w:t xml:space="preserve">, Chak Li Ling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, Mandy Yu Theng Lim</w:t>
      </w:r>
      <w:r w:rsidDel="00000000" w:rsidR="00000000" w:rsidRPr="00000000">
        <w:rPr>
          <w:vertAlign w:val="superscript"/>
          <w:rtl w:val="0"/>
        </w:rPr>
        <w:t xml:space="preserve">3,4</w:t>
      </w:r>
      <w:r w:rsidDel="00000000" w:rsidR="00000000" w:rsidRPr="00000000">
        <w:rPr>
          <w:rtl w:val="0"/>
        </w:rPr>
        <w:t xml:space="preserve">, Katsutomo Okamura</w:t>
      </w:r>
      <w:r w:rsidDel="00000000" w:rsidR="00000000" w:rsidRPr="00000000">
        <w:rPr>
          <w:vertAlign w:val="superscript"/>
          <w:rtl w:val="0"/>
        </w:rPr>
        <w:t xml:space="preserve">3,4</w:t>
      </w:r>
      <w:r w:rsidDel="00000000" w:rsidR="00000000" w:rsidRPr="00000000">
        <w:rPr>
          <w:rtl w:val="0"/>
        </w:rPr>
        <w:t xml:space="preserve">, and Greg Tucker-Kellogg</w:t>
      </w:r>
      <w:r w:rsidDel="00000000" w:rsidR="00000000" w:rsidRPr="00000000">
        <w:rPr>
          <w:vertAlign w:val="superscript"/>
          <w:rtl w:val="0"/>
        </w:rPr>
        <w:t xml:space="preserve">1,2,†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Department of Biological Sciences, Faculty of Science, National University of Singapore, Singapore 117543, Singapore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Computational Biology Programme, Faculty of Science, National University of Singapore, Singapore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vertAlign w:val="superscript"/>
          <w:rtl w:val="0"/>
        </w:rPr>
        <w:t xml:space="preserve">3 </w:t>
      </w:r>
      <w:r w:rsidDel="00000000" w:rsidR="00000000" w:rsidRPr="00000000">
        <w:rPr>
          <w:rtl w:val="0"/>
        </w:rPr>
        <w:t xml:space="preserve">Temasek Life Sciences Laboratory, 1 Research Link, National University of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Singapore 117604, Singapore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School of Biological Sciences, Nanyang Technological University</w:t>
        <w:tab/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60 Nanyang Drive, Singapore 639798, Singapore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vertAlign w:val="superscript"/>
          <w:rtl w:val="0"/>
        </w:rPr>
        <w:t xml:space="preserve">* </w:t>
      </w:r>
      <w:r w:rsidDel="00000000" w:rsidR="00000000" w:rsidRPr="00000000">
        <w:rPr>
          <w:rtl w:val="0"/>
        </w:rPr>
        <w:t xml:space="preserve">Equal contribution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vertAlign w:val="superscript"/>
          <w:rtl w:val="0"/>
        </w:rPr>
        <w:t xml:space="preserve">† </w:t>
      </w:r>
      <w:r w:rsidDel="00000000" w:rsidR="00000000" w:rsidRPr="00000000">
        <w:rPr>
          <w:rtl w:val="0"/>
        </w:rPr>
        <w:t xml:space="preserve">Correspondence: dbsgtk@nus.edu.sg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Small non-coding RNA molecules play important roles in normal genome regulation, pathologic misregulation, and genome defense.  In </w:t>
      </w:r>
      <w:r w:rsidDel="00000000" w:rsidR="00000000" w:rsidRPr="00000000">
        <w:rPr>
          <w:i w:val="1"/>
          <w:rtl w:val="0"/>
        </w:rPr>
        <w:t xml:space="preserve">Drosophila melanogaster</w:t>
      </w:r>
      <w:r w:rsidDel="00000000" w:rsidR="00000000" w:rsidRPr="00000000">
        <w:rPr>
          <w:rtl w:val="0"/>
        </w:rPr>
        <w:t xml:space="preserve">, the biogenesis of small interfering RNAs (siRNAs) and microRNAs (miRNAs) requires the coupled activity of a Dicer RNAse and a partner dsRNA-binding protein (dsRBPs).  MiRNAs processed through Dicer-1 often partner with the PB isoform of Loquacious (Loqs-PB) to tune Dicing specificity, while exogenous siRNA production couples Dicer-2 with R2D2. The PD isoform of Loquacious (Loqs-PD) has been shown to serve a distinct function in processing endogenous siRNAs, yet a complete understanding of endogenous siRNA biogenesis remains elusive because of potential involvement of both R2D2 and distinct Loqs isoforms across endo- and exo-siRNA pathways.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Through bioinformatics analysis of small RNA seq data from S2 Loqs-ORF KO cells rescued with individual Loqs isoforms (PA, PB, and PD), we show that production of endogenous hairpin siRNAs (hpRNAs), but not other endo-siRNAs, has a nearly absolute requirement for Loqs-PD. Loqs KO cells produced virtually no hpRNAs, and hpRNA production was exclusively rescued by the loqs-PD isoform. Libraries rescued with loqs-PD alone did not show a significant increase in transcripts associated with non-hairpin Transposon (TE), cis-natural antisense (</w:t>
      </w:r>
      <w:r w:rsidDel="00000000" w:rsidR="00000000" w:rsidRPr="00000000">
        <w:rPr>
          <w:i w:val="1"/>
          <w:rtl w:val="0"/>
        </w:rPr>
        <w:t xml:space="preserve">cis</w:t>
      </w:r>
      <w:r w:rsidDel="00000000" w:rsidR="00000000" w:rsidRPr="00000000">
        <w:rPr>
          <w:rtl w:val="0"/>
        </w:rPr>
        <w:t xml:space="preserve">-NAT) and other published endo-siRNA loci.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We then investigated other published small RNA datasets and confirmed that knockout of loqs drastically reduces the production of endogenous siRNA loci, while knockout of r2d2 </w:t>
      </w:r>
      <w:r w:rsidDel="00000000" w:rsidR="00000000" w:rsidRPr="00000000">
        <w:rPr>
          <w:rtl w:val="0"/>
        </w:rPr>
        <w:t xml:space="preserve">result in a similar non-hairpin endo-siRNA profile as </w:t>
      </w:r>
      <w:r w:rsidDel="00000000" w:rsidR="00000000" w:rsidRPr="00000000">
        <w:rPr>
          <w:rtl w:val="0"/>
        </w:rPr>
        <w:t xml:space="preserve">wild-type cells. Analysis of several data sets suggest a model in which the PD isoform of loqs is absolutely required for hpRNA production, but -- possibly in combination with other loqs isoforms or even r2d2 -- plays more of a helper role in the maturation of non-hairpin derived siRNAs.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